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margin" w:tblpXSpec="right" w:tblpY="2197"/>
        <w:tblOverlap w:val="never"/>
        <w:tblW w:w="7546" w:type="dxa"/>
        <w:tblLook w:val="01E0" w:firstRow="1" w:lastRow="1" w:firstColumn="1" w:lastColumn="1" w:noHBand="0" w:noVBand="0"/>
      </w:tblPr>
      <w:tblGrid>
        <w:gridCol w:w="7546"/>
      </w:tblGrid>
      <w:tr w:rsidR="00CD4E4A" w:rsidRPr="00316837" w14:paraId="63CD90A1" w14:textId="77777777">
        <w:trPr>
          <w:trHeight w:val="144"/>
        </w:trPr>
        <w:tc>
          <w:tcPr>
            <w:tcW w:w="7546" w:type="dxa"/>
          </w:tcPr>
          <w:p w14:paraId="51988906" w14:textId="46B8368F" w:rsidR="005C044F" w:rsidRPr="00681DAA" w:rsidRDefault="00536C89" w:rsidP="00F65FDD">
            <w:pPr>
              <w:pStyle w:val="CoverFWCreference"/>
              <w:widowControl w:val="0"/>
              <w:spacing w:after="120"/>
            </w:pPr>
            <w:bookmarkStart w:id="0" w:name="_Hlk77245965"/>
            <w:bookmarkEnd w:id="0"/>
            <w:r w:rsidRPr="007B4E3A">
              <w:rPr>
                <w:noProof/>
                <w:lang w:eastAsia="en-GB"/>
              </w:rPr>
              <w:drawing>
                <wp:anchor distT="0" distB="0" distL="114300" distR="114300" simplePos="0" relativeHeight="251658240" behindDoc="1" locked="0" layoutInCell="1" allowOverlap="1" wp14:anchorId="453EB4BC" wp14:editId="7945C03D">
                  <wp:simplePos x="0" y="0"/>
                  <wp:positionH relativeFrom="page">
                    <wp:posOffset>-2663675</wp:posOffset>
                  </wp:positionH>
                  <wp:positionV relativeFrom="paragraph">
                    <wp:posOffset>-2475230</wp:posOffset>
                  </wp:positionV>
                  <wp:extent cx="8184333" cy="10690588"/>
                  <wp:effectExtent l="0" t="0" r="762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U-Report-cover-pag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187905" cy="10695254"/>
                          </a:xfrm>
                          <a:prstGeom prst="rect">
                            <a:avLst/>
                          </a:prstGeom>
                          <a:noFill/>
                          <a:ln w="9525">
                            <a:noFill/>
                            <a:miter lim="800000"/>
                            <a:headEnd/>
                            <a:tailEnd/>
                          </a:ln>
                        </pic:spPr>
                      </pic:pic>
                    </a:graphicData>
                  </a:graphic>
                  <wp14:sizeRelH relativeFrom="margin">
                    <wp14:pctWidth>0</wp14:pctWidth>
                  </wp14:sizeRelH>
                </wp:anchor>
              </w:drawing>
            </w:r>
            <w:r w:rsidR="00CD4E4A" w:rsidRPr="00C632F6">
              <w:t>EuropeAid134038/C/SER/Multi</w:t>
            </w:r>
          </w:p>
        </w:tc>
      </w:tr>
      <w:tr w:rsidR="00CD4E4A" w:rsidRPr="00316837" w14:paraId="09C3CBDB" w14:textId="77777777">
        <w:trPr>
          <w:trHeight w:val="1649"/>
        </w:trPr>
        <w:tc>
          <w:tcPr>
            <w:tcW w:w="7546" w:type="dxa"/>
          </w:tcPr>
          <w:p w14:paraId="60326E71" w14:textId="3B006C10" w:rsidR="005C044F" w:rsidRPr="00316837" w:rsidRDefault="00CD4E4A" w:rsidP="00F65FDD">
            <w:pPr>
              <w:pStyle w:val="CoverFWCreference"/>
              <w:widowControl w:val="0"/>
              <w:spacing w:after="120"/>
            </w:pPr>
            <w:r w:rsidRPr="00316837">
              <w:t>Contract No 2013/335152</w:t>
            </w:r>
          </w:p>
        </w:tc>
      </w:tr>
      <w:tr w:rsidR="00CD4E4A" w:rsidRPr="00316837" w14:paraId="34A04922" w14:textId="77777777">
        <w:trPr>
          <w:trHeight w:val="2364"/>
        </w:trPr>
        <w:tc>
          <w:tcPr>
            <w:tcW w:w="7546" w:type="dxa"/>
          </w:tcPr>
          <w:p w14:paraId="37704C21" w14:textId="6F364703" w:rsidR="005C044F" w:rsidRPr="00316837" w:rsidRDefault="001D7CAC" w:rsidP="00F65FDD">
            <w:pPr>
              <w:pStyle w:val="CoverTitle1"/>
              <w:widowControl w:val="0"/>
              <w:spacing w:before="0"/>
            </w:pPr>
            <w:r w:rsidRPr="00316837">
              <w:t xml:space="preserve">The European Union </w:t>
            </w:r>
            <w:r w:rsidR="00CD4E4A" w:rsidRPr="00316837">
              <w:t xml:space="preserve">Technical Assistance Facility for the Sustainable Energy </w:t>
            </w:r>
          </w:p>
          <w:p w14:paraId="6A2550F9" w14:textId="77777777" w:rsidR="005C044F" w:rsidRPr="00316837" w:rsidRDefault="00CD4E4A" w:rsidP="00B3656B">
            <w:pPr>
              <w:pStyle w:val="CoverTitle1"/>
              <w:widowControl w:val="0"/>
            </w:pPr>
            <w:r w:rsidRPr="00316837">
              <w:t>West and Central Africa</w:t>
            </w:r>
          </w:p>
        </w:tc>
      </w:tr>
      <w:tr w:rsidR="00CD4E4A" w:rsidRPr="00316837" w14:paraId="37D654E6" w14:textId="77777777">
        <w:trPr>
          <w:trHeight w:val="1693"/>
        </w:trPr>
        <w:tc>
          <w:tcPr>
            <w:tcW w:w="7546" w:type="dxa"/>
          </w:tcPr>
          <w:p w14:paraId="364CCA87" w14:textId="77777777" w:rsidR="00536C89" w:rsidRPr="00316837" w:rsidRDefault="00536C89" w:rsidP="00F65FDD">
            <w:pPr>
              <w:widowControl w:val="0"/>
              <w:spacing w:before="0"/>
              <w:rPr>
                <w:rFonts w:cs="Arial"/>
              </w:rPr>
            </w:pPr>
          </w:p>
          <w:p w14:paraId="3566174A" w14:textId="6E9E4327" w:rsidR="00536C89" w:rsidRPr="00316837" w:rsidRDefault="00C342E0" w:rsidP="00B3656B">
            <w:pPr>
              <w:pStyle w:val="CoverTitle2"/>
              <w:widowControl w:val="0"/>
              <w:spacing w:before="0" w:line="276" w:lineRule="auto"/>
              <w:rPr>
                <w:rFonts w:cs="Arial"/>
                <w:sz w:val="28"/>
                <w:szCs w:val="28"/>
              </w:rPr>
            </w:pPr>
            <w:bookmarkStart w:id="1" w:name="_Hlk56524100"/>
            <w:r w:rsidRPr="00316837">
              <w:rPr>
                <w:rFonts w:cs="Arial"/>
                <w:sz w:val="28"/>
                <w:szCs w:val="28"/>
              </w:rPr>
              <w:t>Support to A</w:t>
            </w:r>
            <w:r w:rsidR="0063089C" w:rsidRPr="00316837">
              <w:rPr>
                <w:rFonts w:cs="Arial"/>
                <w:sz w:val="28"/>
                <w:szCs w:val="28"/>
              </w:rPr>
              <w:t>UC</w:t>
            </w:r>
            <w:r w:rsidRPr="00316837">
              <w:rPr>
                <w:rFonts w:cs="Arial"/>
                <w:sz w:val="28"/>
                <w:szCs w:val="28"/>
              </w:rPr>
              <w:t xml:space="preserve"> for the </w:t>
            </w:r>
            <w:r w:rsidR="0063089C" w:rsidRPr="00316837">
              <w:rPr>
                <w:rFonts w:cs="Arial"/>
                <w:sz w:val="28"/>
                <w:szCs w:val="28"/>
              </w:rPr>
              <w:t>implementation, coordination and monitoring of the Electricity Harmoni</w:t>
            </w:r>
            <w:r w:rsidR="00B146E7" w:rsidRPr="00316837">
              <w:rPr>
                <w:rFonts w:cs="Arial"/>
                <w:sz w:val="28"/>
                <w:szCs w:val="28"/>
              </w:rPr>
              <w:t>s</w:t>
            </w:r>
            <w:r w:rsidR="0063089C" w:rsidRPr="00316837">
              <w:rPr>
                <w:rFonts w:cs="Arial"/>
                <w:sz w:val="28"/>
                <w:szCs w:val="28"/>
              </w:rPr>
              <w:t>ation Regulatory Strategy and Action Plan</w:t>
            </w:r>
            <w:bookmarkEnd w:id="1"/>
            <w:r w:rsidRPr="00316837">
              <w:rPr>
                <w:rFonts w:cs="Arial"/>
                <w:sz w:val="28"/>
                <w:szCs w:val="28"/>
              </w:rPr>
              <w:t xml:space="preserve"> </w:t>
            </w:r>
          </w:p>
          <w:p w14:paraId="66E3C45D" w14:textId="015AD818" w:rsidR="00E67C8A" w:rsidRPr="00316837" w:rsidRDefault="00C342E0" w:rsidP="00A21496">
            <w:pPr>
              <w:pStyle w:val="Coverdate"/>
              <w:widowControl w:val="0"/>
              <w:spacing w:before="480"/>
              <w:jc w:val="left"/>
              <w:rPr>
                <w:i w:val="0"/>
              </w:rPr>
            </w:pPr>
            <w:r w:rsidRPr="00316837">
              <w:rPr>
                <w:i w:val="0"/>
              </w:rPr>
              <w:t xml:space="preserve">Lot </w:t>
            </w:r>
            <w:r w:rsidR="00A21496" w:rsidRPr="00316837">
              <w:rPr>
                <w:i w:val="0"/>
              </w:rPr>
              <w:t>9</w:t>
            </w:r>
            <w:r w:rsidRPr="00316837">
              <w:rPr>
                <w:i w:val="0"/>
              </w:rPr>
              <w:t>.</w:t>
            </w:r>
            <w:r w:rsidR="00A21496" w:rsidRPr="00316837">
              <w:rPr>
                <w:i w:val="0"/>
              </w:rPr>
              <w:t>5</w:t>
            </w:r>
            <w:r w:rsidRPr="00316837">
              <w:rPr>
                <w:i w:val="0"/>
              </w:rPr>
              <w:t xml:space="preserve">: </w:t>
            </w:r>
            <w:r w:rsidR="00A21496" w:rsidRPr="00316837">
              <w:rPr>
                <w:i w:val="0"/>
              </w:rPr>
              <w:t>Strategic Planning, Action Plan and Guidelines for the African Single Electricity Market (AfSEM)</w:t>
            </w:r>
          </w:p>
          <w:p w14:paraId="04226DAE" w14:textId="31F505F8" w:rsidR="00E67C8A" w:rsidRPr="00316837" w:rsidRDefault="00E67C8A" w:rsidP="009751BC">
            <w:pPr>
              <w:pStyle w:val="CoverTitle2"/>
              <w:widowControl w:val="0"/>
              <w:spacing w:before="240" w:line="240" w:lineRule="auto"/>
              <w:rPr>
                <w:i w:val="0"/>
                <w:iCs/>
                <w:sz w:val="24"/>
              </w:rPr>
            </w:pPr>
            <w:r w:rsidRPr="00316837">
              <w:rPr>
                <w:i w:val="0"/>
                <w:iCs/>
                <w:sz w:val="24"/>
              </w:rPr>
              <w:t xml:space="preserve">Deliverable </w:t>
            </w:r>
            <w:r w:rsidR="001C3105" w:rsidRPr="00316837">
              <w:rPr>
                <w:i w:val="0"/>
                <w:iCs/>
                <w:sz w:val="24"/>
              </w:rPr>
              <w:t>5</w:t>
            </w:r>
            <w:r w:rsidRPr="00316837">
              <w:rPr>
                <w:i w:val="0"/>
                <w:iCs/>
                <w:sz w:val="24"/>
              </w:rPr>
              <w:t xml:space="preserve">: </w:t>
            </w:r>
            <w:r w:rsidR="001C3105" w:rsidRPr="00316837">
              <w:rPr>
                <w:i w:val="0"/>
                <w:iCs/>
                <w:sz w:val="24"/>
              </w:rPr>
              <w:t>Technical and Operational Readiness</w:t>
            </w:r>
            <w:r w:rsidR="001018AA" w:rsidRPr="00316837">
              <w:rPr>
                <w:i w:val="0"/>
                <w:iCs/>
                <w:sz w:val="24"/>
              </w:rPr>
              <w:t xml:space="preserve"> (Action Plan and Guidelines)</w:t>
            </w:r>
          </w:p>
        </w:tc>
      </w:tr>
      <w:tr w:rsidR="00CD4E4A" w:rsidRPr="00316837" w14:paraId="3E7F0DCE" w14:textId="77777777">
        <w:trPr>
          <w:trHeight w:val="1693"/>
        </w:trPr>
        <w:tc>
          <w:tcPr>
            <w:tcW w:w="7546" w:type="dxa"/>
          </w:tcPr>
          <w:p w14:paraId="59748DF6" w14:textId="49B28ECA" w:rsidR="005C044F" w:rsidRPr="00316837" w:rsidRDefault="001D7CAC" w:rsidP="00F65FDD">
            <w:pPr>
              <w:pStyle w:val="Coverdate"/>
              <w:widowControl w:val="0"/>
              <w:rPr>
                <w:i w:val="0"/>
              </w:rPr>
            </w:pPr>
            <w:r w:rsidRPr="00316837">
              <w:rPr>
                <w:i w:val="0"/>
              </w:rPr>
              <w:t xml:space="preserve">Mission ref: </w:t>
            </w:r>
            <w:r w:rsidR="0063089C" w:rsidRPr="00316837">
              <w:rPr>
                <w:i w:val="0"/>
              </w:rPr>
              <w:t>CW235.201906 AUC</w:t>
            </w:r>
          </w:p>
          <w:p w14:paraId="3483C73C" w14:textId="0F2B2A99" w:rsidR="001D7CAC" w:rsidRPr="00316837" w:rsidRDefault="001D7CAC" w:rsidP="00B3656B">
            <w:pPr>
              <w:pStyle w:val="Coverdate"/>
              <w:widowControl w:val="0"/>
              <w:rPr>
                <w:i w:val="0"/>
              </w:rPr>
            </w:pPr>
            <w:r w:rsidRPr="00316837">
              <w:rPr>
                <w:i w:val="0"/>
              </w:rPr>
              <w:t xml:space="preserve">Date: </w:t>
            </w:r>
            <w:r w:rsidR="00A86BC5" w:rsidRPr="00316837">
              <w:rPr>
                <w:i w:val="0"/>
              </w:rPr>
              <w:t>1</w:t>
            </w:r>
            <w:r w:rsidR="00363905" w:rsidRPr="005D3DDC">
              <w:rPr>
                <w:i w:val="0"/>
              </w:rPr>
              <w:t>5</w:t>
            </w:r>
            <w:r w:rsidR="00E45DF3" w:rsidRPr="00316837">
              <w:rPr>
                <w:i w:val="0"/>
              </w:rPr>
              <w:t xml:space="preserve"> </w:t>
            </w:r>
            <w:r w:rsidR="00A86BC5" w:rsidRPr="00316837">
              <w:rPr>
                <w:i w:val="0"/>
              </w:rPr>
              <w:t>July</w:t>
            </w:r>
            <w:r w:rsidR="0063089C" w:rsidRPr="00316837">
              <w:rPr>
                <w:i w:val="0"/>
              </w:rPr>
              <w:t xml:space="preserve"> 202</w:t>
            </w:r>
            <w:r w:rsidR="00E27EF2" w:rsidRPr="00316837">
              <w:rPr>
                <w:i w:val="0"/>
              </w:rPr>
              <w:t>1</w:t>
            </w:r>
          </w:p>
        </w:tc>
      </w:tr>
    </w:tbl>
    <w:p w14:paraId="6C34F5F5" w14:textId="48CB5172" w:rsidR="00536C89" w:rsidRPr="00316837" w:rsidRDefault="00D87469" w:rsidP="00F65FDD">
      <w:pPr>
        <w:widowControl w:val="0"/>
        <w:tabs>
          <w:tab w:val="left" w:pos="6495"/>
          <w:tab w:val="left" w:pos="6690"/>
          <w:tab w:val="left" w:pos="7170"/>
          <w:tab w:val="left" w:pos="7680"/>
        </w:tabs>
        <w:spacing w:before="1560" w:after="2160"/>
        <w:sectPr w:rsidR="00536C89" w:rsidRPr="00316837" w:rsidSect="00A3058D">
          <w:headerReference w:type="even" r:id="rId12"/>
          <w:headerReference w:type="default" r:id="rId13"/>
          <w:footerReference w:type="even" r:id="rId14"/>
          <w:footerReference w:type="default" r:id="rId15"/>
          <w:footerReference w:type="first" r:id="rId16"/>
          <w:pgSz w:w="11906" w:h="16838" w:code="9"/>
          <w:pgMar w:top="1701" w:right="1134" w:bottom="1276" w:left="1418" w:header="720" w:footer="567" w:gutter="0"/>
          <w:pgNumType w:fmt="lowerRoman"/>
          <w:cols w:sep="1" w:space="709"/>
        </w:sectPr>
      </w:pPr>
      <w:bookmarkStart w:id="2" w:name="regelgeheim"/>
      <w:bookmarkEnd w:id="2"/>
      <w:r w:rsidRPr="007B4E3A">
        <w:rPr>
          <w:noProof/>
          <w:lang w:eastAsia="en-GB"/>
        </w:rPr>
        <w:drawing>
          <wp:anchor distT="0" distB="0" distL="114300" distR="114300" simplePos="0" relativeHeight="251660288" behindDoc="0" locked="0" layoutInCell="1" allowOverlap="1" wp14:anchorId="766AD359" wp14:editId="03ECCB44">
            <wp:simplePos x="0" y="0"/>
            <wp:positionH relativeFrom="column">
              <wp:posOffset>5425337</wp:posOffset>
            </wp:positionH>
            <wp:positionV relativeFrom="paragraph">
              <wp:posOffset>1000125</wp:posOffset>
            </wp:positionV>
            <wp:extent cx="1190847" cy="1049079"/>
            <wp:effectExtent l="0" t="0" r="9525" b="0"/>
            <wp:wrapNone/>
            <wp:docPr id="3" name="Picture 3" descr="cid:image008.png@01D0C94B.F7991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8.png@01D0C94B.F79917C0"/>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0847" cy="1049079"/>
                    </a:xfrm>
                    <a:prstGeom prst="rect">
                      <a:avLst/>
                    </a:prstGeom>
                    <a:noFill/>
                    <a:ln>
                      <a:noFill/>
                    </a:ln>
                  </pic:spPr>
                </pic:pic>
              </a:graphicData>
            </a:graphic>
            <wp14:sizeRelH relativeFrom="page">
              <wp14:pctWidth>0</wp14:pctWidth>
            </wp14:sizeRelH>
            <wp14:sizeRelV relativeFrom="page">
              <wp14:pctHeight>0</wp14:pctHeight>
            </wp14:sizeRelV>
          </wp:anchor>
        </w:drawing>
      </w:r>
      <w:r w:rsidR="00B86881" w:rsidRPr="00C632F6">
        <w:br w:type="textWrapping" w:clear="all"/>
      </w:r>
      <w:r w:rsidR="001D7CAC" w:rsidRPr="00316837">
        <w:tab/>
      </w:r>
    </w:p>
    <w:p w14:paraId="0DCEF30C" w14:textId="2592DB3A" w:rsidR="00BF562E" w:rsidRPr="00316837" w:rsidRDefault="00E904C3" w:rsidP="00F65FDD">
      <w:pPr>
        <w:widowControl w:val="0"/>
        <w:spacing w:before="1560" w:after="2160"/>
        <w:rPr>
          <w:rFonts w:cs="Arial"/>
          <w:szCs w:val="20"/>
        </w:rPr>
      </w:pPr>
      <w:r w:rsidRPr="00C632F6">
        <w:rPr>
          <w:rFonts w:cs="Arial"/>
          <w:szCs w:val="20"/>
        </w:rPr>
        <w:lastRenderedPageBreak/>
        <w:t>The content of this report is the</w:t>
      </w:r>
      <w:r w:rsidR="00797BBA" w:rsidRPr="00316837">
        <w:rPr>
          <w:rFonts w:cs="Arial"/>
          <w:szCs w:val="20"/>
        </w:rPr>
        <w:t xml:space="preserve"> sole responsibility of the </w:t>
      </w:r>
      <w:r w:rsidRPr="00316837">
        <w:rPr>
          <w:rFonts w:cs="Arial"/>
          <w:szCs w:val="20"/>
        </w:rPr>
        <w:t xml:space="preserve">Consortium </w:t>
      </w:r>
      <w:r w:rsidR="00797BBA" w:rsidRPr="00316837">
        <w:rPr>
          <w:rFonts w:cs="Arial"/>
          <w:szCs w:val="20"/>
        </w:rPr>
        <w:t>(</w:t>
      </w:r>
      <w:r w:rsidR="00160316" w:rsidRPr="00316837">
        <w:rPr>
          <w:rFonts w:cs="Arial"/>
          <w:szCs w:val="20"/>
        </w:rPr>
        <w:t>Stantec</w:t>
      </w:r>
      <w:r w:rsidR="00797BBA" w:rsidRPr="00316837">
        <w:rPr>
          <w:rFonts w:cs="Arial"/>
          <w:szCs w:val="20"/>
        </w:rPr>
        <w:t xml:space="preserve"> / WS Atkins</w:t>
      </w:r>
      <w:r w:rsidR="00D27E0B" w:rsidRPr="00316837">
        <w:rPr>
          <w:rFonts w:cs="Arial"/>
          <w:szCs w:val="20"/>
        </w:rPr>
        <w:t xml:space="preserve"> International Ltd / Ecofys Germany GmbH, GFA Consulting Group GmbH, ADETEF, EPTISA, Renewable Academy RENAC AG, Centre for Renewable Energy Sources and Savings CRES, HCL Consultants Ltd, Frankfurt School of Finance and Management GmbH) led by </w:t>
      </w:r>
      <w:r w:rsidR="00160316" w:rsidRPr="00316837">
        <w:rPr>
          <w:rFonts w:cs="Arial"/>
          <w:szCs w:val="20"/>
        </w:rPr>
        <w:t>Stantec</w:t>
      </w:r>
      <w:r w:rsidR="00D27E0B" w:rsidRPr="00316837">
        <w:rPr>
          <w:rFonts w:cs="Arial"/>
          <w:szCs w:val="20"/>
        </w:rPr>
        <w:t xml:space="preserve"> </w:t>
      </w:r>
      <w:r w:rsidRPr="00316837">
        <w:rPr>
          <w:rFonts w:cs="Arial"/>
          <w:szCs w:val="20"/>
        </w:rPr>
        <w:t>and can in no ways be taken to reflect the views of the European Union. This report is prepared solely for the use and benefit of the Contracting Authority. It is the result of an independent review, and neither the Consortium, nor the authors accept or assume any responsibility or duty of care to any third party.</w:t>
      </w:r>
    </w:p>
    <w:p w14:paraId="52D6E6C3" w14:textId="77777777" w:rsidR="00C15D40" w:rsidRPr="00316837" w:rsidRDefault="00C15D40" w:rsidP="00B3656B">
      <w:pPr>
        <w:pStyle w:val="Bullets"/>
        <w:widowControl w:val="0"/>
        <w:numPr>
          <w:ilvl w:val="0"/>
          <w:numId w:val="0"/>
        </w:numPr>
        <w:ind w:left="720" w:hanging="360"/>
      </w:pPr>
    </w:p>
    <w:p w14:paraId="61709EE2" w14:textId="77777777" w:rsidR="005C044F" w:rsidRPr="00316837" w:rsidRDefault="005C044F" w:rsidP="009751BC">
      <w:pPr>
        <w:pStyle w:val="Bullets"/>
        <w:widowControl w:val="0"/>
        <w:numPr>
          <w:ilvl w:val="0"/>
          <w:numId w:val="0"/>
        </w:numPr>
        <w:ind w:left="720" w:hanging="360"/>
      </w:pPr>
    </w:p>
    <w:p w14:paraId="2A4315F4" w14:textId="77777777" w:rsidR="00D958C4" w:rsidRPr="00316837" w:rsidRDefault="00D958C4" w:rsidP="009751BC">
      <w:pPr>
        <w:rPr>
          <w:rFonts w:eastAsia="Microsoft YaHei" w:cs="Arial"/>
          <w:b/>
          <w:szCs w:val="20"/>
        </w:rPr>
      </w:pPr>
      <w:r w:rsidRPr="00316837">
        <w:rPr>
          <w:rFonts w:eastAsia="Microsoft YaHei" w:cs="Arial"/>
          <w:b/>
          <w:szCs w:val="20"/>
        </w:rPr>
        <w:t>Document history: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1558"/>
        <w:gridCol w:w="1557"/>
        <w:gridCol w:w="1557"/>
        <w:gridCol w:w="1557"/>
        <w:gridCol w:w="1557"/>
      </w:tblGrid>
      <w:tr w:rsidR="00D958C4" w:rsidRPr="00316837" w14:paraId="56CA9411" w14:textId="77777777" w:rsidTr="00551E4B">
        <w:tc>
          <w:tcPr>
            <w:tcW w:w="834" w:type="pct"/>
            <w:tcBorders>
              <w:top w:val="single" w:sz="4" w:space="0" w:color="auto"/>
              <w:left w:val="single" w:sz="4" w:space="0" w:color="auto"/>
              <w:bottom w:val="single" w:sz="4" w:space="0" w:color="auto"/>
              <w:right w:val="single" w:sz="4" w:space="0" w:color="auto"/>
            </w:tcBorders>
          </w:tcPr>
          <w:p w14:paraId="6AADEAE2" w14:textId="77777777" w:rsidR="00D958C4" w:rsidRPr="00316837" w:rsidRDefault="00D958C4" w:rsidP="00551E4B">
            <w:pPr>
              <w:pStyle w:val="Bullets"/>
              <w:numPr>
                <w:ilvl w:val="0"/>
                <w:numId w:val="0"/>
              </w:numPr>
              <w:jc w:val="left"/>
              <w:rPr>
                <w:rFonts w:cs="Arial"/>
                <w:szCs w:val="22"/>
              </w:rPr>
            </w:pPr>
            <w:r w:rsidRPr="00316837">
              <w:rPr>
                <w:rFonts w:cs="Arial"/>
                <w:szCs w:val="22"/>
              </w:rPr>
              <w:t xml:space="preserve">Revision </w:t>
            </w:r>
          </w:p>
        </w:tc>
        <w:tc>
          <w:tcPr>
            <w:tcW w:w="834" w:type="pct"/>
            <w:tcBorders>
              <w:top w:val="single" w:sz="4" w:space="0" w:color="auto"/>
              <w:left w:val="single" w:sz="4" w:space="0" w:color="auto"/>
              <w:bottom w:val="single" w:sz="4" w:space="0" w:color="auto"/>
              <w:right w:val="single" w:sz="4" w:space="0" w:color="auto"/>
            </w:tcBorders>
          </w:tcPr>
          <w:p w14:paraId="2D18D79D" w14:textId="77777777" w:rsidR="00D958C4" w:rsidRPr="00316837" w:rsidRDefault="00D958C4" w:rsidP="00551E4B">
            <w:pPr>
              <w:pStyle w:val="Bullets"/>
              <w:numPr>
                <w:ilvl w:val="0"/>
                <w:numId w:val="0"/>
              </w:numPr>
              <w:jc w:val="left"/>
              <w:rPr>
                <w:rFonts w:cs="Arial"/>
                <w:szCs w:val="22"/>
              </w:rPr>
            </w:pPr>
            <w:r w:rsidRPr="00316837">
              <w:rPr>
                <w:rFonts w:cs="Arial"/>
                <w:szCs w:val="22"/>
              </w:rPr>
              <w:t>Prepared by</w:t>
            </w:r>
          </w:p>
        </w:tc>
        <w:tc>
          <w:tcPr>
            <w:tcW w:w="833" w:type="pct"/>
            <w:tcBorders>
              <w:top w:val="single" w:sz="4" w:space="0" w:color="auto"/>
              <w:left w:val="single" w:sz="4" w:space="0" w:color="auto"/>
              <w:bottom w:val="single" w:sz="4" w:space="0" w:color="auto"/>
              <w:right w:val="single" w:sz="4" w:space="0" w:color="auto"/>
            </w:tcBorders>
          </w:tcPr>
          <w:p w14:paraId="2D147103" w14:textId="77777777" w:rsidR="00D958C4" w:rsidRPr="00316837" w:rsidRDefault="00D958C4" w:rsidP="00551E4B">
            <w:pPr>
              <w:pStyle w:val="Bullets"/>
              <w:numPr>
                <w:ilvl w:val="0"/>
                <w:numId w:val="0"/>
              </w:numPr>
              <w:jc w:val="left"/>
              <w:rPr>
                <w:rFonts w:cs="Arial"/>
                <w:szCs w:val="22"/>
              </w:rPr>
            </w:pPr>
            <w:r w:rsidRPr="00316837">
              <w:rPr>
                <w:rFonts w:cs="Arial"/>
                <w:szCs w:val="22"/>
              </w:rPr>
              <w:t>Date</w:t>
            </w:r>
          </w:p>
        </w:tc>
        <w:tc>
          <w:tcPr>
            <w:tcW w:w="833" w:type="pct"/>
            <w:tcBorders>
              <w:top w:val="single" w:sz="4" w:space="0" w:color="auto"/>
              <w:left w:val="single" w:sz="4" w:space="0" w:color="auto"/>
              <w:bottom w:val="single" w:sz="4" w:space="0" w:color="auto"/>
              <w:right w:val="single" w:sz="4" w:space="0" w:color="auto"/>
            </w:tcBorders>
          </w:tcPr>
          <w:p w14:paraId="044044CE" w14:textId="77777777" w:rsidR="00D958C4" w:rsidRPr="00316837" w:rsidRDefault="00D958C4" w:rsidP="00551E4B">
            <w:pPr>
              <w:pStyle w:val="Bullets"/>
              <w:numPr>
                <w:ilvl w:val="0"/>
                <w:numId w:val="0"/>
              </w:numPr>
              <w:jc w:val="left"/>
              <w:rPr>
                <w:rFonts w:cs="Arial"/>
                <w:szCs w:val="22"/>
              </w:rPr>
            </w:pPr>
            <w:r w:rsidRPr="00316837">
              <w:rPr>
                <w:rFonts w:cs="Arial"/>
                <w:szCs w:val="22"/>
              </w:rPr>
              <w:t>Reviewed by</w:t>
            </w:r>
          </w:p>
        </w:tc>
        <w:tc>
          <w:tcPr>
            <w:tcW w:w="833" w:type="pct"/>
            <w:tcBorders>
              <w:top w:val="single" w:sz="4" w:space="0" w:color="auto"/>
              <w:left w:val="single" w:sz="4" w:space="0" w:color="auto"/>
              <w:bottom w:val="single" w:sz="4" w:space="0" w:color="auto"/>
              <w:right w:val="single" w:sz="4" w:space="0" w:color="auto"/>
            </w:tcBorders>
          </w:tcPr>
          <w:p w14:paraId="309C359B" w14:textId="77777777" w:rsidR="00D958C4" w:rsidRPr="00316837" w:rsidRDefault="00D958C4" w:rsidP="00551E4B">
            <w:pPr>
              <w:pStyle w:val="Bullets"/>
              <w:numPr>
                <w:ilvl w:val="0"/>
                <w:numId w:val="0"/>
              </w:numPr>
              <w:jc w:val="left"/>
              <w:rPr>
                <w:rFonts w:cs="Arial"/>
                <w:szCs w:val="22"/>
              </w:rPr>
            </w:pPr>
            <w:r w:rsidRPr="00316837">
              <w:rPr>
                <w:rFonts w:cs="Arial"/>
                <w:szCs w:val="22"/>
              </w:rPr>
              <w:t>Date</w:t>
            </w:r>
          </w:p>
        </w:tc>
        <w:tc>
          <w:tcPr>
            <w:tcW w:w="833" w:type="pct"/>
            <w:tcBorders>
              <w:top w:val="single" w:sz="4" w:space="0" w:color="auto"/>
              <w:left w:val="single" w:sz="4" w:space="0" w:color="auto"/>
              <w:bottom w:val="single" w:sz="4" w:space="0" w:color="auto"/>
              <w:right w:val="single" w:sz="4" w:space="0" w:color="auto"/>
            </w:tcBorders>
          </w:tcPr>
          <w:p w14:paraId="73C13992" w14:textId="77777777" w:rsidR="00D958C4" w:rsidRPr="00316837" w:rsidRDefault="00D958C4" w:rsidP="00551E4B">
            <w:pPr>
              <w:pStyle w:val="Bullets"/>
              <w:numPr>
                <w:ilvl w:val="0"/>
                <w:numId w:val="0"/>
              </w:numPr>
              <w:jc w:val="left"/>
              <w:rPr>
                <w:rFonts w:cs="Arial"/>
                <w:szCs w:val="22"/>
              </w:rPr>
            </w:pPr>
            <w:r w:rsidRPr="00316837">
              <w:rPr>
                <w:rFonts w:cs="Arial"/>
                <w:szCs w:val="22"/>
              </w:rPr>
              <w:t>Comments</w:t>
            </w:r>
          </w:p>
        </w:tc>
      </w:tr>
      <w:tr w:rsidR="00C342E0" w:rsidRPr="00316837" w14:paraId="7F516BE6" w14:textId="77777777" w:rsidTr="00551E4B">
        <w:tc>
          <w:tcPr>
            <w:tcW w:w="834" w:type="pct"/>
            <w:tcBorders>
              <w:top w:val="single" w:sz="4" w:space="0" w:color="auto"/>
              <w:left w:val="single" w:sz="4" w:space="0" w:color="auto"/>
              <w:bottom w:val="single" w:sz="4" w:space="0" w:color="auto"/>
              <w:right w:val="single" w:sz="4" w:space="0" w:color="auto"/>
            </w:tcBorders>
          </w:tcPr>
          <w:p w14:paraId="349F3E19" w14:textId="7A9CA4E4" w:rsidR="00C342E0" w:rsidRPr="00316837" w:rsidRDefault="00C342E0" w:rsidP="00551E4B">
            <w:pPr>
              <w:pStyle w:val="Bullets"/>
              <w:numPr>
                <w:ilvl w:val="0"/>
                <w:numId w:val="0"/>
              </w:numPr>
              <w:jc w:val="left"/>
              <w:rPr>
                <w:rFonts w:cs="Arial"/>
                <w:szCs w:val="22"/>
              </w:rPr>
            </w:pPr>
            <w:r w:rsidRPr="00316837">
              <w:rPr>
                <w:rFonts w:eastAsia="Calibri" w:cs="Arial"/>
                <w:szCs w:val="21"/>
              </w:rPr>
              <w:t xml:space="preserve">Ver 1 </w:t>
            </w:r>
          </w:p>
        </w:tc>
        <w:tc>
          <w:tcPr>
            <w:tcW w:w="834" w:type="pct"/>
            <w:tcBorders>
              <w:top w:val="single" w:sz="4" w:space="0" w:color="auto"/>
              <w:left w:val="single" w:sz="4" w:space="0" w:color="auto"/>
              <w:bottom w:val="single" w:sz="4" w:space="0" w:color="auto"/>
              <w:right w:val="single" w:sz="4" w:space="0" w:color="auto"/>
            </w:tcBorders>
          </w:tcPr>
          <w:p w14:paraId="5C1E0A77" w14:textId="538D848D" w:rsidR="00C342E0" w:rsidRPr="00316837" w:rsidRDefault="00A86BC5" w:rsidP="00551E4B">
            <w:pPr>
              <w:pageBreakBefore/>
              <w:spacing w:before="0" w:line="360" w:lineRule="auto"/>
              <w:jc w:val="left"/>
              <w:rPr>
                <w:rFonts w:cs="Arial"/>
                <w:szCs w:val="22"/>
              </w:rPr>
            </w:pPr>
            <w:r w:rsidRPr="00316837">
              <w:rPr>
                <w:rFonts w:cs="Arial"/>
                <w:szCs w:val="22"/>
              </w:rPr>
              <w:t>NKE09, NKE10, and NKE04</w:t>
            </w:r>
          </w:p>
        </w:tc>
        <w:tc>
          <w:tcPr>
            <w:tcW w:w="833" w:type="pct"/>
            <w:tcBorders>
              <w:top w:val="single" w:sz="4" w:space="0" w:color="auto"/>
              <w:left w:val="single" w:sz="4" w:space="0" w:color="auto"/>
              <w:bottom w:val="single" w:sz="4" w:space="0" w:color="auto"/>
              <w:right w:val="single" w:sz="4" w:space="0" w:color="auto"/>
            </w:tcBorders>
          </w:tcPr>
          <w:p w14:paraId="078458B7" w14:textId="5D8A6B18" w:rsidR="00C342E0" w:rsidRPr="00316837" w:rsidRDefault="00A86BC5" w:rsidP="00551E4B">
            <w:pPr>
              <w:pStyle w:val="Bullets"/>
              <w:numPr>
                <w:ilvl w:val="0"/>
                <w:numId w:val="0"/>
              </w:numPr>
              <w:jc w:val="left"/>
              <w:rPr>
                <w:rFonts w:cs="Arial"/>
                <w:szCs w:val="22"/>
              </w:rPr>
            </w:pPr>
            <w:r w:rsidRPr="00316837">
              <w:rPr>
                <w:rFonts w:cs="Arial"/>
                <w:szCs w:val="22"/>
              </w:rPr>
              <w:t>1</w:t>
            </w:r>
            <w:r w:rsidR="00363905" w:rsidRPr="00316837">
              <w:rPr>
                <w:rFonts w:cs="Arial"/>
                <w:szCs w:val="22"/>
              </w:rPr>
              <w:t>5</w:t>
            </w:r>
            <w:r w:rsidRPr="00316837">
              <w:rPr>
                <w:rFonts w:cs="Arial"/>
                <w:szCs w:val="22"/>
              </w:rPr>
              <w:t xml:space="preserve"> July 2021</w:t>
            </w:r>
          </w:p>
        </w:tc>
        <w:tc>
          <w:tcPr>
            <w:tcW w:w="833" w:type="pct"/>
            <w:tcBorders>
              <w:top w:val="single" w:sz="4" w:space="0" w:color="auto"/>
              <w:left w:val="single" w:sz="4" w:space="0" w:color="auto"/>
              <w:bottom w:val="single" w:sz="4" w:space="0" w:color="auto"/>
              <w:right w:val="single" w:sz="4" w:space="0" w:color="auto"/>
            </w:tcBorders>
          </w:tcPr>
          <w:p w14:paraId="7B4C2404" w14:textId="11BB0405" w:rsidR="00C342E0" w:rsidRPr="00316837" w:rsidRDefault="00A86BC5" w:rsidP="00551E4B">
            <w:pPr>
              <w:pStyle w:val="Bullets"/>
              <w:numPr>
                <w:ilvl w:val="0"/>
                <w:numId w:val="0"/>
              </w:numPr>
              <w:jc w:val="left"/>
              <w:rPr>
                <w:rFonts w:cs="Arial"/>
                <w:szCs w:val="22"/>
              </w:rPr>
            </w:pPr>
            <w:r w:rsidRPr="00316837">
              <w:rPr>
                <w:rFonts w:cs="Arial"/>
                <w:szCs w:val="22"/>
              </w:rPr>
              <w:t>NKE01</w:t>
            </w:r>
          </w:p>
        </w:tc>
        <w:tc>
          <w:tcPr>
            <w:tcW w:w="833" w:type="pct"/>
            <w:tcBorders>
              <w:top w:val="single" w:sz="4" w:space="0" w:color="auto"/>
              <w:left w:val="single" w:sz="4" w:space="0" w:color="auto"/>
              <w:bottom w:val="single" w:sz="4" w:space="0" w:color="auto"/>
              <w:right w:val="single" w:sz="4" w:space="0" w:color="auto"/>
            </w:tcBorders>
          </w:tcPr>
          <w:p w14:paraId="330EAEDB" w14:textId="77777777" w:rsidR="00C342E0" w:rsidRPr="00316837" w:rsidRDefault="00C342E0"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5556D5B5" w14:textId="77777777" w:rsidR="00C342E0" w:rsidRPr="00316837" w:rsidRDefault="00C342E0" w:rsidP="00551E4B">
            <w:pPr>
              <w:pStyle w:val="Bullets"/>
              <w:numPr>
                <w:ilvl w:val="0"/>
                <w:numId w:val="0"/>
              </w:numPr>
              <w:jc w:val="left"/>
              <w:rPr>
                <w:rFonts w:cs="Arial"/>
                <w:szCs w:val="22"/>
              </w:rPr>
            </w:pPr>
          </w:p>
        </w:tc>
      </w:tr>
      <w:tr w:rsidR="00757C1F" w:rsidRPr="00316837" w14:paraId="216DFD6E" w14:textId="77777777" w:rsidTr="00551E4B">
        <w:tc>
          <w:tcPr>
            <w:tcW w:w="834" w:type="pct"/>
            <w:tcBorders>
              <w:top w:val="single" w:sz="4" w:space="0" w:color="auto"/>
              <w:left w:val="single" w:sz="4" w:space="0" w:color="auto"/>
              <w:bottom w:val="single" w:sz="4" w:space="0" w:color="auto"/>
              <w:right w:val="single" w:sz="4" w:space="0" w:color="auto"/>
            </w:tcBorders>
          </w:tcPr>
          <w:p w14:paraId="306D4AFB" w14:textId="14131D81" w:rsidR="00757C1F" w:rsidRPr="00316837" w:rsidRDefault="00757C1F" w:rsidP="00551E4B">
            <w:pPr>
              <w:pStyle w:val="Bullets"/>
              <w:numPr>
                <w:ilvl w:val="0"/>
                <w:numId w:val="0"/>
              </w:numPr>
              <w:jc w:val="left"/>
              <w:rPr>
                <w:rFonts w:eastAsia="Calibri" w:cs="Arial"/>
                <w:szCs w:val="21"/>
              </w:rPr>
            </w:pPr>
          </w:p>
        </w:tc>
        <w:tc>
          <w:tcPr>
            <w:tcW w:w="834" w:type="pct"/>
            <w:tcBorders>
              <w:top w:val="single" w:sz="4" w:space="0" w:color="auto"/>
              <w:left w:val="single" w:sz="4" w:space="0" w:color="auto"/>
              <w:bottom w:val="single" w:sz="4" w:space="0" w:color="auto"/>
              <w:right w:val="single" w:sz="4" w:space="0" w:color="auto"/>
            </w:tcBorders>
          </w:tcPr>
          <w:p w14:paraId="6BE25D4B" w14:textId="604A0E4A" w:rsidR="00757C1F" w:rsidRPr="00316837" w:rsidRDefault="00757C1F" w:rsidP="00551E4B">
            <w:pPr>
              <w:pageBreakBefore/>
              <w:spacing w:before="0" w:line="360" w:lineRule="auto"/>
              <w:jc w:val="left"/>
              <w:rPr>
                <w:rFonts w:eastAsia="Calibri" w:cs="Arial"/>
                <w:szCs w:val="21"/>
              </w:rPr>
            </w:pPr>
          </w:p>
        </w:tc>
        <w:tc>
          <w:tcPr>
            <w:tcW w:w="833" w:type="pct"/>
            <w:tcBorders>
              <w:top w:val="single" w:sz="4" w:space="0" w:color="auto"/>
              <w:left w:val="single" w:sz="4" w:space="0" w:color="auto"/>
              <w:bottom w:val="single" w:sz="4" w:space="0" w:color="auto"/>
              <w:right w:val="single" w:sz="4" w:space="0" w:color="auto"/>
            </w:tcBorders>
          </w:tcPr>
          <w:p w14:paraId="6621E57A" w14:textId="704348BB" w:rsidR="00757C1F" w:rsidRPr="00316837" w:rsidRDefault="00757C1F"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3D6D746E" w14:textId="77777777" w:rsidR="00757C1F" w:rsidRPr="00316837" w:rsidRDefault="00757C1F"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2B186426" w14:textId="77777777" w:rsidR="00757C1F" w:rsidRPr="00316837" w:rsidRDefault="00757C1F"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61C6C485" w14:textId="77777777" w:rsidR="00757C1F" w:rsidRPr="00316837" w:rsidRDefault="00757C1F" w:rsidP="00551E4B">
            <w:pPr>
              <w:pStyle w:val="Bullets"/>
              <w:numPr>
                <w:ilvl w:val="0"/>
                <w:numId w:val="0"/>
              </w:numPr>
              <w:jc w:val="left"/>
              <w:rPr>
                <w:rFonts w:cs="Arial"/>
                <w:szCs w:val="22"/>
              </w:rPr>
            </w:pPr>
          </w:p>
        </w:tc>
      </w:tr>
      <w:tr w:rsidR="00D958C4" w:rsidRPr="00316837" w14:paraId="1809F7AB" w14:textId="77777777" w:rsidTr="00551E4B">
        <w:tc>
          <w:tcPr>
            <w:tcW w:w="834" w:type="pct"/>
            <w:tcBorders>
              <w:top w:val="single" w:sz="4" w:space="0" w:color="auto"/>
              <w:left w:val="single" w:sz="4" w:space="0" w:color="auto"/>
              <w:bottom w:val="single" w:sz="4" w:space="0" w:color="auto"/>
              <w:right w:val="single" w:sz="4" w:space="0" w:color="auto"/>
            </w:tcBorders>
          </w:tcPr>
          <w:p w14:paraId="71A54D03" w14:textId="6BAA2C53" w:rsidR="00D958C4" w:rsidRPr="00316837" w:rsidRDefault="00D958C4" w:rsidP="00551E4B">
            <w:pPr>
              <w:pStyle w:val="Bullets"/>
              <w:numPr>
                <w:ilvl w:val="0"/>
                <w:numId w:val="0"/>
              </w:numPr>
              <w:jc w:val="left"/>
              <w:rPr>
                <w:rFonts w:cs="Arial"/>
                <w:szCs w:val="22"/>
              </w:rPr>
            </w:pPr>
          </w:p>
        </w:tc>
        <w:tc>
          <w:tcPr>
            <w:tcW w:w="834" w:type="pct"/>
            <w:tcBorders>
              <w:top w:val="single" w:sz="4" w:space="0" w:color="auto"/>
              <w:left w:val="single" w:sz="4" w:space="0" w:color="auto"/>
              <w:bottom w:val="single" w:sz="4" w:space="0" w:color="auto"/>
              <w:right w:val="single" w:sz="4" w:space="0" w:color="auto"/>
            </w:tcBorders>
          </w:tcPr>
          <w:p w14:paraId="6D887309" w14:textId="2227CB2C" w:rsidR="00D958C4" w:rsidRPr="00316837" w:rsidRDefault="00D958C4"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26B1FF5B" w14:textId="74DB7516" w:rsidR="00D958C4" w:rsidRPr="00316837" w:rsidRDefault="00D958C4"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159E0CDE" w14:textId="77777777" w:rsidR="00D958C4" w:rsidRPr="00316837" w:rsidRDefault="00D958C4"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6B606D13" w14:textId="77777777" w:rsidR="00D958C4" w:rsidRPr="00316837" w:rsidRDefault="00D958C4"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6D45563B" w14:textId="77777777" w:rsidR="00D958C4" w:rsidRPr="00316837" w:rsidRDefault="00D958C4" w:rsidP="00551E4B">
            <w:pPr>
              <w:pStyle w:val="Bullets"/>
              <w:numPr>
                <w:ilvl w:val="0"/>
                <w:numId w:val="0"/>
              </w:numPr>
              <w:jc w:val="left"/>
              <w:rPr>
                <w:rFonts w:cs="Arial"/>
                <w:szCs w:val="22"/>
              </w:rPr>
            </w:pPr>
          </w:p>
        </w:tc>
      </w:tr>
      <w:tr w:rsidR="00E27EF2" w:rsidRPr="00316837" w14:paraId="5DCE5B17" w14:textId="77777777" w:rsidTr="00551E4B">
        <w:tc>
          <w:tcPr>
            <w:tcW w:w="834" w:type="pct"/>
            <w:tcBorders>
              <w:top w:val="single" w:sz="4" w:space="0" w:color="auto"/>
              <w:left w:val="single" w:sz="4" w:space="0" w:color="auto"/>
              <w:bottom w:val="single" w:sz="4" w:space="0" w:color="auto"/>
              <w:right w:val="single" w:sz="4" w:space="0" w:color="auto"/>
            </w:tcBorders>
          </w:tcPr>
          <w:p w14:paraId="3C3C0C8B" w14:textId="42B0FB5F" w:rsidR="00E27EF2" w:rsidRPr="00316837" w:rsidRDefault="00E27EF2" w:rsidP="00551E4B">
            <w:pPr>
              <w:pStyle w:val="Bullets"/>
              <w:numPr>
                <w:ilvl w:val="0"/>
                <w:numId w:val="0"/>
              </w:numPr>
              <w:jc w:val="left"/>
              <w:rPr>
                <w:rFonts w:cs="Arial"/>
                <w:szCs w:val="22"/>
              </w:rPr>
            </w:pPr>
          </w:p>
        </w:tc>
        <w:tc>
          <w:tcPr>
            <w:tcW w:w="834" w:type="pct"/>
            <w:tcBorders>
              <w:top w:val="single" w:sz="4" w:space="0" w:color="auto"/>
              <w:left w:val="single" w:sz="4" w:space="0" w:color="auto"/>
              <w:bottom w:val="single" w:sz="4" w:space="0" w:color="auto"/>
              <w:right w:val="single" w:sz="4" w:space="0" w:color="auto"/>
            </w:tcBorders>
          </w:tcPr>
          <w:p w14:paraId="66B9F2BB" w14:textId="386CD841" w:rsidR="00E27EF2" w:rsidRPr="00316837" w:rsidRDefault="00E27EF2"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06A1DFA8" w14:textId="7A736815" w:rsidR="00E27EF2" w:rsidRPr="00316837" w:rsidRDefault="00E27EF2"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0B0DDCD8" w14:textId="77777777" w:rsidR="00E27EF2" w:rsidRPr="00316837" w:rsidRDefault="00E27EF2"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2DDDEF69" w14:textId="77777777" w:rsidR="00E27EF2" w:rsidRPr="00316837" w:rsidRDefault="00E27EF2"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363657AD" w14:textId="77777777" w:rsidR="00E27EF2" w:rsidRPr="00316837" w:rsidRDefault="00E27EF2" w:rsidP="00551E4B">
            <w:pPr>
              <w:pStyle w:val="Bullets"/>
              <w:numPr>
                <w:ilvl w:val="0"/>
                <w:numId w:val="0"/>
              </w:numPr>
              <w:jc w:val="left"/>
              <w:rPr>
                <w:rFonts w:cs="Arial"/>
                <w:szCs w:val="22"/>
              </w:rPr>
            </w:pPr>
          </w:p>
        </w:tc>
      </w:tr>
      <w:tr w:rsidR="001465E6" w:rsidRPr="00316837" w14:paraId="370B1A6D" w14:textId="77777777" w:rsidTr="00551E4B">
        <w:tc>
          <w:tcPr>
            <w:tcW w:w="834" w:type="pct"/>
            <w:tcBorders>
              <w:top w:val="single" w:sz="4" w:space="0" w:color="auto"/>
              <w:left w:val="single" w:sz="4" w:space="0" w:color="auto"/>
              <w:bottom w:val="single" w:sz="4" w:space="0" w:color="auto"/>
              <w:right w:val="single" w:sz="4" w:space="0" w:color="auto"/>
            </w:tcBorders>
          </w:tcPr>
          <w:p w14:paraId="7476321A" w14:textId="306D3287" w:rsidR="001465E6" w:rsidRPr="00316837" w:rsidRDefault="001465E6" w:rsidP="00551E4B">
            <w:pPr>
              <w:pStyle w:val="Bullets"/>
              <w:numPr>
                <w:ilvl w:val="0"/>
                <w:numId w:val="0"/>
              </w:numPr>
              <w:jc w:val="left"/>
              <w:rPr>
                <w:rFonts w:cs="Arial"/>
                <w:szCs w:val="22"/>
              </w:rPr>
            </w:pPr>
          </w:p>
        </w:tc>
        <w:tc>
          <w:tcPr>
            <w:tcW w:w="834" w:type="pct"/>
            <w:tcBorders>
              <w:top w:val="single" w:sz="4" w:space="0" w:color="auto"/>
              <w:left w:val="single" w:sz="4" w:space="0" w:color="auto"/>
              <w:bottom w:val="single" w:sz="4" w:space="0" w:color="auto"/>
              <w:right w:val="single" w:sz="4" w:space="0" w:color="auto"/>
            </w:tcBorders>
          </w:tcPr>
          <w:p w14:paraId="756CF9FE" w14:textId="45177841" w:rsidR="001465E6" w:rsidRPr="00316837" w:rsidRDefault="001465E6"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70BF6A80" w14:textId="1AA84979" w:rsidR="001465E6" w:rsidRPr="00316837" w:rsidRDefault="001465E6"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7A65999F" w14:textId="77777777" w:rsidR="001465E6" w:rsidRPr="00316837" w:rsidRDefault="001465E6" w:rsidP="00551E4B">
            <w:pPr>
              <w:pStyle w:val="Bullets"/>
              <w:numPr>
                <w:ilvl w:val="0"/>
                <w:numId w:val="0"/>
              </w:numPr>
              <w:jc w:val="left"/>
              <w:rPr>
                <w:rFonts w:cs="Arial"/>
                <w:szCs w:val="22"/>
              </w:rPr>
            </w:pPr>
          </w:p>
        </w:tc>
        <w:tc>
          <w:tcPr>
            <w:tcW w:w="833" w:type="pct"/>
            <w:tcBorders>
              <w:top w:val="single" w:sz="4" w:space="0" w:color="auto"/>
              <w:left w:val="single" w:sz="4" w:space="0" w:color="auto"/>
              <w:bottom w:val="single" w:sz="4" w:space="0" w:color="auto"/>
              <w:right w:val="single" w:sz="4" w:space="0" w:color="auto"/>
            </w:tcBorders>
          </w:tcPr>
          <w:p w14:paraId="26C362F9" w14:textId="77777777" w:rsidR="001465E6" w:rsidRPr="00316837" w:rsidRDefault="001465E6" w:rsidP="00551E4B">
            <w:pPr>
              <w:pStyle w:val="Bullets"/>
              <w:numPr>
                <w:ilvl w:val="0"/>
                <w:numId w:val="0"/>
              </w:numPr>
              <w:jc w:val="left"/>
              <w:rPr>
                <w:sz w:val="16"/>
              </w:rPr>
            </w:pPr>
          </w:p>
        </w:tc>
        <w:tc>
          <w:tcPr>
            <w:tcW w:w="833" w:type="pct"/>
            <w:tcBorders>
              <w:top w:val="single" w:sz="4" w:space="0" w:color="auto"/>
              <w:left w:val="single" w:sz="4" w:space="0" w:color="auto"/>
              <w:bottom w:val="single" w:sz="4" w:space="0" w:color="auto"/>
              <w:right w:val="single" w:sz="4" w:space="0" w:color="auto"/>
            </w:tcBorders>
          </w:tcPr>
          <w:p w14:paraId="30B8A7D3" w14:textId="77777777" w:rsidR="001465E6" w:rsidRPr="00316837" w:rsidRDefault="001465E6" w:rsidP="00551E4B">
            <w:pPr>
              <w:pStyle w:val="Bullets"/>
              <w:numPr>
                <w:ilvl w:val="0"/>
                <w:numId w:val="0"/>
              </w:numPr>
              <w:jc w:val="left"/>
              <w:rPr>
                <w:rFonts w:cs="Arial"/>
                <w:szCs w:val="22"/>
              </w:rPr>
            </w:pPr>
          </w:p>
        </w:tc>
      </w:tr>
    </w:tbl>
    <w:p w14:paraId="68918AF4" w14:textId="77777777" w:rsidR="00980795" w:rsidRPr="00316837" w:rsidRDefault="00980795" w:rsidP="00F65FDD">
      <w:pPr>
        <w:pStyle w:val="Bullets"/>
        <w:widowControl w:val="0"/>
        <w:numPr>
          <w:ilvl w:val="0"/>
          <w:numId w:val="0"/>
        </w:numPr>
      </w:pPr>
    </w:p>
    <w:p w14:paraId="1DF8B111" w14:textId="68ADA4A0" w:rsidR="00980795" w:rsidRPr="00316837" w:rsidRDefault="00980795" w:rsidP="0074334B">
      <w:pPr>
        <w:pStyle w:val="Bullets"/>
        <w:widowControl w:val="0"/>
        <w:numPr>
          <w:ilvl w:val="0"/>
          <w:numId w:val="0"/>
        </w:numPr>
        <w:sectPr w:rsidR="00980795" w:rsidRPr="00316837" w:rsidSect="00A3058D">
          <w:pgSz w:w="11906" w:h="16838" w:code="9"/>
          <w:pgMar w:top="1701" w:right="1134" w:bottom="1276" w:left="1418" w:header="720" w:footer="567" w:gutter="0"/>
          <w:pgNumType w:fmt="lowerRoman"/>
          <w:cols w:sep="1" w:space="709"/>
        </w:sectPr>
      </w:pPr>
    </w:p>
    <w:p w14:paraId="3EFF8CDB" w14:textId="69EC7BC5" w:rsidR="00C342E0" w:rsidRPr="00316837" w:rsidRDefault="00C342E0" w:rsidP="0074334B">
      <w:pPr>
        <w:pStyle w:val="Heading1"/>
        <w:numPr>
          <w:ilvl w:val="0"/>
          <w:numId w:val="0"/>
        </w:numPr>
      </w:pPr>
      <w:bookmarkStart w:id="3" w:name="_Toc56533350"/>
      <w:bookmarkStart w:id="4" w:name="_Ref77253400"/>
      <w:bookmarkStart w:id="5" w:name="_Toc77260278"/>
      <w:r w:rsidRPr="00C632F6">
        <w:lastRenderedPageBreak/>
        <w:t>Acknowledgements</w:t>
      </w:r>
      <w:bookmarkEnd w:id="3"/>
      <w:bookmarkEnd w:id="4"/>
      <w:bookmarkEnd w:id="5"/>
    </w:p>
    <w:p w14:paraId="70976380" w14:textId="77777777" w:rsidR="00A3058D" w:rsidRPr="00316837" w:rsidRDefault="00C342E0" w:rsidP="00A21496">
      <w:pPr>
        <w:widowControl w:val="0"/>
        <w:rPr>
          <w:rFonts w:cs="Arial"/>
          <w:szCs w:val="20"/>
          <w:lang w:eastAsia="en-GB"/>
        </w:rPr>
      </w:pPr>
      <w:r w:rsidRPr="00316837">
        <w:rPr>
          <w:rFonts w:cs="Arial"/>
          <w:szCs w:val="20"/>
          <w:lang w:eastAsia="en-GB"/>
        </w:rPr>
        <w:t xml:space="preserve">This report presents the results of Phase </w:t>
      </w:r>
      <w:r w:rsidR="001018AA" w:rsidRPr="00316837">
        <w:rPr>
          <w:rFonts w:cs="Arial"/>
          <w:szCs w:val="20"/>
          <w:lang w:eastAsia="en-GB"/>
        </w:rPr>
        <w:t>3</w:t>
      </w:r>
      <w:r w:rsidRPr="00316837">
        <w:rPr>
          <w:rFonts w:cs="Arial"/>
          <w:szCs w:val="20"/>
          <w:lang w:eastAsia="en-GB"/>
        </w:rPr>
        <w:t xml:space="preserve"> </w:t>
      </w:r>
      <w:r w:rsidR="00A3058D" w:rsidRPr="00316837">
        <w:rPr>
          <w:rFonts w:cs="Arial"/>
          <w:szCs w:val="20"/>
          <w:lang w:eastAsia="en-GB"/>
        </w:rPr>
        <w:t>–</w:t>
      </w:r>
      <w:r w:rsidRPr="00316837">
        <w:rPr>
          <w:rFonts w:cs="Arial"/>
          <w:szCs w:val="20"/>
          <w:lang w:eastAsia="en-GB"/>
        </w:rPr>
        <w:t xml:space="preserve"> </w:t>
      </w:r>
      <w:r w:rsidR="001018AA" w:rsidRPr="00316837">
        <w:rPr>
          <w:rFonts w:cs="Arial"/>
          <w:szCs w:val="20"/>
          <w:lang w:eastAsia="en-GB"/>
        </w:rPr>
        <w:t>Formulation</w:t>
      </w:r>
      <w:r w:rsidR="00A3058D" w:rsidRPr="00316837">
        <w:rPr>
          <w:rFonts w:cs="Arial"/>
          <w:szCs w:val="20"/>
          <w:lang w:eastAsia="en-GB"/>
        </w:rPr>
        <w:t xml:space="preserve"> </w:t>
      </w:r>
      <w:r w:rsidR="001018AA" w:rsidRPr="00316837">
        <w:rPr>
          <w:rFonts w:cs="Arial"/>
          <w:szCs w:val="20"/>
          <w:lang w:eastAsia="en-GB"/>
        </w:rPr>
        <w:t xml:space="preserve">of AfSEM’s strategic objectives, Task </w:t>
      </w:r>
      <w:r w:rsidR="00A3058D" w:rsidRPr="00316837">
        <w:rPr>
          <w:rFonts w:cs="Arial"/>
          <w:szCs w:val="20"/>
          <w:lang w:eastAsia="en-GB"/>
        </w:rPr>
        <w:t>2</w:t>
      </w:r>
      <w:r w:rsidR="001018AA" w:rsidRPr="00316837">
        <w:rPr>
          <w:rFonts w:cs="Arial"/>
          <w:szCs w:val="20"/>
          <w:lang w:eastAsia="en-GB"/>
        </w:rPr>
        <w:t>:</w:t>
      </w:r>
      <w:r w:rsidR="00A21496" w:rsidRPr="00316837">
        <w:rPr>
          <w:rFonts w:cs="Arial"/>
          <w:szCs w:val="20"/>
          <w:lang w:eastAsia="en-GB"/>
        </w:rPr>
        <w:t xml:space="preserve"> </w:t>
      </w:r>
      <w:r w:rsidR="00A3058D" w:rsidRPr="00316837">
        <w:rPr>
          <w:rFonts w:cs="Arial"/>
          <w:szCs w:val="20"/>
          <w:lang w:eastAsia="en-GB"/>
        </w:rPr>
        <w:t>Technical and Operational Readiness</w:t>
      </w:r>
      <w:r w:rsidR="001018AA" w:rsidRPr="00316837">
        <w:rPr>
          <w:rFonts w:cs="Arial"/>
          <w:szCs w:val="20"/>
          <w:lang w:eastAsia="en-GB"/>
        </w:rPr>
        <w:t xml:space="preserve"> </w:t>
      </w:r>
      <w:r w:rsidRPr="00316837">
        <w:rPr>
          <w:rFonts w:cs="Arial"/>
          <w:szCs w:val="20"/>
          <w:lang w:eastAsia="en-GB"/>
        </w:rPr>
        <w:t xml:space="preserve">for Lot </w:t>
      </w:r>
      <w:r w:rsidR="00A21496" w:rsidRPr="00316837">
        <w:rPr>
          <w:rFonts w:cs="Arial"/>
          <w:szCs w:val="20"/>
          <w:lang w:eastAsia="en-GB"/>
        </w:rPr>
        <w:t>9</w:t>
      </w:r>
      <w:r w:rsidRPr="00316837">
        <w:rPr>
          <w:rFonts w:cs="Arial"/>
          <w:szCs w:val="20"/>
          <w:lang w:eastAsia="en-GB"/>
        </w:rPr>
        <w:t>.</w:t>
      </w:r>
      <w:r w:rsidR="00A21496" w:rsidRPr="00316837">
        <w:rPr>
          <w:rFonts w:cs="Arial"/>
          <w:szCs w:val="20"/>
          <w:lang w:eastAsia="en-GB"/>
        </w:rPr>
        <w:t>5</w:t>
      </w:r>
      <w:r w:rsidRPr="00316837">
        <w:rPr>
          <w:rFonts w:cs="Arial"/>
          <w:szCs w:val="20"/>
          <w:lang w:eastAsia="en-GB"/>
        </w:rPr>
        <w:t xml:space="preserve">: </w:t>
      </w:r>
      <w:r w:rsidR="00A21496" w:rsidRPr="00316837">
        <w:rPr>
          <w:rFonts w:cs="Arial"/>
          <w:szCs w:val="20"/>
          <w:lang w:eastAsia="en-GB"/>
        </w:rPr>
        <w:t>Strategic Planning, Action Plan and Guidelines for the African Single Electricity Market (AfSEM)</w:t>
      </w:r>
      <w:r w:rsidRPr="00316837">
        <w:rPr>
          <w:rFonts w:cs="Arial"/>
          <w:szCs w:val="20"/>
          <w:lang w:eastAsia="en-GB"/>
        </w:rPr>
        <w:t xml:space="preserve">. </w:t>
      </w:r>
    </w:p>
    <w:p w14:paraId="783ABE6A" w14:textId="223544A6" w:rsidR="00C342E0" w:rsidRPr="00316837" w:rsidRDefault="00A3058D" w:rsidP="00A21496">
      <w:pPr>
        <w:widowControl w:val="0"/>
        <w:rPr>
          <w:rFonts w:cs="Arial"/>
          <w:szCs w:val="20"/>
          <w:lang w:eastAsia="en-GB"/>
        </w:rPr>
      </w:pPr>
      <w:r w:rsidRPr="00316837">
        <w:rPr>
          <w:rFonts w:cs="Arial"/>
          <w:szCs w:val="20"/>
          <w:lang w:eastAsia="en-GB"/>
        </w:rPr>
        <w:t xml:space="preserve">The EU TAF team would like to express its most sincere thanks to all those who have provided their precious time and advice towards developing this report. The Team would also like to express its deep appreciation to AUC-DIE represented by Mr. Atef Marzouk, the Delegation of the European Union to the African Union represented by Messrs. Thomas Huyghebaert and Stephan Fox. </w:t>
      </w:r>
    </w:p>
    <w:p w14:paraId="00A7D622" w14:textId="2F917AE4" w:rsidR="00C342E0" w:rsidRPr="00316837" w:rsidRDefault="00A3058D" w:rsidP="0074334B">
      <w:pPr>
        <w:widowControl w:val="0"/>
        <w:rPr>
          <w:rFonts w:cs="Arial"/>
          <w:szCs w:val="20"/>
          <w:lang w:eastAsia="en-GB"/>
        </w:rPr>
      </w:pPr>
      <w:r w:rsidRPr="00316837">
        <w:rPr>
          <w:rFonts w:cs="Arial"/>
          <w:szCs w:val="20"/>
          <w:lang w:eastAsia="en-GB"/>
        </w:rPr>
        <w:t xml:space="preserve">The EU TAF Team of NKEs: </w:t>
      </w:r>
    </w:p>
    <w:p w14:paraId="41CE7FF0" w14:textId="31DB05EF" w:rsidR="00C342E0" w:rsidRPr="00316837" w:rsidRDefault="00C342E0" w:rsidP="00744D32">
      <w:pPr>
        <w:widowControl w:val="0"/>
        <w:numPr>
          <w:ilvl w:val="0"/>
          <w:numId w:val="13"/>
        </w:numPr>
        <w:ind w:left="714" w:hanging="357"/>
        <w:rPr>
          <w:rFonts w:cs="Arial"/>
          <w:szCs w:val="20"/>
          <w:lang w:eastAsia="en-GB"/>
        </w:rPr>
      </w:pPr>
      <w:r w:rsidRPr="00316837">
        <w:rPr>
          <w:rFonts w:cs="Arial"/>
          <w:szCs w:val="20"/>
          <w:lang w:eastAsia="en-GB"/>
        </w:rPr>
        <w:t>Dr. Dimitris Papastefanakis, NKE01, Coordinator</w:t>
      </w:r>
    </w:p>
    <w:p w14:paraId="605D673C" w14:textId="3EC4A4C1" w:rsidR="00744D32" w:rsidRPr="00316837" w:rsidRDefault="00744D32" w:rsidP="00744D32">
      <w:pPr>
        <w:widowControl w:val="0"/>
        <w:numPr>
          <w:ilvl w:val="0"/>
          <w:numId w:val="13"/>
        </w:numPr>
        <w:ind w:left="714" w:hanging="357"/>
        <w:rPr>
          <w:rFonts w:cs="Arial"/>
          <w:szCs w:val="20"/>
          <w:lang w:eastAsia="en-GB"/>
        </w:rPr>
      </w:pPr>
      <w:r w:rsidRPr="00316837">
        <w:rPr>
          <w:rFonts w:cs="Arial"/>
          <w:szCs w:val="20"/>
          <w:lang w:eastAsia="en-GB"/>
        </w:rPr>
        <w:t xml:space="preserve">Dr. William Gboney, NKE09, Team Leader/Transmission System Energy Economist, </w:t>
      </w:r>
    </w:p>
    <w:p w14:paraId="337D3E1A" w14:textId="77777777" w:rsidR="00744D32" w:rsidRPr="00316837" w:rsidRDefault="00C342E0" w:rsidP="00744D32">
      <w:pPr>
        <w:widowControl w:val="0"/>
        <w:numPr>
          <w:ilvl w:val="0"/>
          <w:numId w:val="13"/>
        </w:numPr>
        <w:ind w:left="714" w:hanging="357"/>
        <w:rPr>
          <w:rFonts w:cs="Arial"/>
          <w:szCs w:val="20"/>
          <w:lang w:eastAsia="en-GB"/>
        </w:rPr>
      </w:pPr>
      <w:r w:rsidRPr="00316837">
        <w:rPr>
          <w:rFonts w:cs="Arial"/>
          <w:szCs w:val="20"/>
          <w:lang w:eastAsia="en-GB"/>
        </w:rPr>
        <w:t xml:space="preserve">Dr. Nijaz Dizdarevic, NKE10, Senior Power Systems Engineer, </w:t>
      </w:r>
      <w:r w:rsidR="00744D32" w:rsidRPr="00316837">
        <w:rPr>
          <w:rFonts w:cs="Arial"/>
          <w:szCs w:val="20"/>
          <w:lang w:eastAsia="en-GB"/>
        </w:rPr>
        <w:t xml:space="preserve">and </w:t>
      </w:r>
    </w:p>
    <w:p w14:paraId="0F618BA9" w14:textId="5BF38DBA" w:rsidR="00744D32" w:rsidRPr="00316837" w:rsidRDefault="00744D32" w:rsidP="00744D32">
      <w:pPr>
        <w:widowControl w:val="0"/>
        <w:numPr>
          <w:ilvl w:val="0"/>
          <w:numId w:val="13"/>
        </w:numPr>
        <w:ind w:left="714" w:hanging="357"/>
        <w:rPr>
          <w:rFonts w:cs="Arial"/>
          <w:szCs w:val="20"/>
          <w:lang w:eastAsia="en-GB"/>
        </w:rPr>
      </w:pPr>
      <w:r w:rsidRPr="00316837">
        <w:rPr>
          <w:rFonts w:cs="Arial"/>
          <w:szCs w:val="20"/>
          <w:lang w:eastAsia="en-GB"/>
        </w:rPr>
        <w:t xml:space="preserve">Dr. George Kyriakarakos, NKE04, Digital Energy Quality Assurance Expert. </w:t>
      </w:r>
    </w:p>
    <w:p w14:paraId="1EEF6BC6" w14:textId="7B244FC5" w:rsidR="00281D66" w:rsidRPr="00316837" w:rsidRDefault="00281D66" w:rsidP="0074334B">
      <w:pPr>
        <w:widowControl w:val="0"/>
        <w:rPr>
          <w:rFonts w:cs="Arial"/>
          <w:szCs w:val="20"/>
          <w:lang w:eastAsia="en-GB"/>
        </w:rPr>
      </w:pPr>
    </w:p>
    <w:p w14:paraId="3B153BB1" w14:textId="77777777" w:rsidR="00A3058D" w:rsidRPr="00316837" w:rsidRDefault="00A3058D" w:rsidP="0074334B">
      <w:pPr>
        <w:widowControl w:val="0"/>
        <w:rPr>
          <w:rFonts w:cs="Arial"/>
          <w:szCs w:val="20"/>
          <w:lang w:eastAsia="en-GB"/>
        </w:rPr>
      </w:pPr>
    </w:p>
    <w:p w14:paraId="7F35391B" w14:textId="77777777" w:rsidR="000E031B" w:rsidRPr="00316837" w:rsidRDefault="000E031B" w:rsidP="0074334B">
      <w:pPr>
        <w:widowControl w:val="0"/>
        <w:rPr>
          <w:rFonts w:cs="Arial"/>
          <w:szCs w:val="20"/>
          <w:lang w:eastAsia="en-GB"/>
        </w:rPr>
        <w:sectPr w:rsidR="000E031B" w:rsidRPr="00316837" w:rsidSect="00A3058D">
          <w:pgSz w:w="11906" w:h="16838" w:code="9"/>
          <w:pgMar w:top="510" w:right="1134" w:bottom="964" w:left="1134" w:header="720" w:footer="567" w:gutter="0"/>
          <w:pgNumType w:fmt="lowerRoman"/>
          <w:cols w:sep="1" w:space="709"/>
          <w:docGrid w:linePitch="272"/>
        </w:sectPr>
      </w:pPr>
    </w:p>
    <w:p w14:paraId="2FFD7894" w14:textId="2F9D6D59" w:rsidR="005C044F" w:rsidRPr="00316837" w:rsidRDefault="009B0AE0" w:rsidP="0074334B">
      <w:pPr>
        <w:pStyle w:val="Heading1"/>
        <w:numPr>
          <w:ilvl w:val="0"/>
          <w:numId w:val="0"/>
        </w:numPr>
      </w:pPr>
      <w:bookmarkStart w:id="6" w:name="_Toc56533351"/>
      <w:bookmarkStart w:id="7" w:name="_Toc77260279"/>
      <w:r w:rsidRPr="00C632F6">
        <w:lastRenderedPageBreak/>
        <w:t>Table of Content</w:t>
      </w:r>
      <w:r w:rsidR="003B1F9C" w:rsidRPr="00316837">
        <w:t>s</w:t>
      </w:r>
      <w:bookmarkEnd w:id="6"/>
      <w:bookmarkEnd w:id="7"/>
    </w:p>
    <w:sdt>
      <w:sdtPr>
        <w:rPr>
          <w:rFonts w:ascii="Arial" w:eastAsia="Times New Roman" w:hAnsi="Arial" w:cs="Arial"/>
          <w:b w:val="0"/>
          <w:bCs w:val="0"/>
          <w:color w:val="auto"/>
          <w:sz w:val="20"/>
          <w:szCs w:val="20"/>
          <w:lang w:val="en-GB" w:eastAsia="en-US"/>
        </w:rPr>
        <w:id w:val="868800255"/>
        <w:docPartObj>
          <w:docPartGallery w:val="Table of Contents"/>
          <w:docPartUnique/>
        </w:docPartObj>
      </w:sdtPr>
      <w:sdtEndPr/>
      <w:sdtContent>
        <w:p w14:paraId="51935835" w14:textId="13D791D3" w:rsidR="00E043AF" w:rsidRPr="00C632F6" w:rsidRDefault="00E043AF" w:rsidP="0074334B">
          <w:pPr>
            <w:pStyle w:val="TOCHeading"/>
            <w:suppressAutoHyphens/>
            <w:ind w:right="-2"/>
            <w:rPr>
              <w:rFonts w:ascii="Arial" w:hAnsi="Arial" w:cs="Arial"/>
              <w:sz w:val="20"/>
              <w:szCs w:val="20"/>
              <w:lang w:val="en-GB"/>
            </w:rPr>
          </w:pPr>
        </w:p>
        <w:p w14:paraId="202C075C" w14:textId="63FF368C" w:rsidR="006273BD" w:rsidRDefault="00B8421F">
          <w:pPr>
            <w:pStyle w:val="TOC1"/>
            <w:rPr>
              <w:rFonts w:asciiTheme="minorHAnsi" w:eastAsiaTheme="minorEastAsia" w:hAnsiTheme="minorHAnsi" w:cstheme="minorBidi"/>
              <w:b w:val="0"/>
              <w:smallCaps w:val="0"/>
              <w:color w:val="auto"/>
              <w:sz w:val="22"/>
              <w:szCs w:val="22"/>
              <w:lang w:val="en-US"/>
            </w:rPr>
          </w:pPr>
          <w:r w:rsidRPr="00C632F6">
            <w:rPr>
              <w:rFonts w:cs="Arial"/>
              <w:noProof w:val="0"/>
            </w:rPr>
            <w:fldChar w:fldCharType="begin"/>
          </w:r>
          <w:r w:rsidRPr="00316837">
            <w:rPr>
              <w:rFonts w:cs="Arial"/>
              <w:noProof w:val="0"/>
            </w:rPr>
            <w:instrText xml:space="preserve"> TOC \o "1-3" \h \z \u </w:instrText>
          </w:r>
          <w:r w:rsidRPr="00C632F6">
            <w:rPr>
              <w:rFonts w:cs="Arial"/>
              <w:noProof w:val="0"/>
            </w:rPr>
            <w:fldChar w:fldCharType="separate"/>
          </w:r>
          <w:hyperlink w:anchor="_Toc77260278" w:history="1">
            <w:r w:rsidR="006273BD" w:rsidRPr="00CF79B7">
              <w:rPr>
                <w:rStyle w:val="Hyperlink"/>
                <w:noProof/>
              </w:rPr>
              <w:t>Acknowledgements</w:t>
            </w:r>
            <w:r w:rsidR="006273BD">
              <w:rPr>
                <w:webHidden/>
              </w:rPr>
              <w:tab/>
            </w:r>
            <w:r w:rsidR="006273BD">
              <w:rPr>
                <w:webHidden/>
              </w:rPr>
              <w:fldChar w:fldCharType="begin"/>
            </w:r>
            <w:r w:rsidR="006273BD">
              <w:rPr>
                <w:webHidden/>
              </w:rPr>
              <w:instrText xml:space="preserve"> PAGEREF _Toc77260278 \h </w:instrText>
            </w:r>
            <w:r w:rsidR="006273BD">
              <w:rPr>
                <w:webHidden/>
              </w:rPr>
            </w:r>
            <w:r w:rsidR="006273BD">
              <w:rPr>
                <w:webHidden/>
              </w:rPr>
              <w:fldChar w:fldCharType="separate"/>
            </w:r>
            <w:r w:rsidR="006273BD">
              <w:rPr>
                <w:webHidden/>
              </w:rPr>
              <w:t>iii</w:t>
            </w:r>
            <w:r w:rsidR="006273BD">
              <w:rPr>
                <w:webHidden/>
              </w:rPr>
              <w:fldChar w:fldCharType="end"/>
            </w:r>
          </w:hyperlink>
        </w:p>
        <w:p w14:paraId="54230E0A" w14:textId="3102F496" w:rsidR="006273BD" w:rsidRDefault="006273BD">
          <w:pPr>
            <w:pStyle w:val="TOC1"/>
            <w:rPr>
              <w:rFonts w:asciiTheme="minorHAnsi" w:eastAsiaTheme="minorEastAsia" w:hAnsiTheme="minorHAnsi" w:cstheme="minorBidi"/>
              <w:b w:val="0"/>
              <w:smallCaps w:val="0"/>
              <w:color w:val="auto"/>
              <w:sz w:val="22"/>
              <w:szCs w:val="22"/>
              <w:lang w:val="en-US"/>
            </w:rPr>
          </w:pPr>
          <w:hyperlink w:anchor="_Toc77260279" w:history="1">
            <w:r w:rsidRPr="00CF79B7">
              <w:rPr>
                <w:rStyle w:val="Hyperlink"/>
                <w:noProof/>
              </w:rPr>
              <w:t>Table of Contents</w:t>
            </w:r>
            <w:r>
              <w:rPr>
                <w:webHidden/>
              </w:rPr>
              <w:tab/>
            </w:r>
            <w:r>
              <w:rPr>
                <w:webHidden/>
              </w:rPr>
              <w:fldChar w:fldCharType="begin"/>
            </w:r>
            <w:r>
              <w:rPr>
                <w:webHidden/>
              </w:rPr>
              <w:instrText xml:space="preserve"> PAGEREF _Toc77260279 \h </w:instrText>
            </w:r>
            <w:r>
              <w:rPr>
                <w:webHidden/>
              </w:rPr>
            </w:r>
            <w:r>
              <w:rPr>
                <w:webHidden/>
              </w:rPr>
              <w:fldChar w:fldCharType="separate"/>
            </w:r>
            <w:r>
              <w:rPr>
                <w:webHidden/>
              </w:rPr>
              <w:t>iv</w:t>
            </w:r>
            <w:r>
              <w:rPr>
                <w:webHidden/>
              </w:rPr>
              <w:fldChar w:fldCharType="end"/>
            </w:r>
          </w:hyperlink>
        </w:p>
        <w:p w14:paraId="5FDE899F" w14:textId="7F63C0F6" w:rsidR="006273BD" w:rsidRDefault="006273BD">
          <w:pPr>
            <w:pStyle w:val="TOC1"/>
            <w:rPr>
              <w:rFonts w:asciiTheme="minorHAnsi" w:eastAsiaTheme="minorEastAsia" w:hAnsiTheme="minorHAnsi" w:cstheme="minorBidi"/>
              <w:b w:val="0"/>
              <w:smallCaps w:val="0"/>
              <w:color w:val="auto"/>
              <w:sz w:val="22"/>
              <w:szCs w:val="22"/>
              <w:lang w:val="en-US"/>
            </w:rPr>
          </w:pPr>
          <w:hyperlink w:anchor="_Toc77260280" w:history="1">
            <w:r w:rsidRPr="00CF79B7">
              <w:rPr>
                <w:rStyle w:val="Hyperlink"/>
                <w:noProof/>
              </w:rPr>
              <w:t>Abbreviations</w:t>
            </w:r>
            <w:r>
              <w:rPr>
                <w:webHidden/>
              </w:rPr>
              <w:tab/>
            </w:r>
            <w:r>
              <w:rPr>
                <w:webHidden/>
              </w:rPr>
              <w:fldChar w:fldCharType="begin"/>
            </w:r>
            <w:r>
              <w:rPr>
                <w:webHidden/>
              </w:rPr>
              <w:instrText xml:space="preserve"> PAGEREF _Toc77260280 \h </w:instrText>
            </w:r>
            <w:r>
              <w:rPr>
                <w:webHidden/>
              </w:rPr>
            </w:r>
            <w:r>
              <w:rPr>
                <w:webHidden/>
              </w:rPr>
              <w:fldChar w:fldCharType="separate"/>
            </w:r>
            <w:r>
              <w:rPr>
                <w:webHidden/>
              </w:rPr>
              <w:t>viii</w:t>
            </w:r>
            <w:r>
              <w:rPr>
                <w:webHidden/>
              </w:rPr>
              <w:fldChar w:fldCharType="end"/>
            </w:r>
          </w:hyperlink>
        </w:p>
        <w:p w14:paraId="7752797E" w14:textId="41C29EE4" w:rsidR="006273BD" w:rsidRDefault="006273BD">
          <w:pPr>
            <w:pStyle w:val="TOC1"/>
            <w:rPr>
              <w:rFonts w:asciiTheme="minorHAnsi" w:eastAsiaTheme="minorEastAsia" w:hAnsiTheme="minorHAnsi" w:cstheme="minorBidi"/>
              <w:b w:val="0"/>
              <w:smallCaps w:val="0"/>
              <w:color w:val="auto"/>
              <w:sz w:val="22"/>
              <w:szCs w:val="22"/>
              <w:lang w:val="en-US"/>
            </w:rPr>
          </w:pPr>
          <w:hyperlink w:anchor="_Toc77260281" w:history="1">
            <w:r w:rsidRPr="00CF79B7">
              <w:rPr>
                <w:rStyle w:val="Hyperlink"/>
                <w:noProof/>
              </w:rPr>
              <w:t>EXECUTIVE SUMMARY</w:t>
            </w:r>
            <w:r>
              <w:rPr>
                <w:webHidden/>
              </w:rPr>
              <w:tab/>
            </w:r>
            <w:r>
              <w:rPr>
                <w:webHidden/>
              </w:rPr>
              <w:fldChar w:fldCharType="begin"/>
            </w:r>
            <w:r>
              <w:rPr>
                <w:webHidden/>
              </w:rPr>
              <w:instrText xml:space="preserve"> PAGEREF _Toc77260281 \h </w:instrText>
            </w:r>
            <w:r>
              <w:rPr>
                <w:webHidden/>
              </w:rPr>
            </w:r>
            <w:r>
              <w:rPr>
                <w:webHidden/>
              </w:rPr>
              <w:fldChar w:fldCharType="separate"/>
            </w:r>
            <w:r>
              <w:rPr>
                <w:webHidden/>
              </w:rPr>
              <w:t>xi</w:t>
            </w:r>
            <w:r>
              <w:rPr>
                <w:webHidden/>
              </w:rPr>
              <w:fldChar w:fldCharType="end"/>
            </w:r>
          </w:hyperlink>
        </w:p>
        <w:p w14:paraId="320BC3B8" w14:textId="6DEDE00A" w:rsidR="006273BD" w:rsidRDefault="006273BD">
          <w:pPr>
            <w:pStyle w:val="TOC2"/>
            <w:rPr>
              <w:rFonts w:asciiTheme="minorHAnsi" w:eastAsiaTheme="minorEastAsia" w:hAnsiTheme="minorHAnsi" w:cstheme="minorBidi"/>
              <w:sz w:val="22"/>
              <w:szCs w:val="22"/>
              <w:lang w:val="en-US"/>
            </w:rPr>
          </w:pPr>
          <w:hyperlink w:anchor="_Toc77260282" w:history="1">
            <w:r w:rsidRPr="00CF79B7">
              <w:rPr>
                <w:rStyle w:val="Hyperlink"/>
                <w:noProof/>
              </w:rPr>
              <w:t>E.1 Introduction</w:t>
            </w:r>
            <w:r>
              <w:rPr>
                <w:webHidden/>
              </w:rPr>
              <w:tab/>
            </w:r>
            <w:r>
              <w:rPr>
                <w:webHidden/>
              </w:rPr>
              <w:fldChar w:fldCharType="begin"/>
            </w:r>
            <w:r>
              <w:rPr>
                <w:webHidden/>
              </w:rPr>
              <w:instrText xml:space="preserve"> PAGEREF _Toc77260282 \h </w:instrText>
            </w:r>
            <w:r>
              <w:rPr>
                <w:webHidden/>
              </w:rPr>
            </w:r>
            <w:r>
              <w:rPr>
                <w:webHidden/>
              </w:rPr>
              <w:fldChar w:fldCharType="separate"/>
            </w:r>
            <w:r>
              <w:rPr>
                <w:webHidden/>
              </w:rPr>
              <w:t>xi</w:t>
            </w:r>
            <w:r>
              <w:rPr>
                <w:webHidden/>
              </w:rPr>
              <w:fldChar w:fldCharType="end"/>
            </w:r>
          </w:hyperlink>
        </w:p>
        <w:p w14:paraId="086047E2" w14:textId="71F68B1F" w:rsidR="006273BD" w:rsidRDefault="006273BD">
          <w:pPr>
            <w:pStyle w:val="TOC2"/>
            <w:rPr>
              <w:rFonts w:asciiTheme="minorHAnsi" w:eastAsiaTheme="minorEastAsia" w:hAnsiTheme="minorHAnsi" w:cstheme="minorBidi"/>
              <w:sz w:val="22"/>
              <w:szCs w:val="22"/>
              <w:lang w:val="en-US"/>
            </w:rPr>
          </w:pPr>
          <w:hyperlink w:anchor="_Toc77260283" w:history="1">
            <w:r w:rsidRPr="00CF79B7">
              <w:rPr>
                <w:rStyle w:val="Hyperlink"/>
                <w:noProof/>
              </w:rPr>
              <w:t>E.2 Primary Objective</w:t>
            </w:r>
            <w:r>
              <w:rPr>
                <w:webHidden/>
              </w:rPr>
              <w:tab/>
            </w:r>
            <w:r>
              <w:rPr>
                <w:webHidden/>
              </w:rPr>
              <w:fldChar w:fldCharType="begin"/>
            </w:r>
            <w:r>
              <w:rPr>
                <w:webHidden/>
              </w:rPr>
              <w:instrText xml:space="preserve"> PAGEREF _Toc77260283 \h </w:instrText>
            </w:r>
            <w:r>
              <w:rPr>
                <w:webHidden/>
              </w:rPr>
            </w:r>
            <w:r>
              <w:rPr>
                <w:webHidden/>
              </w:rPr>
              <w:fldChar w:fldCharType="separate"/>
            </w:r>
            <w:r>
              <w:rPr>
                <w:webHidden/>
              </w:rPr>
              <w:t>xi</w:t>
            </w:r>
            <w:r>
              <w:rPr>
                <w:webHidden/>
              </w:rPr>
              <w:fldChar w:fldCharType="end"/>
            </w:r>
          </w:hyperlink>
        </w:p>
        <w:p w14:paraId="70B25B00" w14:textId="2DD1E25B" w:rsidR="006273BD" w:rsidRDefault="006273BD">
          <w:pPr>
            <w:pStyle w:val="TOC2"/>
            <w:rPr>
              <w:rFonts w:asciiTheme="minorHAnsi" w:eastAsiaTheme="minorEastAsia" w:hAnsiTheme="minorHAnsi" w:cstheme="minorBidi"/>
              <w:sz w:val="22"/>
              <w:szCs w:val="22"/>
              <w:lang w:val="en-US"/>
            </w:rPr>
          </w:pPr>
          <w:hyperlink w:anchor="_Toc77260284" w:history="1">
            <w:r w:rsidRPr="00CF79B7">
              <w:rPr>
                <w:rStyle w:val="Hyperlink"/>
                <w:noProof/>
              </w:rPr>
              <w:t>E.3 Technical and Operational Readiness Guidelines – Key Elements</w:t>
            </w:r>
            <w:r>
              <w:rPr>
                <w:webHidden/>
              </w:rPr>
              <w:tab/>
            </w:r>
            <w:r>
              <w:rPr>
                <w:webHidden/>
              </w:rPr>
              <w:fldChar w:fldCharType="begin"/>
            </w:r>
            <w:r>
              <w:rPr>
                <w:webHidden/>
              </w:rPr>
              <w:instrText xml:space="preserve"> PAGEREF _Toc77260284 \h </w:instrText>
            </w:r>
            <w:r>
              <w:rPr>
                <w:webHidden/>
              </w:rPr>
            </w:r>
            <w:r>
              <w:rPr>
                <w:webHidden/>
              </w:rPr>
              <w:fldChar w:fldCharType="separate"/>
            </w:r>
            <w:r>
              <w:rPr>
                <w:webHidden/>
              </w:rPr>
              <w:t>xi</w:t>
            </w:r>
            <w:r>
              <w:rPr>
                <w:webHidden/>
              </w:rPr>
              <w:fldChar w:fldCharType="end"/>
            </w:r>
          </w:hyperlink>
        </w:p>
        <w:p w14:paraId="055A0E28" w14:textId="7333F1D3" w:rsidR="006273BD" w:rsidRDefault="006273BD">
          <w:pPr>
            <w:pStyle w:val="TOC2"/>
            <w:rPr>
              <w:rFonts w:asciiTheme="minorHAnsi" w:eastAsiaTheme="minorEastAsia" w:hAnsiTheme="minorHAnsi" w:cstheme="minorBidi"/>
              <w:sz w:val="22"/>
              <w:szCs w:val="22"/>
              <w:lang w:val="en-US"/>
            </w:rPr>
          </w:pPr>
          <w:hyperlink w:anchor="_Toc77260285" w:history="1">
            <w:r w:rsidRPr="00CF79B7">
              <w:rPr>
                <w:rStyle w:val="Hyperlink"/>
                <w:noProof/>
              </w:rPr>
              <w:t>E.4 Recommendations for the AfSEM Policy and Strategy</w:t>
            </w:r>
            <w:r>
              <w:rPr>
                <w:webHidden/>
              </w:rPr>
              <w:tab/>
            </w:r>
            <w:r>
              <w:rPr>
                <w:webHidden/>
              </w:rPr>
              <w:fldChar w:fldCharType="begin"/>
            </w:r>
            <w:r>
              <w:rPr>
                <w:webHidden/>
              </w:rPr>
              <w:instrText xml:space="preserve"> PAGEREF _Toc77260285 \h </w:instrText>
            </w:r>
            <w:r>
              <w:rPr>
                <w:webHidden/>
              </w:rPr>
            </w:r>
            <w:r>
              <w:rPr>
                <w:webHidden/>
              </w:rPr>
              <w:fldChar w:fldCharType="separate"/>
            </w:r>
            <w:r>
              <w:rPr>
                <w:webHidden/>
              </w:rPr>
              <w:t>xii</w:t>
            </w:r>
            <w:r>
              <w:rPr>
                <w:webHidden/>
              </w:rPr>
              <w:fldChar w:fldCharType="end"/>
            </w:r>
          </w:hyperlink>
        </w:p>
        <w:p w14:paraId="6ADDD172" w14:textId="1EC5A573" w:rsidR="006273BD" w:rsidRDefault="006273BD">
          <w:pPr>
            <w:pStyle w:val="TOC2"/>
            <w:rPr>
              <w:rFonts w:asciiTheme="minorHAnsi" w:eastAsiaTheme="minorEastAsia" w:hAnsiTheme="minorHAnsi" w:cstheme="minorBidi"/>
              <w:sz w:val="22"/>
              <w:szCs w:val="22"/>
              <w:lang w:val="en-US"/>
            </w:rPr>
          </w:pPr>
          <w:hyperlink w:anchor="_Toc77260286" w:history="1">
            <w:r w:rsidRPr="00CF79B7">
              <w:rPr>
                <w:rStyle w:val="Hyperlink"/>
                <w:noProof/>
              </w:rPr>
              <w:t>E.5 Assessing and Quantifying the Technical and Operational Readiness</w:t>
            </w:r>
            <w:r>
              <w:rPr>
                <w:webHidden/>
              </w:rPr>
              <w:tab/>
            </w:r>
            <w:r>
              <w:rPr>
                <w:webHidden/>
              </w:rPr>
              <w:fldChar w:fldCharType="begin"/>
            </w:r>
            <w:r>
              <w:rPr>
                <w:webHidden/>
              </w:rPr>
              <w:instrText xml:space="preserve"> PAGEREF _Toc77260286 \h </w:instrText>
            </w:r>
            <w:r>
              <w:rPr>
                <w:webHidden/>
              </w:rPr>
            </w:r>
            <w:r>
              <w:rPr>
                <w:webHidden/>
              </w:rPr>
              <w:fldChar w:fldCharType="separate"/>
            </w:r>
            <w:r>
              <w:rPr>
                <w:webHidden/>
              </w:rPr>
              <w:t>xiii</w:t>
            </w:r>
            <w:r>
              <w:rPr>
                <w:webHidden/>
              </w:rPr>
              <w:fldChar w:fldCharType="end"/>
            </w:r>
          </w:hyperlink>
        </w:p>
        <w:p w14:paraId="5AB8F61A" w14:textId="3E6E6235" w:rsidR="006273BD" w:rsidRDefault="006273BD">
          <w:pPr>
            <w:pStyle w:val="TOC1"/>
            <w:rPr>
              <w:rFonts w:asciiTheme="minorHAnsi" w:eastAsiaTheme="minorEastAsia" w:hAnsiTheme="minorHAnsi" w:cstheme="minorBidi"/>
              <w:b w:val="0"/>
              <w:smallCaps w:val="0"/>
              <w:color w:val="auto"/>
              <w:sz w:val="22"/>
              <w:szCs w:val="22"/>
              <w:lang w:val="en-US"/>
            </w:rPr>
          </w:pPr>
          <w:hyperlink w:anchor="_Toc77260287" w:history="1">
            <w:r w:rsidRPr="00CF79B7">
              <w:rPr>
                <w:rStyle w:val="Hyperlink"/>
                <w:noProof/>
              </w:rPr>
              <w:t>1</w:t>
            </w:r>
            <w:r>
              <w:rPr>
                <w:rFonts w:asciiTheme="minorHAnsi" w:eastAsiaTheme="minorEastAsia" w:hAnsiTheme="minorHAnsi" w:cstheme="minorBidi"/>
                <w:b w:val="0"/>
                <w:smallCaps w:val="0"/>
                <w:color w:val="auto"/>
                <w:sz w:val="22"/>
                <w:szCs w:val="22"/>
                <w:lang w:val="en-US"/>
              </w:rPr>
              <w:tab/>
            </w:r>
            <w:r w:rsidRPr="00CF79B7">
              <w:rPr>
                <w:rStyle w:val="Hyperlink"/>
                <w:noProof/>
              </w:rPr>
              <w:t>INTRODUCTION</w:t>
            </w:r>
            <w:r>
              <w:rPr>
                <w:webHidden/>
              </w:rPr>
              <w:tab/>
            </w:r>
            <w:r>
              <w:rPr>
                <w:webHidden/>
              </w:rPr>
              <w:fldChar w:fldCharType="begin"/>
            </w:r>
            <w:r>
              <w:rPr>
                <w:webHidden/>
              </w:rPr>
              <w:instrText xml:space="preserve"> PAGEREF _Toc77260287 \h </w:instrText>
            </w:r>
            <w:r>
              <w:rPr>
                <w:webHidden/>
              </w:rPr>
            </w:r>
            <w:r>
              <w:rPr>
                <w:webHidden/>
              </w:rPr>
              <w:fldChar w:fldCharType="separate"/>
            </w:r>
            <w:r>
              <w:rPr>
                <w:webHidden/>
              </w:rPr>
              <w:t>1</w:t>
            </w:r>
            <w:r>
              <w:rPr>
                <w:webHidden/>
              </w:rPr>
              <w:fldChar w:fldCharType="end"/>
            </w:r>
          </w:hyperlink>
        </w:p>
        <w:p w14:paraId="04C62EAC" w14:textId="02477BCD" w:rsidR="006273BD" w:rsidRDefault="006273BD">
          <w:pPr>
            <w:pStyle w:val="TOC2"/>
            <w:rPr>
              <w:rFonts w:asciiTheme="minorHAnsi" w:eastAsiaTheme="minorEastAsia" w:hAnsiTheme="minorHAnsi" w:cstheme="minorBidi"/>
              <w:sz w:val="22"/>
              <w:szCs w:val="22"/>
              <w:lang w:val="en-US"/>
            </w:rPr>
          </w:pPr>
          <w:hyperlink w:anchor="_Toc77260288" w:history="1">
            <w:r w:rsidRPr="00CF79B7">
              <w:rPr>
                <w:rStyle w:val="Hyperlink"/>
                <w:noProof/>
              </w:rPr>
              <w:t>1.1</w:t>
            </w:r>
            <w:r>
              <w:rPr>
                <w:rFonts w:asciiTheme="minorHAnsi" w:eastAsiaTheme="minorEastAsia" w:hAnsiTheme="minorHAnsi" w:cstheme="minorBidi"/>
                <w:sz w:val="22"/>
                <w:szCs w:val="22"/>
                <w:lang w:val="en-US"/>
              </w:rPr>
              <w:tab/>
            </w:r>
            <w:r w:rsidRPr="00CF79B7">
              <w:rPr>
                <w:rStyle w:val="Hyperlink"/>
                <w:noProof/>
              </w:rPr>
              <w:t>Background</w:t>
            </w:r>
            <w:r>
              <w:rPr>
                <w:webHidden/>
              </w:rPr>
              <w:tab/>
            </w:r>
            <w:r>
              <w:rPr>
                <w:webHidden/>
              </w:rPr>
              <w:fldChar w:fldCharType="begin"/>
            </w:r>
            <w:r>
              <w:rPr>
                <w:webHidden/>
              </w:rPr>
              <w:instrText xml:space="preserve"> PAGEREF _Toc77260288 \h </w:instrText>
            </w:r>
            <w:r>
              <w:rPr>
                <w:webHidden/>
              </w:rPr>
            </w:r>
            <w:r>
              <w:rPr>
                <w:webHidden/>
              </w:rPr>
              <w:fldChar w:fldCharType="separate"/>
            </w:r>
            <w:r>
              <w:rPr>
                <w:webHidden/>
              </w:rPr>
              <w:t>1</w:t>
            </w:r>
            <w:r>
              <w:rPr>
                <w:webHidden/>
              </w:rPr>
              <w:fldChar w:fldCharType="end"/>
            </w:r>
          </w:hyperlink>
        </w:p>
        <w:p w14:paraId="41F92D30" w14:textId="3655DD93" w:rsidR="006273BD" w:rsidRDefault="006273BD">
          <w:pPr>
            <w:pStyle w:val="TOC2"/>
            <w:rPr>
              <w:rFonts w:asciiTheme="minorHAnsi" w:eastAsiaTheme="minorEastAsia" w:hAnsiTheme="minorHAnsi" w:cstheme="minorBidi"/>
              <w:sz w:val="22"/>
              <w:szCs w:val="22"/>
              <w:lang w:val="en-US"/>
            </w:rPr>
          </w:pPr>
          <w:hyperlink w:anchor="_Toc77260289" w:history="1">
            <w:r w:rsidRPr="00CF79B7">
              <w:rPr>
                <w:rStyle w:val="Hyperlink"/>
                <w:noProof/>
              </w:rPr>
              <w:t>1.2</w:t>
            </w:r>
            <w:r>
              <w:rPr>
                <w:rFonts w:asciiTheme="minorHAnsi" w:eastAsiaTheme="minorEastAsia" w:hAnsiTheme="minorHAnsi" w:cstheme="minorBidi"/>
                <w:sz w:val="22"/>
                <w:szCs w:val="22"/>
                <w:lang w:val="en-US"/>
              </w:rPr>
              <w:tab/>
            </w:r>
            <w:r w:rsidRPr="00CF79B7">
              <w:rPr>
                <w:rStyle w:val="Hyperlink"/>
                <w:noProof/>
              </w:rPr>
              <w:t>Significance of Technical and Operational Readiness</w:t>
            </w:r>
            <w:r>
              <w:rPr>
                <w:webHidden/>
              </w:rPr>
              <w:tab/>
            </w:r>
            <w:r>
              <w:rPr>
                <w:webHidden/>
              </w:rPr>
              <w:fldChar w:fldCharType="begin"/>
            </w:r>
            <w:r>
              <w:rPr>
                <w:webHidden/>
              </w:rPr>
              <w:instrText xml:space="preserve"> PAGEREF _Toc77260289 \h </w:instrText>
            </w:r>
            <w:r>
              <w:rPr>
                <w:webHidden/>
              </w:rPr>
            </w:r>
            <w:r>
              <w:rPr>
                <w:webHidden/>
              </w:rPr>
              <w:fldChar w:fldCharType="separate"/>
            </w:r>
            <w:r>
              <w:rPr>
                <w:webHidden/>
              </w:rPr>
              <w:t>2</w:t>
            </w:r>
            <w:r>
              <w:rPr>
                <w:webHidden/>
              </w:rPr>
              <w:fldChar w:fldCharType="end"/>
            </w:r>
          </w:hyperlink>
        </w:p>
        <w:p w14:paraId="0F4766D4" w14:textId="7DF95C18" w:rsidR="006273BD" w:rsidRDefault="006273BD">
          <w:pPr>
            <w:pStyle w:val="TOC3"/>
            <w:rPr>
              <w:rFonts w:asciiTheme="minorHAnsi" w:eastAsiaTheme="minorEastAsia" w:hAnsiTheme="minorHAnsi" w:cstheme="minorBidi"/>
              <w:i w:val="0"/>
              <w:sz w:val="22"/>
              <w:szCs w:val="22"/>
              <w:lang w:val="en-US"/>
            </w:rPr>
          </w:pPr>
          <w:hyperlink w:anchor="_Toc77260290" w:history="1">
            <w:r w:rsidRPr="00CF79B7">
              <w:rPr>
                <w:rStyle w:val="Hyperlink"/>
                <w:rFonts w:eastAsia="Calibri"/>
                <w:noProof/>
              </w:rPr>
              <w:t>1.2.1</w:t>
            </w:r>
            <w:r>
              <w:rPr>
                <w:rFonts w:asciiTheme="minorHAnsi" w:eastAsiaTheme="minorEastAsia" w:hAnsiTheme="minorHAnsi" w:cstheme="minorBidi"/>
                <w:i w:val="0"/>
                <w:sz w:val="22"/>
                <w:szCs w:val="22"/>
                <w:lang w:val="en-US"/>
              </w:rPr>
              <w:tab/>
            </w:r>
            <w:r w:rsidRPr="00CF79B7">
              <w:rPr>
                <w:rStyle w:val="Hyperlink"/>
                <w:rFonts w:eastAsia="Calibri"/>
                <w:noProof/>
              </w:rPr>
              <w:t>Specific Objectives</w:t>
            </w:r>
            <w:r>
              <w:rPr>
                <w:webHidden/>
              </w:rPr>
              <w:tab/>
            </w:r>
            <w:r>
              <w:rPr>
                <w:webHidden/>
              </w:rPr>
              <w:fldChar w:fldCharType="begin"/>
            </w:r>
            <w:r>
              <w:rPr>
                <w:webHidden/>
              </w:rPr>
              <w:instrText xml:space="preserve"> PAGEREF _Toc77260290 \h </w:instrText>
            </w:r>
            <w:r>
              <w:rPr>
                <w:webHidden/>
              </w:rPr>
            </w:r>
            <w:r>
              <w:rPr>
                <w:webHidden/>
              </w:rPr>
              <w:fldChar w:fldCharType="separate"/>
            </w:r>
            <w:r>
              <w:rPr>
                <w:webHidden/>
              </w:rPr>
              <w:t>2</w:t>
            </w:r>
            <w:r>
              <w:rPr>
                <w:webHidden/>
              </w:rPr>
              <w:fldChar w:fldCharType="end"/>
            </w:r>
          </w:hyperlink>
        </w:p>
        <w:p w14:paraId="41408511" w14:textId="7D041207" w:rsidR="006273BD" w:rsidRDefault="006273BD">
          <w:pPr>
            <w:pStyle w:val="TOC2"/>
            <w:rPr>
              <w:rFonts w:asciiTheme="minorHAnsi" w:eastAsiaTheme="minorEastAsia" w:hAnsiTheme="minorHAnsi" w:cstheme="minorBidi"/>
              <w:sz w:val="22"/>
              <w:szCs w:val="22"/>
              <w:lang w:val="en-US"/>
            </w:rPr>
          </w:pPr>
          <w:hyperlink w:anchor="_Toc77260291" w:history="1">
            <w:r w:rsidRPr="00CF79B7">
              <w:rPr>
                <w:rStyle w:val="Hyperlink"/>
                <w:noProof/>
              </w:rPr>
              <w:t>1.3</w:t>
            </w:r>
            <w:r>
              <w:rPr>
                <w:rFonts w:asciiTheme="minorHAnsi" w:eastAsiaTheme="minorEastAsia" w:hAnsiTheme="minorHAnsi" w:cstheme="minorBidi"/>
                <w:sz w:val="22"/>
                <w:szCs w:val="22"/>
                <w:lang w:val="en-US"/>
              </w:rPr>
              <w:tab/>
            </w:r>
            <w:r w:rsidRPr="00CF79B7">
              <w:rPr>
                <w:rStyle w:val="Hyperlink"/>
                <w:noProof/>
              </w:rPr>
              <w:t>Rationale for Developing Guidelines and Action Plan for Technical and Operational Readiness</w:t>
            </w:r>
            <w:r>
              <w:rPr>
                <w:webHidden/>
              </w:rPr>
              <w:tab/>
            </w:r>
            <w:r>
              <w:rPr>
                <w:webHidden/>
              </w:rPr>
              <w:fldChar w:fldCharType="begin"/>
            </w:r>
            <w:r>
              <w:rPr>
                <w:webHidden/>
              </w:rPr>
              <w:instrText xml:space="preserve"> PAGEREF _Toc77260291 \h </w:instrText>
            </w:r>
            <w:r>
              <w:rPr>
                <w:webHidden/>
              </w:rPr>
            </w:r>
            <w:r>
              <w:rPr>
                <w:webHidden/>
              </w:rPr>
              <w:fldChar w:fldCharType="separate"/>
            </w:r>
            <w:r>
              <w:rPr>
                <w:webHidden/>
              </w:rPr>
              <w:t>3</w:t>
            </w:r>
            <w:r>
              <w:rPr>
                <w:webHidden/>
              </w:rPr>
              <w:fldChar w:fldCharType="end"/>
            </w:r>
          </w:hyperlink>
        </w:p>
        <w:p w14:paraId="633DC3E7" w14:textId="369689D6" w:rsidR="006273BD" w:rsidRDefault="006273BD">
          <w:pPr>
            <w:pStyle w:val="TOC2"/>
            <w:rPr>
              <w:rFonts w:asciiTheme="minorHAnsi" w:eastAsiaTheme="minorEastAsia" w:hAnsiTheme="minorHAnsi" w:cstheme="minorBidi"/>
              <w:sz w:val="22"/>
              <w:szCs w:val="22"/>
              <w:lang w:val="en-US"/>
            </w:rPr>
          </w:pPr>
          <w:hyperlink w:anchor="_Toc77260292" w:history="1">
            <w:r w:rsidRPr="00CF79B7">
              <w:rPr>
                <w:rStyle w:val="Hyperlink"/>
                <w:noProof/>
              </w:rPr>
              <w:t>1.4</w:t>
            </w:r>
            <w:r>
              <w:rPr>
                <w:rFonts w:asciiTheme="minorHAnsi" w:eastAsiaTheme="minorEastAsia" w:hAnsiTheme="minorHAnsi" w:cstheme="minorBidi"/>
                <w:sz w:val="22"/>
                <w:szCs w:val="22"/>
                <w:lang w:val="en-US"/>
              </w:rPr>
              <w:tab/>
            </w:r>
            <w:r w:rsidRPr="00CF79B7">
              <w:rPr>
                <w:rStyle w:val="Hyperlink"/>
                <w:noProof/>
              </w:rPr>
              <w:t>Scope of Guidelines and Action Plan for Technical and Operational Readiness</w:t>
            </w:r>
            <w:r>
              <w:rPr>
                <w:webHidden/>
              </w:rPr>
              <w:tab/>
            </w:r>
            <w:r>
              <w:rPr>
                <w:webHidden/>
              </w:rPr>
              <w:fldChar w:fldCharType="begin"/>
            </w:r>
            <w:r>
              <w:rPr>
                <w:webHidden/>
              </w:rPr>
              <w:instrText xml:space="preserve"> PAGEREF _Toc77260292 \h </w:instrText>
            </w:r>
            <w:r>
              <w:rPr>
                <w:webHidden/>
              </w:rPr>
            </w:r>
            <w:r>
              <w:rPr>
                <w:webHidden/>
              </w:rPr>
              <w:fldChar w:fldCharType="separate"/>
            </w:r>
            <w:r>
              <w:rPr>
                <w:webHidden/>
              </w:rPr>
              <w:t>3</w:t>
            </w:r>
            <w:r>
              <w:rPr>
                <w:webHidden/>
              </w:rPr>
              <w:fldChar w:fldCharType="end"/>
            </w:r>
          </w:hyperlink>
        </w:p>
        <w:p w14:paraId="53914FE1" w14:textId="4A1F3DBC" w:rsidR="006273BD" w:rsidRDefault="006273BD">
          <w:pPr>
            <w:pStyle w:val="TOC1"/>
            <w:rPr>
              <w:rFonts w:asciiTheme="minorHAnsi" w:eastAsiaTheme="minorEastAsia" w:hAnsiTheme="minorHAnsi" w:cstheme="minorBidi"/>
              <w:b w:val="0"/>
              <w:smallCaps w:val="0"/>
              <w:color w:val="auto"/>
              <w:sz w:val="22"/>
              <w:szCs w:val="22"/>
              <w:lang w:val="en-US"/>
            </w:rPr>
          </w:pPr>
          <w:hyperlink w:anchor="_Toc77260293" w:history="1">
            <w:r w:rsidRPr="00CF79B7">
              <w:rPr>
                <w:rStyle w:val="Hyperlink"/>
                <w:noProof/>
              </w:rPr>
              <w:t>2</w:t>
            </w:r>
            <w:r>
              <w:rPr>
                <w:rFonts w:asciiTheme="minorHAnsi" w:eastAsiaTheme="minorEastAsia" w:hAnsiTheme="minorHAnsi" w:cstheme="minorBidi"/>
                <w:b w:val="0"/>
                <w:smallCaps w:val="0"/>
                <w:color w:val="auto"/>
                <w:sz w:val="22"/>
                <w:szCs w:val="22"/>
                <w:lang w:val="en-US"/>
              </w:rPr>
              <w:tab/>
            </w:r>
            <w:r w:rsidRPr="00CF79B7">
              <w:rPr>
                <w:rStyle w:val="Hyperlink"/>
                <w:noProof/>
              </w:rPr>
              <w:t>METHODOLOGY</w:t>
            </w:r>
            <w:r>
              <w:rPr>
                <w:webHidden/>
              </w:rPr>
              <w:tab/>
            </w:r>
            <w:r>
              <w:rPr>
                <w:webHidden/>
              </w:rPr>
              <w:fldChar w:fldCharType="begin"/>
            </w:r>
            <w:r>
              <w:rPr>
                <w:webHidden/>
              </w:rPr>
              <w:instrText xml:space="preserve"> PAGEREF _Toc77260293 \h </w:instrText>
            </w:r>
            <w:r>
              <w:rPr>
                <w:webHidden/>
              </w:rPr>
            </w:r>
            <w:r>
              <w:rPr>
                <w:webHidden/>
              </w:rPr>
              <w:fldChar w:fldCharType="separate"/>
            </w:r>
            <w:r>
              <w:rPr>
                <w:webHidden/>
              </w:rPr>
              <w:t>4</w:t>
            </w:r>
            <w:r>
              <w:rPr>
                <w:webHidden/>
              </w:rPr>
              <w:fldChar w:fldCharType="end"/>
            </w:r>
          </w:hyperlink>
        </w:p>
        <w:p w14:paraId="08B25836" w14:textId="3BACB723" w:rsidR="006273BD" w:rsidRDefault="006273BD">
          <w:pPr>
            <w:pStyle w:val="TOC2"/>
            <w:rPr>
              <w:rFonts w:asciiTheme="minorHAnsi" w:eastAsiaTheme="minorEastAsia" w:hAnsiTheme="minorHAnsi" w:cstheme="minorBidi"/>
              <w:sz w:val="22"/>
              <w:szCs w:val="22"/>
              <w:lang w:val="en-US"/>
            </w:rPr>
          </w:pPr>
          <w:hyperlink w:anchor="_Toc77260294" w:history="1">
            <w:r w:rsidRPr="00CF79B7">
              <w:rPr>
                <w:rStyle w:val="Hyperlink"/>
                <w:noProof/>
              </w:rPr>
              <w:t>2.1</w:t>
            </w:r>
            <w:r>
              <w:rPr>
                <w:rFonts w:asciiTheme="minorHAnsi" w:eastAsiaTheme="minorEastAsia" w:hAnsiTheme="minorHAnsi" w:cstheme="minorBidi"/>
                <w:sz w:val="22"/>
                <w:szCs w:val="22"/>
                <w:lang w:val="en-US"/>
              </w:rPr>
              <w:tab/>
            </w:r>
            <w:r w:rsidRPr="00CF79B7">
              <w:rPr>
                <w:rStyle w:val="Hyperlink"/>
                <w:noProof/>
              </w:rPr>
              <w:t>Expected Outcomes</w:t>
            </w:r>
            <w:r>
              <w:rPr>
                <w:webHidden/>
              </w:rPr>
              <w:tab/>
            </w:r>
            <w:r>
              <w:rPr>
                <w:webHidden/>
              </w:rPr>
              <w:fldChar w:fldCharType="begin"/>
            </w:r>
            <w:r>
              <w:rPr>
                <w:webHidden/>
              </w:rPr>
              <w:instrText xml:space="preserve"> PAGEREF _Toc77260294 \h </w:instrText>
            </w:r>
            <w:r>
              <w:rPr>
                <w:webHidden/>
              </w:rPr>
            </w:r>
            <w:r>
              <w:rPr>
                <w:webHidden/>
              </w:rPr>
              <w:fldChar w:fldCharType="separate"/>
            </w:r>
            <w:r>
              <w:rPr>
                <w:webHidden/>
              </w:rPr>
              <w:t>4</w:t>
            </w:r>
            <w:r>
              <w:rPr>
                <w:webHidden/>
              </w:rPr>
              <w:fldChar w:fldCharType="end"/>
            </w:r>
          </w:hyperlink>
        </w:p>
        <w:p w14:paraId="3CEED18E" w14:textId="6F1C13A9" w:rsidR="006273BD" w:rsidRDefault="006273BD">
          <w:pPr>
            <w:pStyle w:val="TOC2"/>
            <w:rPr>
              <w:rFonts w:asciiTheme="minorHAnsi" w:eastAsiaTheme="minorEastAsia" w:hAnsiTheme="minorHAnsi" w:cstheme="minorBidi"/>
              <w:sz w:val="22"/>
              <w:szCs w:val="22"/>
              <w:lang w:val="en-US"/>
            </w:rPr>
          </w:pPr>
          <w:hyperlink w:anchor="_Toc77260295" w:history="1">
            <w:r w:rsidRPr="00CF79B7">
              <w:rPr>
                <w:rStyle w:val="Hyperlink"/>
                <w:noProof/>
              </w:rPr>
              <w:t>2.2</w:t>
            </w:r>
            <w:r>
              <w:rPr>
                <w:rFonts w:asciiTheme="minorHAnsi" w:eastAsiaTheme="minorEastAsia" w:hAnsiTheme="minorHAnsi" w:cstheme="minorBidi"/>
                <w:sz w:val="22"/>
                <w:szCs w:val="22"/>
                <w:lang w:val="en-US"/>
              </w:rPr>
              <w:tab/>
            </w:r>
            <w:r w:rsidRPr="00CF79B7">
              <w:rPr>
                <w:rStyle w:val="Hyperlink"/>
                <w:noProof/>
              </w:rPr>
              <w:t>Approach</w:t>
            </w:r>
            <w:r>
              <w:rPr>
                <w:webHidden/>
              </w:rPr>
              <w:tab/>
            </w:r>
            <w:r>
              <w:rPr>
                <w:webHidden/>
              </w:rPr>
              <w:fldChar w:fldCharType="begin"/>
            </w:r>
            <w:r>
              <w:rPr>
                <w:webHidden/>
              </w:rPr>
              <w:instrText xml:space="preserve"> PAGEREF _Toc77260295 \h </w:instrText>
            </w:r>
            <w:r>
              <w:rPr>
                <w:webHidden/>
              </w:rPr>
            </w:r>
            <w:r>
              <w:rPr>
                <w:webHidden/>
              </w:rPr>
              <w:fldChar w:fldCharType="separate"/>
            </w:r>
            <w:r>
              <w:rPr>
                <w:webHidden/>
              </w:rPr>
              <w:t>5</w:t>
            </w:r>
            <w:r>
              <w:rPr>
                <w:webHidden/>
              </w:rPr>
              <w:fldChar w:fldCharType="end"/>
            </w:r>
          </w:hyperlink>
        </w:p>
        <w:p w14:paraId="30EA086F" w14:textId="7E18D009" w:rsidR="006273BD" w:rsidRDefault="006273BD">
          <w:pPr>
            <w:pStyle w:val="TOC1"/>
            <w:rPr>
              <w:rFonts w:asciiTheme="minorHAnsi" w:eastAsiaTheme="minorEastAsia" w:hAnsiTheme="minorHAnsi" w:cstheme="minorBidi"/>
              <w:b w:val="0"/>
              <w:smallCaps w:val="0"/>
              <w:color w:val="auto"/>
              <w:sz w:val="22"/>
              <w:szCs w:val="22"/>
              <w:lang w:val="en-US"/>
            </w:rPr>
          </w:pPr>
          <w:hyperlink w:anchor="_Toc77260296" w:history="1">
            <w:r w:rsidRPr="00CF79B7">
              <w:rPr>
                <w:rStyle w:val="Hyperlink"/>
                <w:noProof/>
              </w:rPr>
              <w:t>3</w:t>
            </w:r>
            <w:r>
              <w:rPr>
                <w:rFonts w:asciiTheme="minorHAnsi" w:eastAsiaTheme="minorEastAsia" w:hAnsiTheme="minorHAnsi" w:cstheme="minorBidi"/>
                <w:b w:val="0"/>
                <w:smallCaps w:val="0"/>
                <w:color w:val="auto"/>
                <w:sz w:val="22"/>
                <w:szCs w:val="22"/>
                <w:lang w:val="en-US"/>
              </w:rPr>
              <w:tab/>
            </w:r>
            <w:r w:rsidRPr="00CF79B7">
              <w:rPr>
                <w:rStyle w:val="Hyperlink"/>
                <w:noProof/>
              </w:rPr>
              <w:t>REVIEW AND ASSESSMENT OF CURRENT TECHNICAL AND OPERATIONAL READINESS OF AFRICAN POWER POOLS</w:t>
            </w:r>
            <w:r>
              <w:rPr>
                <w:webHidden/>
              </w:rPr>
              <w:tab/>
            </w:r>
            <w:r>
              <w:rPr>
                <w:webHidden/>
              </w:rPr>
              <w:fldChar w:fldCharType="begin"/>
            </w:r>
            <w:r>
              <w:rPr>
                <w:webHidden/>
              </w:rPr>
              <w:instrText xml:space="preserve"> PAGEREF _Toc77260296 \h </w:instrText>
            </w:r>
            <w:r>
              <w:rPr>
                <w:webHidden/>
              </w:rPr>
            </w:r>
            <w:r>
              <w:rPr>
                <w:webHidden/>
              </w:rPr>
              <w:fldChar w:fldCharType="separate"/>
            </w:r>
            <w:r>
              <w:rPr>
                <w:webHidden/>
              </w:rPr>
              <w:t>6</w:t>
            </w:r>
            <w:r>
              <w:rPr>
                <w:webHidden/>
              </w:rPr>
              <w:fldChar w:fldCharType="end"/>
            </w:r>
          </w:hyperlink>
        </w:p>
        <w:p w14:paraId="1D52479E" w14:textId="4605C948" w:rsidR="006273BD" w:rsidRDefault="006273BD">
          <w:pPr>
            <w:pStyle w:val="TOC2"/>
            <w:rPr>
              <w:rFonts w:asciiTheme="minorHAnsi" w:eastAsiaTheme="minorEastAsia" w:hAnsiTheme="minorHAnsi" w:cstheme="minorBidi"/>
              <w:sz w:val="22"/>
              <w:szCs w:val="22"/>
              <w:lang w:val="en-US"/>
            </w:rPr>
          </w:pPr>
          <w:hyperlink w:anchor="_Toc77260297" w:history="1">
            <w:r w:rsidRPr="00CF79B7">
              <w:rPr>
                <w:rStyle w:val="Hyperlink"/>
                <w:noProof/>
              </w:rPr>
              <w:t>3.1</w:t>
            </w:r>
            <w:r>
              <w:rPr>
                <w:rFonts w:asciiTheme="minorHAnsi" w:eastAsiaTheme="minorEastAsia" w:hAnsiTheme="minorHAnsi" w:cstheme="minorBidi"/>
                <w:sz w:val="22"/>
                <w:szCs w:val="22"/>
                <w:lang w:val="en-US"/>
              </w:rPr>
              <w:tab/>
            </w:r>
            <w:r w:rsidRPr="00CF79B7">
              <w:rPr>
                <w:rStyle w:val="Hyperlink"/>
                <w:noProof/>
              </w:rPr>
              <w:t>SAPP</w:t>
            </w:r>
            <w:r>
              <w:rPr>
                <w:webHidden/>
              </w:rPr>
              <w:tab/>
            </w:r>
            <w:r>
              <w:rPr>
                <w:webHidden/>
              </w:rPr>
              <w:fldChar w:fldCharType="begin"/>
            </w:r>
            <w:r>
              <w:rPr>
                <w:webHidden/>
              </w:rPr>
              <w:instrText xml:space="preserve"> PAGEREF _Toc77260297 \h </w:instrText>
            </w:r>
            <w:r>
              <w:rPr>
                <w:webHidden/>
              </w:rPr>
            </w:r>
            <w:r>
              <w:rPr>
                <w:webHidden/>
              </w:rPr>
              <w:fldChar w:fldCharType="separate"/>
            </w:r>
            <w:r>
              <w:rPr>
                <w:webHidden/>
              </w:rPr>
              <w:t>6</w:t>
            </w:r>
            <w:r>
              <w:rPr>
                <w:webHidden/>
              </w:rPr>
              <w:fldChar w:fldCharType="end"/>
            </w:r>
          </w:hyperlink>
        </w:p>
        <w:p w14:paraId="78924233" w14:textId="4F7FD6EA" w:rsidR="006273BD" w:rsidRDefault="006273BD">
          <w:pPr>
            <w:pStyle w:val="TOC2"/>
            <w:rPr>
              <w:rFonts w:asciiTheme="minorHAnsi" w:eastAsiaTheme="minorEastAsia" w:hAnsiTheme="minorHAnsi" w:cstheme="minorBidi"/>
              <w:sz w:val="22"/>
              <w:szCs w:val="22"/>
              <w:lang w:val="en-US"/>
            </w:rPr>
          </w:pPr>
          <w:hyperlink w:anchor="_Toc77260298" w:history="1">
            <w:r w:rsidRPr="00CF79B7">
              <w:rPr>
                <w:rStyle w:val="Hyperlink"/>
                <w:noProof/>
              </w:rPr>
              <w:t>3.2</w:t>
            </w:r>
            <w:r>
              <w:rPr>
                <w:rFonts w:asciiTheme="minorHAnsi" w:eastAsiaTheme="minorEastAsia" w:hAnsiTheme="minorHAnsi" w:cstheme="minorBidi"/>
                <w:sz w:val="22"/>
                <w:szCs w:val="22"/>
                <w:lang w:val="en-US"/>
              </w:rPr>
              <w:tab/>
            </w:r>
            <w:r w:rsidRPr="00CF79B7">
              <w:rPr>
                <w:rStyle w:val="Hyperlink"/>
                <w:noProof/>
              </w:rPr>
              <w:t>WAPP</w:t>
            </w:r>
            <w:r>
              <w:rPr>
                <w:webHidden/>
              </w:rPr>
              <w:tab/>
            </w:r>
            <w:r>
              <w:rPr>
                <w:webHidden/>
              </w:rPr>
              <w:fldChar w:fldCharType="begin"/>
            </w:r>
            <w:r>
              <w:rPr>
                <w:webHidden/>
              </w:rPr>
              <w:instrText xml:space="preserve"> PAGEREF _Toc77260298 \h </w:instrText>
            </w:r>
            <w:r>
              <w:rPr>
                <w:webHidden/>
              </w:rPr>
            </w:r>
            <w:r>
              <w:rPr>
                <w:webHidden/>
              </w:rPr>
              <w:fldChar w:fldCharType="separate"/>
            </w:r>
            <w:r>
              <w:rPr>
                <w:webHidden/>
              </w:rPr>
              <w:t>14</w:t>
            </w:r>
            <w:r>
              <w:rPr>
                <w:webHidden/>
              </w:rPr>
              <w:fldChar w:fldCharType="end"/>
            </w:r>
          </w:hyperlink>
        </w:p>
        <w:p w14:paraId="1E029B83" w14:textId="46F1BD57" w:rsidR="006273BD" w:rsidRDefault="006273BD">
          <w:pPr>
            <w:pStyle w:val="TOC2"/>
            <w:rPr>
              <w:rFonts w:asciiTheme="minorHAnsi" w:eastAsiaTheme="minorEastAsia" w:hAnsiTheme="minorHAnsi" w:cstheme="minorBidi"/>
              <w:sz w:val="22"/>
              <w:szCs w:val="22"/>
              <w:lang w:val="en-US"/>
            </w:rPr>
          </w:pPr>
          <w:hyperlink w:anchor="_Toc77260299" w:history="1">
            <w:r w:rsidRPr="00CF79B7">
              <w:rPr>
                <w:rStyle w:val="Hyperlink"/>
                <w:rFonts w:eastAsia="Calibri"/>
                <w:noProof/>
              </w:rPr>
              <w:t>3.3</w:t>
            </w:r>
            <w:r>
              <w:rPr>
                <w:rFonts w:asciiTheme="minorHAnsi" w:eastAsiaTheme="minorEastAsia" w:hAnsiTheme="minorHAnsi" w:cstheme="minorBidi"/>
                <w:sz w:val="22"/>
                <w:szCs w:val="22"/>
                <w:lang w:val="en-US"/>
              </w:rPr>
              <w:tab/>
            </w:r>
            <w:r w:rsidRPr="00CF79B7">
              <w:rPr>
                <w:rStyle w:val="Hyperlink"/>
                <w:rFonts w:eastAsia="Calibri"/>
                <w:noProof/>
              </w:rPr>
              <w:t>EAPP</w:t>
            </w:r>
            <w:r>
              <w:rPr>
                <w:webHidden/>
              </w:rPr>
              <w:tab/>
            </w:r>
            <w:r>
              <w:rPr>
                <w:webHidden/>
              </w:rPr>
              <w:fldChar w:fldCharType="begin"/>
            </w:r>
            <w:r>
              <w:rPr>
                <w:webHidden/>
              </w:rPr>
              <w:instrText xml:space="preserve"> PAGEREF _Toc77260299 \h </w:instrText>
            </w:r>
            <w:r>
              <w:rPr>
                <w:webHidden/>
              </w:rPr>
            </w:r>
            <w:r>
              <w:rPr>
                <w:webHidden/>
              </w:rPr>
              <w:fldChar w:fldCharType="separate"/>
            </w:r>
            <w:r>
              <w:rPr>
                <w:webHidden/>
              </w:rPr>
              <w:t>22</w:t>
            </w:r>
            <w:r>
              <w:rPr>
                <w:webHidden/>
              </w:rPr>
              <w:fldChar w:fldCharType="end"/>
            </w:r>
          </w:hyperlink>
        </w:p>
        <w:p w14:paraId="6514A32A" w14:textId="624C3BFE" w:rsidR="006273BD" w:rsidRDefault="006273BD">
          <w:pPr>
            <w:pStyle w:val="TOC2"/>
            <w:rPr>
              <w:rFonts w:asciiTheme="minorHAnsi" w:eastAsiaTheme="minorEastAsia" w:hAnsiTheme="minorHAnsi" w:cstheme="minorBidi"/>
              <w:sz w:val="22"/>
              <w:szCs w:val="22"/>
              <w:lang w:val="en-US"/>
            </w:rPr>
          </w:pPr>
          <w:hyperlink w:anchor="_Toc77260300" w:history="1">
            <w:r w:rsidRPr="00CF79B7">
              <w:rPr>
                <w:rStyle w:val="Hyperlink"/>
                <w:noProof/>
              </w:rPr>
              <w:t>3.4</w:t>
            </w:r>
            <w:r>
              <w:rPr>
                <w:rFonts w:asciiTheme="minorHAnsi" w:eastAsiaTheme="minorEastAsia" w:hAnsiTheme="minorHAnsi" w:cstheme="minorBidi"/>
                <w:sz w:val="22"/>
                <w:szCs w:val="22"/>
                <w:lang w:val="en-US"/>
              </w:rPr>
              <w:tab/>
            </w:r>
            <w:r w:rsidRPr="00CF79B7">
              <w:rPr>
                <w:rStyle w:val="Hyperlink"/>
                <w:noProof/>
              </w:rPr>
              <w:t>CAPP</w:t>
            </w:r>
            <w:r>
              <w:rPr>
                <w:webHidden/>
              </w:rPr>
              <w:tab/>
            </w:r>
            <w:r>
              <w:rPr>
                <w:webHidden/>
              </w:rPr>
              <w:fldChar w:fldCharType="begin"/>
            </w:r>
            <w:r>
              <w:rPr>
                <w:webHidden/>
              </w:rPr>
              <w:instrText xml:space="preserve"> PAGEREF _Toc77260300 \h </w:instrText>
            </w:r>
            <w:r>
              <w:rPr>
                <w:webHidden/>
              </w:rPr>
            </w:r>
            <w:r>
              <w:rPr>
                <w:webHidden/>
              </w:rPr>
              <w:fldChar w:fldCharType="separate"/>
            </w:r>
            <w:r>
              <w:rPr>
                <w:webHidden/>
              </w:rPr>
              <w:t>27</w:t>
            </w:r>
            <w:r>
              <w:rPr>
                <w:webHidden/>
              </w:rPr>
              <w:fldChar w:fldCharType="end"/>
            </w:r>
          </w:hyperlink>
        </w:p>
        <w:p w14:paraId="63C47366" w14:textId="07810FE0" w:rsidR="006273BD" w:rsidRDefault="006273BD">
          <w:pPr>
            <w:pStyle w:val="TOC2"/>
            <w:rPr>
              <w:rFonts w:asciiTheme="minorHAnsi" w:eastAsiaTheme="minorEastAsia" w:hAnsiTheme="minorHAnsi" w:cstheme="minorBidi"/>
              <w:sz w:val="22"/>
              <w:szCs w:val="22"/>
              <w:lang w:val="en-US"/>
            </w:rPr>
          </w:pPr>
          <w:hyperlink w:anchor="_Toc77260301" w:history="1">
            <w:r w:rsidRPr="00CF79B7">
              <w:rPr>
                <w:rStyle w:val="Hyperlink"/>
                <w:rFonts w:eastAsia="Calibri"/>
                <w:noProof/>
              </w:rPr>
              <w:t>3.5</w:t>
            </w:r>
            <w:r>
              <w:rPr>
                <w:rFonts w:asciiTheme="minorHAnsi" w:eastAsiaTheme="minorEastAsia" w:hAnsiTheme="minorHAnsi" w:cstheme="minorBidi"/>
                <w:sz w:val="22"/>
                <w:szCs w:val="22"/>
                <w:lang w:val="en-US"/>
              </w:rPr>
              <w:tab/>
            </w:r>
            <w:r w:rsidRPr="00CF79B7">
              <w:rPr>
                <w:rStyle w:val="Hyperlink"/>
                <w:rFonts w:eastAsia="Calibri"/>
                <w:noProof/>
              </w:rPr>
              <w:t>COMELEC</w:t>
            </w:r>
            <w:r>
              <w:rPr>
                <w:webHidden/>
              </w:rPr>
              <w:tab/>
            </w:r>
            <w:r>
              <w:rPr>
                <w:webHidden/>
              </w:rPr>
              <w:fldChar w:fldCharType="begin"/>
            </w:r>
            <w:r>
              <w:rPr>
                <w:webHidden/>
              </w:rPr>
              <w:instrText xml:space="preserve"> PAGEREF _Toc77260301 \h </w:instrText>
            </w:r>
            <w:r>
              <w:rPr>
                <w:webHidden/>
              </w:rPr>
            </w:r>
            <w:r>
              <w:rPr>
                <w:webHidden/>
              </w:rPr>
              <w:fldChar w:fldCharType="separate"/>
            </w:r>
            <w:r>
              <w:rPr>
                <w:webHidden/>
              </w:rPr>
              <w:t>34</w:t>
            </w:r>
            <w:r>
              <w:rPr>
                <w:webHidden/>
              </w:rPr>
              <w:fldChar w:fldCharType="end"/>
            </w:r>
          </w:hyperlink>
        </w:p>
        <w:p w14:paraId="028BF48A" w14:textId="509605D8" w:rsidR="006273BD" w:rsidRDefault="006273BD">
          <w:pPr>
            <w:pStyle w:val="TOC1"/>
            <w:rPr>
              <w:rFonts w:asciiTheme="minorHAnsi" w:eastAsiaTheme="minorEastAsia" w:hAnsiTheme="minorHAnsi" w:cstheme="minorBidi"/>
              <w:b w:val="0"/>
              <w:smallCaps w:val="0"/>
              <w:color w:val="auto"/>
              <w:sz w:val="22"/>
              <w:szCs w:val="22"/>
              <w:lang w:val="en-US"/>
            </w:rPr>
          </w:pPr>
          <w:hyperlink w:anchor="_Toc77260302" w:history="1">
            <w:r w:rsidRPr="00CF79B7">
              <w:rPr>
                <w:rStyle w:val="Hyperlink"/>
                <w:noProof/>
              </w:rPr>
              <w:t>4</w:t>
            </w:r>
            <w:r>
              <w:rPr>
                <w:rFonts w:asciiTheme="minorHAnsi" w:eastAsiaTheme="minorEastAsia" w:hAnsiTheme="minorHAnsi" w:cstheme="minorBidi"/>
                <w:b w:val="0"/>
                <w:smallCaps w:val="0"/>
                <w:color w:val="auto"/>
                <w:sz w:val="22"/>
                <w:szCs w:val="22"/>
                <w:lang w:val="en-US"/>
              </w:rPr>
              <w:tab/>
            </w:r>
            <w:r w:rsidRPr="00CF79B7">
              <w:rPr>
                <w:rStyle w:val="Hyperlink"/>
                <w:noProof/>
              </w:rPr>
              <w:t>REVIEW AND ASSESSMENT OF CURRENT FRAMEWORKS FOR THE INTERCONNECTION OF OFF-GRID MINI-GRIDS</w:t>
            </w:r>
            <w:r>
              <w:rPr>
                <w:webHidden/>
              </w:rPr>
              <w:tab/>
            </w:r>
            <w:r>
              <w:rPr>
                <w:webHidden/>
              </w:rPr>
              <w:fldChar w:fldCharType="begin"/>
            </w:r>
            <w:r>
              <w:rPr>
                <w:webHidden/>
              </w:rPr>
              <w:instrText xml:space="preserve"> PAGEREF _Toc77260302 \h </w:instrText>
            </w:r>
            <w:r>
              <w:rPr>
                <w:webHidden/>
              </w:rPr>
            </w:r>
            <w:r>
              <w:rPr>
                <w:webHidden/>
              </w:rPr>
              <w:fldChar w:fldCharType="separate"/>
            </w:r>
            <w:r>
              <w:rPr>
                <w:webHidden/>
              </w:rPr>
              <w:t>40</w:t>
            </w:r>
            <w:r>
              <w:rPr>
                <w:webHidden/>
              </w:rPr>
              <w:fldChar w:fldCharType="end"/>
            </w:r>
          </w:hyperlink>
        </w:p>
        <w:p w14:paraId="4E30F580" w14:textId="2D553397" w:rsidR="006273BD" w:rsidRDefault="006273BD">
          <w:pPr>
            <w:pStyle w:val="TOC2"/>
            <w:rPr>
              <w:rFonts w:asciiTheme="minorHAnsi" w:eastAsiaTheme="minorEastAsia" w:hAnsiTheme="minorHAnsi" w:cstheme="minorBidi"/>
              <w:sz w:val="22"/>
              <w:szCs w:val="22"/>
              <w:lang w:val="en-US"/>
            </w:rPr>
          </w:pPr>
          <w:hyperlink w:anchor="_Toc77260303" w:history="1">
            <w:r w:rsidRPr="00CF79B7">
              <w:rPr>
                <w:rStyle w:val="Hyperlink"/>
                <w:noProof/>
              </w:rPr>
              <w:t>4.1</w:t>
            </w:r>
            <w:r>
              <w:rPr>
                <w:rFonts w:asciiTheme="minorHAnsi" w:eastAsiaTheme="minorEastAsia" w:hAnsiTheme="minorHAnsi" w:cstheme="minorBidi"/>
                <w:sz w:val="22"/>
                <w:szCs w:val="22"/>
                <w:lang w:val="en-US"/>
              </w:rPr>
              <w:tab/>
            </w:r>
            <w:r w:rsidRPr="00CF79B7">
              <w:rPr>
                <w:rStyle w:val="Hyperlink"/>
                <w:noProof/>
              </w:rPr>
              <w:t>Importance of Interconnecting Off-Grid Systems to the Main Grid and Role Under AfSEM</w:t>
            </w:r>
            <w:r>
              <w:rPr>
                <w:webHidden/>
              </w:rPr>
              <w:tab/>
            </w:r>
            <w:r>
              <w:rPr>
                <w:webHidden/>
              </w:rPr>
              <w:fldChar w:fldCharType="begin"/>
            </w:r>
            <w:r>
              <w:rPr>
                <w:webHidden/>
              </w:rPr>
              <w:instrText xml:space="preserve"> PAGEREF _Toc77260303 \h </w:instrText>
            </w:r>
            <w:r>
              <w:rPr>
                <w:webHidden/>
              </w:rPr>
            </w:r>
            <w:r>
              <w:rPr>
                <w:webHidden/>
              </w:rPr>
              <w:fldChar w:fldCharType="separate"/>
            </w:r>
            <w:r>
              <w:rPr>
                <w:webHidden/>
              </w:rPr>
              <w:t>40</w:t>
            </w:r>
            <w:r>
              <w:rPr>
                <w:webHidden/>
              </w:rPr>
              <w:fldChar w:fldCharType="end"/>
            </w:r>
          </w:hyperlink>
        </w:p>
        <w:p w14:paraId="4746FF27" w14:textId="62335680" w:rsidR="006273BD" w:rsidRDefault="006273BD">
          <w:pPr>
            <w:pStyle w:val="TOC3"/>
            <w:rPr>
              <w:rFonts w:asciiTheme="minorHAnsi" w:eastAsiaTheme="minorEastAsia" w:hAnsiTheme="minorHAnsi" w:cstheme="minorBidi"/>
              <w:i w:val="0"/>
              <w:sz w:val="22"/>
              <w:szCs w:val="22"/>
              <w:lang w:val="en-US"/>
            </w:rPr>
          </w:pPr>
          <w:hyperlink w:anchor="_Toc77260304" w:history="1">
            <w:r w:rsidRPr="00CF79B7">
              <w:rPr>
                <w:rStyle w:val="Hyperlink"/>
                <w:noProof/>
              </w:rPr>
              <w:t>4.1.1</w:t>
            </w:r>
            <w:r>
              <w:rPr>
                <w:rFonts w:asciiTheme="minorHAnsi" w:eastAsiaTheme="minorEastAsia" w:hAnsiTheme="minorHAnsi" w:cstheme="minorBidi"/>
                <w:i w:val="0"/>
                <w:sz w:val="22"/>
                <w:szCs w:val="22"/>
                <w:lang w:val="en-US"/>
              </w:rPr>
              <w:tab/>
            </w:r>
            <w:r w:rsidRPr="00CF79B7">
              <w:rPr>
                <w:rStyle w:val="Hyperlink"/>
                <w:noProof/>
              </w:rPr>
              <w:t>Overview</w:t>
            </w:r>
            <w:r>
              <w:rPr>
                <w:webHidden/>
              </w:rPr>
              <w:tab/>
            </w:r>
            <w:r>
              <w:rPr>
                <w:webHidden/>
              </w:rPr>
              <w:fldChar w:fldCharType="begin"/>
            </w:r>
            <w:r>
              <w:rPr>
                <w:webHidden/>
              </w:rPr>
              <w:instrText xml:space="preserve"> PAGEREF _Toc77260304 \h </w:instrText>
            </w:r>
            <w:r>
              <w:rPr>
                <w:webHidden/>
              </w:rPr>
            </w:r>
            <w:r>
              <w:rPr>
                <w:webHidden/>
              </w:rPr>
              <w:fldChar w:fldCharType="separate"/>
            </w:r>
            <w:r>
              <w:rPr>
                <w:webHidden/>
              </w:rPr>
              <w:t>40</w:t>
            </w:r>
            <w:r>
              <w:rPr>
                <w:webHidden/>
              </w:rPr>
              <w:fldChar w:fldCharType="end"/>
            </w:r>
          </w:hyperlink>
        </w:p>
        <w:p w14:paraId="09B748DF" w14:textId="32FCDAB3" w:rsidR="006273BD" w:rsidRDefault="006273BD">
          <w:pPr>
            <w:pStyle w:val="TOC3"/>
            <w:rPr>
              <w:rFonts w:asciiTheme="minorHAnsi" w:eastAsiaTheme="minorEastAsia" w:hAnsiTheme="minorHAnsi" w:cstheme="minorBidi"/>
              <w:i w:val="0"/>
              <w:sz w:val="22"/>
              <w:szCs w:val="22"/>
              <w:lang w:val="en-US"/>
            </w:rPr>
          </w:pPr>
          <w:hyperlink w:anchor="_Toc77260305" w:history="1">
            <w:r w:rsidRPr="00CF79B7">
              <w:rPr>
                <w:rStyle w:val="Hyperlink"/>
                <w:noProof/>
              </w:rPr>
              <w:t>4.1.2</w:t>
            </w:r>
            <w:r>
              <w:rPr>
                <w:rFonts w:asciiTheme="minorHAnsi" w:eastAsiaTheme="minorEastAsia" w:hAnsiTheme="minorHAnsi" w:cstheme="minorBidi"/>
                <w:i w:val="0"/>
                <w:sz w:val="22"/>
                <w:szCs w:val="22"/>
                <w:lang w:val="en-US"/>
              </w:rPr>
              <w:tab/>
            </w:r>
            <w:r w:rsidRPr="00CF79B7">
              <w:rPr>
                <w:rStyle w:val="Hyperlink"/>
                <w:noProof/>
              </w:rPr>
              <w:t>Regulatory Framework Overview for Rural Mini-Grids Encompassed by the Main Grid</w:t>
            </w:r>
            <w:r>
              <w:rPr>
                <w:webHidden/>
              </w:rPr>
              <w:tab/>
            </w:r>
            <w:r>
              <w:rPr>
                <w:webHidden/>
              </w:rPr>
              <w:fldChar w:fldCharType="begin"/>
            </w:r>
            <w:r>
              <w:rPr>
                <w:webHidden/>
              </w:rPr>
              <w:instrText xml:space="preserve"> PAGEREF _Toc77260305 \h </w:instrText>
            </w:r>
            <w:r>
              <w:rPr>
                <w:webHidden/>
              </w:rPr>
            </w:r>
            <w:r>
              <w:rPr>
                <w:webHidden/>
              </w:rPr>
              <w:fldChar w:fldCharType="separate"/>
            </w:r>
            <w:r>
              <w:rPr>
                <w:webHidden/>
              </w:rPr>
              <w:t>40</w:t>
            </w:r>
            <w:r>
              <w:rPr>
                <w:webHidden/>
              </w:rPr>
              <w:fldChar w:fldCharType="end"/>
            </w:r>
          </w:hyperlink>
        </w:p>
        <w:p w14:paraId="57735459" w14:textId="3F52EC71" w:rsidR="006273BD" w:rsidRDefault="006273BD">
          <w:pPr>
            <w:pStyle w:val="TOC2"/>
            <w:rPr>
              <w:rFonts w:asciiTheme="minorHAnsi" w:eastAsiaTheme="minorEastAsia" w:hAnsiTheme="minorHAnsi" w:cstheme="minorBidi"/>
              <w:sz w:val="22"/>
              <w:szCs w:val="22"/>
              <w:lang w:val="en-US"/>
            </w:rPr>
          </w:pPr>
          <w:hyperlink w:anchor="_Toc77260306" w:history="1">
            <w:r w:rsidRPr="00CF79B7">
              <w:rPr>
                <w:rStyle w:val="Hyperlink"/>
                <w:noProof/>
              </w:rPr>
              <w:t>4.2</w:t>
            </w:r>
            <w:r>
              <w:rPr>
                <w:rFonts w:asciiTheme="minorHAnsi" w:eastAsiaTheme="minorEastAsia" w:hAnsiTheme="minorHAnsi" w:cstheme="minorBidi"/>
                <w:sz w:val="22"/>
                <w:szCs w:val="22"/>
                <w:lang w:val="en-US"/>
              </w:rPr>
              <w:tab/>
            </w:r>
            <w:r w:rsidRPr="00CF79B7">
              <w:rPr>
                <w:rStyle w:val="Hyperlink"/>
                <w:noProof/>
              </w:rPr>
              <w:t>Experiences from African Countries</w:t>
            </w:r>
            <w:r>
              <w:rPr>
                <w:webHidden/>
              </w:rPr>
              <w:tab/>
            </w:r>
            <w:r>
              <w:rPr>
                <w:webHidden/>
              </w:rPr>
              <w:fldChar w:fldCharType="begin"/>
            </w:r>
            <w:r>
              <w:rPr>
                <w:webHidden/>
              </w:rPr>
              <w:instrText xml:space="preserve"> PAGEREF _Toc77260306 \h </w:instrText>
            </w:r>
            <w:r>
              <w:rPr>
                <w:webHidden/>
              </w:rPr>
            </w:r>
            <w:r>
              <w:rPr>
                <w:webHidden/>
              </w:rPr>
              <w:fldChar w:fldCharType="separate"/>
            </w:r>
            <w:r>
              <w:rPr>
                <w:webHidden/>
              </w:rPr>
              <w:t>45</w:t>
            </w:r>
            <w:r>
              <w:rPr>
                <w:webHidden/>
              </w:rPr>
              <w:fldChar w:fldCharType="end"/>
            </w:r>
          </w:hyperlink>
        </w:p>
        <w:p w14:paraId="7E77C327" w14:textId="4A310E34" w:rsidR="006273BD" w:rsidRDefault="006273BD">
          <w:pPr>
            <w:pStyle w:val="TOC3"/>
            <w:rPr>
              <w:rFonts w:asciiTheme="minorHAnsi" w:eastAsiaTheme="minorEastAsia" w:hAnsiTheme="minorHAnsi" w:cstheme="minorBidi"/>
              <w:i w:val="0"/>
              <w:sz w:val="22"/>
              <w:szCs w:val="22"/>
              <w:lang w:val="en-US"/>
            </w:rPr>
          </w:pPr>
          <w:hyperlink w:anchor="_Toc77260307" w:history="1">
            <w:r w:rsidRPr="00CF79B7">
              <w:rPr>
                <w:rStyle w:val="Hyperlink"/>
                <w:noProof/>
              </w:rPr>
              <w:t>4.2.1</w:t>
            </w:r>
            <w:r>
              <w:rPr>
                <w:rFonts w:asciiTheme="minorHAnsi" w:eastAsiaTheme="minorEastAsia" w:hAnsiTheme="minorHAnsi" w:cstheme="minorBidi"/>
                <w:i w:val="0"/>
                <w:sz w:val="22"/>
                <w:szCs w:val="22"/>
                <w:lang w:val="en-US"/>
              </w:rPr>
              <w:tab/>
            </w:r>
            <w:r w:rsidRPr="00CF79B7">
              <w:rPr>
                <w:rStyle w:val="Hyperlink"/>
                <w:noProof/>
              </w:rPr>
              <w:t>Nigeria</w:t>
            </w:r>
            <w:r>
              <w:rPr>
                <w:webHidden/>
              </w:rPr>
              <w:tab/>
            </w:r>
            <w:r>
              <w:rPr>
                <w:webHidden/>
              </w:rPr>
              <w:fldChar w:fldCharType="begin"/>
            </w:r>
            <w:r>
              <w:rPr>
                <w:webHidden/>
              </w:rPr>
              <w:instrText xml:space="preserve"> PAGEREF _Toc77260307 \h </w:instrText>
            </w:r>
            <w:r>
              <w:rPr>
                <w:webHidden/>
              </w:rPr>
            </w:r>
            <w:r>
              <w:rPr>
                <w:webHidden/>
              </w:rPr>
              <w:fldChar w:fldCharType="separate"/>
            </w:r>
            <w:r>
              <w:rPr>
                <w:webHidden/>
              </w:rPr>
              <w:t>45</w:t>
            </w:r>
            <w:r>
              <w:rPr>
                <w:webHidden/>
              </w:rPr>
              <w:fldChar w:fldCharType="end"/>
            </w:r>
          </w:hyperlink>
        </w:p>
        <w:p w14:paraId="5386B3CA" w14:textId="6D16C751" w:rsidR="006273BD" w:rsidRDefault="006273BD">
          <w:pPr>
            <w:pStyle w:val="TOC3"/>
            <w:rPr>
              <w:rFonts w:asciiTheme="minorHAnsi" w:eastAsiaTheme="minorEastAsia" w:hAnsiTheme="minorHAnsi" w:cstheme="minorBidi"/>
              <w:i w:val="0"/>
              <w:sz w:val="22"/>
              <w:szCs w:val="22"/>
              <w:lang w:val="en-US"/>
            </w:rPr>
          </w:pPr>
          <w:hyperlink w:anchor="_Toc77260308" w:history="1">
            <w:r w:rsidRPr="00CF79B7">
              <w:rPr>
                <w:rStyle w:val="Hyperlink"/>
                <w:noProof/>
              </w:rPr>
              <w:t>4.2.2</w:t>
            </w:r>
            <w:r>
              <w:rPr>
                <w:rFonts w:asciiTheme="minorHAnsi" w:eastAsiaTheme="minorEastAsia" w:hAnsiTheme="minorHAnsi" w:cstheme="minorBidi"/>
                <w:i w:val="0"/>
                <w:sz w:val="22"/>
                <w:szCs w:val="22"/>
                <w:lang w:val="en-US"/>
              </w:rPr>
              <w:tab/>
            </w:r>
            <w:r w:rsidRPr="00CF79B7">
              <w:rPr>
                <w:rStyle w:val="Hyperlink"/>
                <w:noProof/>
              </w:rPr>
              <w:t>Rwanda</w:t>
            </w:r>
            <w:r>
              <w:rPr>
                <w:webHidden/>
              </w:rPr>
              <w:tab/>
            </w:r>
            <w:r>
              <w:rPr>
                <w:webHidden/>
              </w:rPr>
              <w:fldChar w:fldCharType="begin"/>
            </w:r>
            <w:r>
              <w:rPr>
                <w:webHidden/>
              </w:rPr>
              <w:instrText xml:space="preserve"> PAGEREF _Toc77260308 \h </w:instrText>
            </w:r>
            <w:r>
              <w:rPr>
                <w:webHidden/>
              </w:rPr>
            </w:r>
            <w:r>
              <w:rPr>
                <w:webHidden/>
              </w:rPr>
              <w:fldChar w:fldCharType="separate"/>
            </w:r>
            <w:r>
              <w:rPr>
                <w:webHidden/>
              </w:rPr>
              <w:t>45</w:t>
            </w:r>
            <w:r>
              <w:rPr>
                <w:webHidden/>
              </w:rPr>
              <w:fldChar w:fldCharType="end"/>
            </w:r>
          </w:hyperlink>
        </w:p>
        <w:p w14:paraId="71AC39B3" w14:textId="00FD9A44" w:rsidR="006273BD" w:rsidRDefault="006273BD">
          <w:pPr>
            <w:pStyle w:val="TOC3"/>
            <w:rPr>
              <w:rFonts w:asciiTheme="minorHAnsi" w:eastAsiaTheme="minorEastAsia" w:hAnsiTheme="minorHAnsi" w:cstheme="minorBidi"/>
              <w:i w:val="0"/>
              <w:sz w:val="22"/>
              <w:szCs w:val="22"/>
              <w:lang w:val="en-US"/>
            </w:rPr>
          </w:pPr>
          <w:hyperlink w:anchor="_Toc77260309" w:history="1">
            <w:r w:rsidRPr="00CF79B7">
              <w:rPr>
                <w:rStyle w:val="Hyperlink"/>
                <w:noProof/>
              </w:rPr>
              <w:t>4.2.3</w:t>
            </w:r>
            <w:r>
              <w:rPr>
                <w:rFonts w:asciiTheme="minorHAnsi" w:eastAsiaTheme="minorEastAsia" w:hAnsiTheme="minorHAnsi" w:cstheme="minorBidi"/>
                <w:i w:val="0"/>
                <w:sz w:val="22"/>
                <w:szCs w:val="22"/>
                <w:lang w:val="en-US"/>
              </w:rPr>
              <w:tab/>
            </w:r>
            <w:r w:rsidRPr="00CF79B7">
              <w:rPr>
                <w:rStyle w:val="Hyperlink"/>
                <w:noProof/>
              </w:rPr>
              <w:t>Tanzania</w:t>
            </w:r>
            <w:r>
              <w:rPr>
                <w:webHidden/>
              </w:rPr>
              <w:tab/>
            </w:r>
            <w:r>
              <w:rPr>
                <w:webHidden/>
              </w:rPr>
              <w:fldChar w:fldCharType="begin"/>
            </w:r>
            <w:r>
              <w:rPr>
                <w:webHidden/>
              </w:rPr>
              <w:instrText xml:space="preserve"> PAGEREF _Toc77260309 \h </w:instrText>
            </w:r>
            <w:r>
              <w:rPr>
                <w:webHidden/>
              </w:rPr>
            </w:r>
            <w:r>
              <w:rPr>
                <w:webHidden/>
              </w:rPr>
              <w:fldChar w:fldCharType="separate"/>
            </w:r>
            <w:r>
              <w:rPr>
                <w:webHidden/>
              </w:rPr>
              <w:t>45</w:t>
            </w:r>
            <w:r>
              <w:rPr>
                <w:webHidden/>
              </w:rPr>
              <w:fldChar w:fldCharType="end"/>
            </w:r>
          </w:hyperlink>
        </w:p>
        <w:p w14:paraId="772E88C0" w14:textId="772AC9BF" w:rsidR="006273BD" w:rsidRDefault="006273BD">
          <w:pPr>
            <w:pStyle w:val="TOC3"/>
            <w:rPr>
              <w:rFonts w:asciiTheme="minorHAnsi" w:eastAsiaTheme="minorEastAsia" w:hAnsiTheme="minorHAnsi" w:cstheme="minorBidi"/>
              <w:i w:val="0"/>
              <w:sz w:val="22"/>
              <w:szCs w:val="22"/>
              <w:lang w:val="en-US"/>
            </w:rPr>
          </w:pPr>
          <w:hyperlink w:anchor="_Toc77260310" w:history="1">
            <w:r w:rsidRPr="00CF79B7">
              <w:rPr>
                <w:rStyle w:val="Hyperlink"/>
                <w:noProof/>
              </w:rPr>
              <w:t>4.2.4</w:t>
            </w:r>
            <w:r>
              <w:rPr>
                <w:rFonts w:asciiTheme="minorHAnsi" w:eastAsiaTheme="minorEastAsia" w:hAnsiTheme="minorHAnsi" w:cstheme="minorBidi"/>
                <w:i w:val="0"/>
                <w:sz w:val="22"/>
                <w:szCs w:val="22"/>
                <w:lang w:val="en-US"/>
              </w:rPr>
              <w:tab/>
            </w:r>
            <w:r w:rsidRPr="00CF79B7">
              <w:rPr>
                <w:rStyle w:val="Hyperlink"/>
                <w:noProof/>
              </w:rPr>
              <w:t>Zambia</w:t>
            </w:r>
            <w:r>
              <w:rPr>
                <w:webHidden/>
              </w:rPr>
              <w:tab/>
            </w:r>
            <w:r>
              <w:rPr>
                <w:webHidden/>
              </w:rPr>
              <w:fldChar w:fldCharType="begin"/>
            </w:r>
            <w:r>
              <w:rPr>
                <w:webHidden/>
              </w:rPr>
              <w:instrText xml:space="preserve"> PAGEREF _Toc77260310 \h </w:instrText>
            </w:r>
            <w:r>
              <w:rPr>
                <w:webHidden/>
              </w:rPr>
            </w:r>
            <w:r>
              <w:rPr>
                <w:webHidden/>
              </w:rPr>
              <w:fldChar w:fldCharType="separate"/>
            </w:r>
            <w:r>
              <w:rPr>
                <w:webHidden/>
              </w:rPr>
              <w:t>46</w:t>
            </w:r>
            <w:r>
              <w:rPr>
                <w:webHidden/>
              </w:rPr>
              <w:fldChar w:fldCharType="end"/>
            </w:r>
          </w:hyperlink>
        </w:p>
        <w:p w14:paraId="4F413059" w14:textId="25485ED9" w:rsidR="006273BD" w:rsidRDefault="006273BD">
          <w:pPr>
            <w:pStyle w:val="TOC3"/>
            <w:rPr>
              <w:rFonts w:asciiTheme="minorHAnsi" w:eastAsiaTheme="minorEastAsia" w:hAnsiTheme="minorHAnsi" w:cstheme="minorBidi"/>
              <w:i w:val="0"/>
              <w:sz w:val="22"/>
              <w:szCs w:val="22"/>
              <w:lang w:val="en-US"/>
            </w:rPr>
          </w:pPr>
          <w:hyperlink w:anchor="_Toc77260311" w:history="1">
            <w:r w:rsidRPr="00CF79B7">
              <w:rPr>
                <w:rStyle w:val="Hyperlink"/>
                <w:noProof/>
              </w:rPr>
              <w:t>4.2.5</w:t>
            </w:r>
            <w:r>
              <w:rPr>
                <w:rFonts w:asciiTheme="minorHAnsi" w:eastAsiaTheme="minorEastAsia" w:hAnsiTheme="minorHAnsi" w:cstheme="minorBidi"/>
                <w:i w:val="0"/>
                <w:sz w:val="22"/>
                <w:szCs w:val="22"/>
                <w:lang w:val="en-US"/>
              </w:rPr>
              <w:tab/>
            </w:r>
            <w:r w:rsidRPr="00CF79B7">
              <w:rPr>
                <w:rStyle w:val="Hyperlink"/>
                <w:noProof/>
              </w:rPr>
              <w:t>The Gambia</w:t>
            </w:r>
            <w:r>
              <w:rPr>
                <w:webHidden/>
              </w:rPr>
              <w:tab/>
            </w:r>
            <w:r>
              <w:rPr>
                <w:webHidden/>
              </w:rPr>
              <w:fldChar w:fldCharType="begin"/>
            </w:r>
            <w:r>
              <w:rPr>
                <w:webHidden/>
              </w:rPr>
              <w:instrText xml:space="preserve"> PAGEREF _Toc77260311 \h </w:instrText>
            </w:r>
            <w:r>
              <w:rPr>
                <w:webHidden/>
              </w:rPr>
            </w:r>
            <w:r>
              <w:rPr>
                <w:webHidden/>
              </w:rPr>
              <w:fldChar w:fldCharType="separate"/>
            </w:r>
            <w:r>
              <w:rPr>
                <w:webHidden/>
              </w:rPr>
              <w:t>46</w:t>
            </w:r>
            <w:r>
              <w:rPr>
                <w:webHidden/>
              </w:rPr>
              <w:fldChar w:fldCharType="end"/>
            </w:r>
          </w:hyperlink>
        </w:p>
        <w:p w14:paraId="12E8B741" w14:textId="43D6FF7E" w:rsidR="006273BD" w:rsidRDefault="006273BD">
          <w:pPr>
            <w:pStyle w:val="TOC3"/>
            <w:rPr>
              <w:rFonts w:asciiTheme="minorHAnsi" w:eastAsiaTheme="minorEastAsia" w:hAnsiTheme="minorHAnsi" w:cstheme="minorBidi"/>
              <w:i w:val="0"/>
              <w:sz w:val="22"/>
              <w:szCs w:val="22"/>
              <w:lang w:val="en-US"/>
            </w:rPr>
          </w:pPr>
          <w:hyperlink w:anchor="_Toc77260312" w:history="1">
            <w:r w:rsidRPr="00CF79B7">
              <w:rPr>
                <w:rStyle w:val="Hyperlink"/>
                <w:noProof/>
              </w:rPr>
              <w:t>4.2.6</w:t>
            </w:r>
            <w:r>
              <w:rPr>
                <w:rFonts w:asciiTheme="minorHAnsi" w:eastAsiaTheme="minorEastAsia" w:hAnsiTheme="minorHAnsi" w:cstheme="minorBidi"/>
                <w:i w:val="0"/>
                <w:sz w:val="22"/>
                <w:szCs w:val="22"/>
                <w:lang w:val="en-US"/>
              </w:rPr>
              <w:tab/>
            </w:r>
            <w:r w:rsidRPr="00CF79B7">
              <w:rPr>
                <w:rStyle w:val="Hyperlink"/>
                <w:noProof/>
              </w:rPr>
              <w:t>Sierra Leone</w:t>
            </w:r>
            <w:r>
              <w:rPr>
                <w:webHidden/>
              </w:rPr>
              <w:tab/>
            </w:r>
            <w:r>
              <w:rPr>
                <w:webHidden/>
              </w:rPr>
              <w:fldChar w:fldCharType="begin"/>
            </w:r>
            <w:r>
              <w:rPr>
                <w:webHidden/>
              </w:rPr>
              <w:instrText xml:space="preserve"> PAGEREF _Toc77260312 \h </w:instrText>
            </w:r>
            <w:r>
              <w:rPr>
                <w:webHidden/>
              </w:rPr>
            </w:r>
            <w:r>
              <w:rPr>
                <w:webHidden/>
              </w:rPr>
              <w:fldChar w:fldCharType="separate"/>
            </w:r>
            <w:r>
              <w:rPr>
                <w:webHidden/>
              </w:rPr>
              <w:t>46</w:t>
            </w:r>
            <w:r>
              <w:rPr>
                <w:webHidden/>
              </w:rPr>
              <w:fldChar w:fldCharType="end"/>
            </w:r>
          </w:hyperlink>
        </w:p>
        <w:p w14:paraId="04CAE1D4" w14:textId="6D87D112" w:rsidR="006273BD" w:rsidRDefault="006273BD">
          <w:pPr>
            <w:pStyle w:val="TOC2"/>
            <w:rPr>
              <w:rFonts w:asciiTheme="minorHAnsi" w:eastAsiaTheme="minorEastAsia" w:hAnsiTheme="minorHAnsi" w:cstheme="minorBidi"/>
              <w:sz w:val="22"/>
              <w:szCs w:val="22"/>
              <w:lang w:val="en-US"/>
            </w:rPr>
          </w:pPr>
          <w:hyperlink w:anchor="_Toc77260313" w:history="1">
            <w:r w:rsidRPr="00CF79B7">
              <w:rPr>
                <w:rStyle w:val="Hyperlink"/>
                <w:rFonts w:eastAsia="Calibri"/>
                <w:noProof/>
              </w:rPr>
              <w:t>4.3</w:t>
            </w:r>
            <w:r>
              <w:rPr>
                <w:rFonts w:asciiTheme="minorHAnsi" w:eastAsiaTheme="minorEastAsia" w:hAnsiTheme="minorHAnsi" w:cstheme="minorBidi"/>
                <w:sz w:val="22"/>
                <w:szCs w:val="22"/>
                <w:lang w:val="en-US"/>
              </w:rPr>
              <w:tab/>
            </w:r>
            <w:r w:rsidRPr="00CF79B7">
              <w:rPr>
                <w:rStyle w:val="Hyperlink"/>
                <w:rFonts w:eastAsia="Calibri"/>
                <w:noProof/>
              </w:rPr>
              <w:t>Way Forward</w:t>
            </w:r>
            <w:r>
              <w:rPr>
                <w:webHidden/>
              </w:rPr>
              <w:tab/>
            </w:r>
            <w:r>
              <w:rPr>
                <w:webHidden/>
              </w:rPr>
              <w:fldChar w:fldCharType="begin"/>
            </w:r>
            <w:r>
              <w:rPr>
                <w:webHidden/>
              </w:rPr>
              <w:instrText xml:space="preserve"> PAGEREF _Toc77260313 \h </w:instrText>
            </w:r>
            <w:r>
              <w:rPr>
                <w:webHidden/>
              </w:rPr>
            </w:r>
            <w:r>
              <w:rPr>
                <w:webHidden/>
              </w:rPr>
              <w:fldChar w:fldCharType="separate"/>
            </w:r>
            <w:r>
              <w:rPr>
                <w:webHidden/>
              </w:rPr>
              <w:t>47</w:t>
            </w:r>
            <w:r>
              <w:rPr>
                <w:webHidden/>
              </w:rPr>
              <w:fldChar w:fldCharType="end"/>
            </w:r>
          </w:hyperlink>
        </w:p>
        <w:p w14:paraId="764631BE" w14:textId="7C4D04AD" w:rsidR="006273BD" w:rsidRDefault="006273BD">
          <w:pPr>
            <w:pStyle w:val="TOC1"/>
            <w:rPr>
              <w:rFonts w:asciiTheme="minorHAnsi" w:eastAsiaTheme="minorEastAsia" w:hAnsiTheme="minorHAnsi" w:cstheme="minorBidi"/>
              <w:b w:val="0"/>
              <w:smallCaps w:val="0"/>
              <w:color w:val="auto"/>
              <w:sz w:val="22"/>
              <w:szCs w:val="22"/>
              <w:lang w:val="en-US"/>
            </w:rPr>
          </w:pPr>
          <w:hyperlink w:anchor="_Toc77260314" w:history="1">
            <w:r w:rsidRPr="00CF79B7">
              <w:rPr>
                <w:rStyle w:val="Hyperlink"/>
                <w:noProof/>
              </w:rPr>
              <w:t>5</w:t>
            </w:r>
            <w:r>
              <w:rPr>
                <w:rFonts w:asciiTheme="minorHAnsi" w:eastAsiaTheme="minorEastAsia" w:hAnsiTheme="minorHAnsi" w:cstheme="minorBidi"/>
                <w:b w:val="0"/>
                <w:smallCaps w:val="0"/>
                <w:color w:val="auto"/>
                <w:sz w:val="22"/>
                <w:szCs w:val="22"/>
                <w:lang w:val="en-US"/>
              </w:rPr>
              <w:tab/>
            </w:r>
            <w:r w:rsidRPr="00CF79B7">
              <w:rPr>
                <w:rStyle w:val="Hyperlink"/>
                <w:noProof/>
              </w:rPr>
              <w:t>GUIDELINES FOR TECHNICAL AND OPERATIONAL READINESS</w:t>
            </w:r>
            <w:r>
              <w:rPr>
                <w:webHidden/>
              </w:rPr>
              <w:tab/>
            </w:r>
            <w:r>
              <w:rPr>
                <w:webHidden/>
              </w:rPr>
              <w:fldChar w:fldCharType="begin"/>
            </w:r>
            <w:r>
              <w:rPr>
                <w:webHidden/>
              </w:rPr>
              <w:instrText xml:space="preserve"> PAGEREF _Toc77260314 \h </w:instrText>
            </w:r>
            <w:r>
              <w:rPr>
                <w:webHidden/>
              </w:rPr>
            </w:r>
            <w:r>
              <w:rPr>
                <w:webHidden/>
              </w:rPr>
              <w:fldChar w:fldCharType="separate"/>
            </w:r>
            <w:r>
              <w:rPr>
                <w:webHidden/>
              </w:rPr>
              <w:t>48</w:t>
            </w:r>
            <w:r>
              <w:rPr>
                <w:webHidden/>
              </w:rPr>
              <w:fldChar w:fldCharType="end"/>
            </w:r>
          </w:hyperlink>
        </w:p>
        <w:p w14:paraId="7DEF3AE8" w14:textId="70BE42A0" w:rsidR="006273BD" w:rsidRDefault="006273BD">
          <w:pPr>
            <w:pStyle w:val="TOC2"/>
            <w:rPr>
              <w:rFonts w:asciiTheme="minorHAnsi" w:eastAsiaTheme="minorEastAsia" w:hAnsiTheme="minorHAnsi" w:cstheme="minorBidi"/>
              <w:sz w:val="22"/>
              <w:szCs w:val="22"/>
              <w:lang w:val="en-US"/>
            </w:rPr>
          </w:pPr>
          <w:hyperlink w:anchor="_Toc77260315" w:history="1">
            <w:r w:rsidRPr="00CF79B7">
              <w:rPr>
                <w:rStyle w:val="Hyperlink"/>
                <w:rFonts w:eastAsia="Calibri"/>
                <w:noProof/>
              </w:rPr>
              <w:t>5.1</w:t>
            </w:r>
            <w:r>
              <w:rPr>
                <w:rFonts w:asciiTheme="minorHAnsi" w:eastAsiaTheme="minorEastAsia" w:hAnsiTheme="minorHAnsi" w:cstheme="minorBidi"/>
                <w:sz w:val="22"/>
                <w:szCs w:val="22"/>
                <w:lang w:val="en-US"/>
              </w:rPr>
              <w:tab/>
            </w:r>
            <w:r w:rsidRPr="00CF79B7">
              <w:rPr>
                <w:rStyle w:val="Hyperlink"/>
                <w:rFonts w:eastAsia="Calibri"/>
                <w:noProof/>
              </w:rPr>
              <w:t>Guidelines 1: Roles of System Operators (National TSOs, Control Area Operators, and RSMOs)</w:t>
            </w:r>
            <w:r>
              <w:rPr>
                <w:webHidden/>
              </w:rPr>
              <w:tab/>
            </w:r>
            <w:r>
              <w:rPr>
                <w:webHidden/>
              </w:rPr>
              <w:fldChar w:fldCharType="begin"/>
            </w:r>
            <w:r>
              <w:rPr>
                <w:webHidden/>
              </w:rPr>
              <w:instrText xml:space="preserve"> PAGEREF _Toc77260315 \h </w:instrText>
            </w:r>
            <w:r>
              <w:rPr>
                <w:webHidden/>
              </w:rPr>
            </w:r>
            <w:r>
              <w:rPr>
                <w:webHidden/>
              </w:rPr>
              <w:fldChar w:fldCharType="separate"/>
            </w:r>
            <w:r>
              <w:rPr>
                <w:webHidden/>
              </w:rPr>
              <w:t>48</w:t>
            </w:r>
            <w:r>
              <w:rPr>
                <w:webHidden/>
              </w:rPr>
              <w:fldChar w:fldCharType="end"/>
            </w:r>
          </w:hyperlink>
        </w:p>
        <w:p w14:paraId="5DB3E445" w14:textId="563D506B" w:rsidR="006273BD" w:rsidRDefault="006273BD">
          <w:pPr>
            <w:pStyle w:val="TOC2"/>
            <w:rPr>
              <w:rFonts w:asciiTheme="minorHAnsi" w:eastAsiaTheme="minorEastAsia" w:hAnsiTheme="minorHAnsi" w:cstheme="minorBidi"/>
              <w:sz w:val="22"/>
              <w:szCs w:val="22"/>
              <w:lang w:val="en-US"/>
            </w:rPr>
          </w:pPr>
          <w:hyperlink w:anchor="_Toc77260316" w:history="1">
            <w:r w:rsidRPr="00CF79B7">
              <w:rPr>
                <w:rStyle w:val="Hyperlink"/>
                <w:rFonts w:eastAsia="Calibri"/>
                <w:noProof/>
              </w:rPr>
              <w:t>5.2</w:t>
            </w:r>
            <w:r>
              <w:rPr>
                <w:rFonts w:asciiTheme="minorHAnsi" w:eastAsiaTheme="minorEastAsia" w:hAnsiTheme="minorHAnsi" w:cstheme="minorBidi"/>
                <w:sz w:val="22"/>
                <w:szCs w:val="22"/>
                <w:lang w:val="en-US"/>
              </w:rPr>
              <w:tab/>
            </w:r>
            <w:r w:rsidRPr="00CF79B7">
              <w:rPr>
                <w:rStyle w:val="Hyperlink"/>
                <w:rFonts w:eastAsia="Calibri"/>
                <w:noProof/>
              </w:rPr>
              <w:t>Guidelines 2: Dispatch, System Operations, and ICT</w:t>
            </w:r>
            <w:r>
              <w:rPr>
                <w:webHidden/>
              </w:rPr>
              <w:tab/>
            </w:r>
            <w:r>
              <w:rPr>
                <w:webHidden/>
              </w:rPr>
              <w:fldChar w:fldCharType="begin"/>
            </w:r>
            <w:r>
              <w:rPr>
                <w:webHidden/>
              </w:rPr>
              <w:instrText xml:space="preserve"> PAGEREF _Toc77260316 \h </w:instrText>
            </w:r>
            <w:r>
              <w:rPr>
                <w:webHidden/>
              </w:rPr>
            </w:r>
            <w:r>
              <w:rPr>
                <w:webHidden/>
              </w:rPr>
              <w:fldChar w:fldCharType="separate"/>
            </w:r>
            <w:r>
              <w:rPr>
                <w:webHidden/>
              </w:rPr>
              <w:t>50</w:t>
            </w:r>
            <w:r>
              <w:rPr>
                <w:webHidden/>
              </w:rPr>
              <w:fldChar w:fldCharType="end"/>
            </w:r>
          </w:hyperlink>
        </w:p>
        <w:p w14:paraId="59490CFF" w14:textId="7B76415B" w:rsidR="006273BD" w:rsidRDefault="006273BD">
          <w:pPr>
            <w:pStyle w:val="TOC2"/>
            <w:rPr>
              <w:rFonts w:asciiTheme="minorHAnsi" w:eastAsiaTheme="minorEastAsia" w:hAnsiTheme="minorHAnsi" w:cstheme="minorBidi"/>
              <w:sz w:val="22"/>
              <w:szCs w:val="22"/>
              <w:lang w:val="en-US"/>
            </w:rPr>
          </w:pPr>
          <w:hyperlink w:anchor="_Toc77260317" w:history="1">
            <w:r w:rsidRPr="00CF79B7">
              <w:rPr>
                <w:rStyle w:val="Hyperlink"/>
                <w:rFonts w:eastAsia="Calibri"/>
                <w:noProof/>
              </w:rPr>
              <w:t>5.3</w:t>
            </w:r>
            <w:r>
              <w:rPr>
                <w:rFonts w:asciiTheme="minorHAnsi" w:eastAsiaTheme="minorEastAsia" w:hAnsiTheme="minorHAnsi" w:cstheme="minorBidi"/>
                <w:sz w:val="22"/>
                <w:szCs w:val="22"/>
                <w:lang w:val="en-US"/>
              </w:rPr>
              <w:tab/>
            </w:r>
            <w:r w:rsidRPr="00CF79B7">
              <w:rPr>
                <w:rStyle w:val="Hyperlink"/>
                <w:rFonts w:eastAsia="Calibri"/>
                <w:noProof/>
              </w:rPr>
              <w:t>Guidelines 3: Power System Adequacy, Capability and Robustness (Capacity Readiness)</w:t>
            </w:r>
            <w:r>
              <w:rPr>
                <w:webHidden/>
              </w:rPr>
              <w:tab/>
            </w:r>
            <w:r>
              <w:rPr>
                <w:webHidden/>
              </w:rPr>
              <w:fldChar w:fldCharType="begin"/>
            </w:r>
            <w:r>
              <w:rPr>
                <w:webHidden/>
              </w:rPr>
              <w:instrText xml:space="preserve"> PAGEREF _Toc77260317 \h </w:instrText>
            </w:r>
            <w:r>
              <w:rPr>
                <w:webHidden/>
              </w:rPr>
            </w:r>
            <w:r>
              <w:rPr>
                <w:webHidden/>
              </w:rPr>
              <w:fldChar w:fldCharType="separate"/>
            </w:r>
            <w:r>
              <w:rPr>
                <w:webHidden/>
              </w:rPr>
              <w:t>52</w:t>
            </w:r>
            <w:r>
              <w:rPr>
                <w:webHidden/>
              </w:rPr>
              <w:fldChar w:fldCharType="end"/>
            </w:r>
          </w:hyperlink>
        </w:p>
        <w:p w14:paraId="62847BFC" w14:textId="63523E2A" w:rsidR="006273BD" w:rsidRDefault="006273BD">
          <w:pPr>
            <w:pStyle w:val="TOC2"/>
            <w:rPr>
              <w:rFonts w:asciiTheme="minorHAnsi" w:eastAsiaTheme="minorEastAsia" w:hAnsiTheme="minorHAnsi" w:cstheme="minorBidi"/>
              <w:sz w:val="22"/>
              <w:szCs w:val="22"/>
              <w:lang w:val="en-US"/>
            </w:rPr>
          </w:pPr>
          <w:hyperlink w:anchor="_Toc77260318" w:history="1">
            <w:r w:rsidRPr="00CF79B7">
              <w:rPr>
                <w:rStyle w:val="Hyperlink"/>
                <w:rFonts w:eastAsia="Calibri"/>
                <w:noProof/>
              </w:rPr>
              <w:t>5.4</w:t>
            </w:r>
            <w:r>
              <w:rPr>
                <w:rFonts w:asciiTheme="minorHAnsi" w:eastAsiaTheme="minorEastAsia" w:hAnsiTheme="minorHAnsi" w:cstheme="minorBidi"/>
                <w:sz w:val="22"/>
                <w:szCs w:val="22"/>
                <w:lang w:val="en-US"/>
              </w:rPr>
              <w:tab/>
            </w:r>
            <w:r w:rsidRPr="00CF79B7">
              <w:rPr>
                <w:rStyle w:val="Hyperlink"/>
                <w:rFonts w:eastAsia="Calibri"/>
                <w:noProof/>
              </w:rPr>
              <w:t>Guidelines 4: Market Compatibility for Trading</w:t>
            </w:r>
            <w:r>
              <w:rPr>
                <w:webHidden/>
              </w:rPr>
              <w:tab/>
            </w:r>
            <w:r>
              <w:rPr>
                <w:webHidden/>
              </w:rPr>
              <w:fldChar w:fldCharType="begin"/>
            </w:r>
            <w:r>
              <w:rPr>
                <w:webHidden/>
              </w:rPr>
              <w:instrText xml:space="preserve"> PAGEREF _Toc77260318 \h </w:instrText>
            </w:r>
            <w:r>
              <w:rPr>
                <w:webHidden/>
              </w:rPr>
            </w:r>
            <w:r>
              <w:rPr>
                <w:webHidden/>
              </w:rPr>
              <w:fldChar w:fldCharType="separate"/>
            </w:r>
            <w:r>
              <w:rPr>
                <w:webHidden/>
              </w:rPr>
              <w:t>54</w:t>
            </w:r>
            <w:r>
              <w:rPr>
                <w:webHidden/>
              </w:rPr>
              <w:fldChar w:fldCharType="end"/>
            </w:r>
          </w:hyperlink>
        </w:p>
        <w:p w14:paraId="0F955B3A" w14:textId="0F27C1E3" w:rsidR="006273BD" w:rsidRDefault="006273BD">
          <w:pPr>
            <w:pStyle w:val="TOC2"/>
            <w:rPr>
              <w:rFonts w:asciiTheme="minorHAnsi" w:eastAsiaTheme="minorEastAsia" w:hAnsiTheme="minorHAnsi" w:cstheme="minorBidi"/>
              <w:sz w:val="22"/>
              <w:szCs w:val="22"/>
              <w:lang w:val="en-US"/>
            </w:rPr>
          </w:pPr>
          <w:hyperlink w:anchor="_Toc77260319" w:history="1">
            <w:r w:rsidRPr="00CF79B7">
              <w:rPr>
                <w:rStyle w:val="Hyperlink"/>
                <w:rFonts w:eastAsia="Calibri"/>
                <w:noProof/>
              </w:rPr>
              <w:t>5.5</w:t>
            </w:r>
            <w:r>
              <w:rPr>
                <w:rFonts w:asciiTheme="minorHAnsi" w:eastAsiaTheme="minorEastAsia" w:hAnsiTheme="minorHAnsi" w:cstheme="minorBidi"/>
                <w:sz w:val="22"/>
                <w:szCs w:val="22"/>
                <w:lang w:val="en-US"/>
              </w:rPr>
              <w:tab/>
            </w:r>
            <w:r w:rsidRPr="00CF79B7">
              <w:rPr>
                <w:rStyle w:val="Hyperlink"/>
                <w:rFonts w:eastAsia="Calibri"/>
                <w:noProof/>
              </w:rPr>
              <w:t>Guidelines 5: System Operators and Coordinated Planning</w:t>
            </w:r>
            <w:r>
              <w:rPr>
                <w:webHidden/>
              </w:rPr>
              <w:tab/>
            </w:r>
            <w:r>
              <w:rPr>
                <w:webHidden/>
              </w:rPr>
              <w:fldChar w:fldCharType="begin"/>
            </w:r>
            <w:r>
              <w:rPr>
                <w:webHidden/>
              </w:rPr>
              <w:instrText xml:space="preserve"> PAGEREF _Toc77260319 \h </w:instrText>
            </w:r>
            <w:r>
              <w:rPr>
                <w:webHidden/>
              </w:rPr>
            </w:r>
            <w:r>
              <w:rPr>
                <w:webHidden/>
              </w:rPr>
              <w:fldChar w:fldCharType="separate"/>
            </w:r>
            <w:r>
              <w:rPr>
                <w:webHidden/>
              </w:rPr>
              <w:t>60</w:t>
            </w:r>
            <w:r>
              <w:rPr>
                <w:webHidden/>
              </w:rPr>
              <w:fldChar w:fldCharType="end"/>
            </w:r>
          </w:hyperlink>
        </w:p>
        <w:p w14:paraId="6FD96A07" w14:textId="60E16E9C" w:rsidR="006273BD" w:rsidRDefault="006273BD">
          <w:pPr>
            <w:pStyle w:val="TOC3"/>
            <w:rPr>
              <w:rFonts w:asciiTheme="minorHAnsi" w:eastAsiaTheme="minorEastAsia" w:hAnsiTheme="minorHAnsi" w:cstheme="minorBidi"/>
              <w:i w:val="0"/>
              <w:sz w:val="22"/>
              <w:szCs w:val="22"/>
              <w:lang w:val="en-US"/>
            </w:rPr>
          </w:pPr>
          <w:hyperlink w:anchor="_Toc77260320" w:history="1">
            <w:r w:rsidRPr="00CF79B7">
              <w:rPr>
                <w:rStyle w:val="Hyperlink"/>
                <w:rFonts w:eastAsia="Calibri"/>
                <w:noProof/>
              </w:rPr>
              <w:t>5.5.1</w:t>
            </w:r>
            <w:r>
              <w:rPr>
                <w:rFonts w:asciiTheme="minorHAnsi" w:eastAsiaTheme="minorEastAsia" w:hAnsiTheme="minorHAnsi" w:cstheme="minorBidi"/>
                <w:i w:val="0"/>
                <w:sz w:val="22"/>
                <w:szCs w:val="22"/>
                <w:lang w:val="en-US"/>
              </w:rPr>
              <w:tab/>
            </w:r>
            <w:r w:rsidRPr="00CF79B7">
              <w:rPr>
                <w:rStyle w:val="Hyperlink"/>
                <w:rFonts w:eastAsia="Calibri"/>
                <w:noProof/>
              </w:rPr>
              <w:t>Guidelines 5.1: Synchronising Procedures</w:t>
            </w:r>
            <w:r>
              <w:rPr>
                <w:webHidden/>
              </w:rPr>
              <w:tab/>
            </w:r>
            <w:r>
              <w:rPr>
                <w:webHidden/>
              </w:rPr>
              <w:fldChar w:fldCharType="begin"/>
            </w:r>
            <w:r>
              <w:rPr>
                <w:webHidden/>
              </w:rPr>
              <w:instrText xml:space="preserve"> PAGEREF _Toc77260320 \h </w:instrText>
            </w:r>
            <w:r>
              <w:rPr>
                <w:webHidden/>
              </w:rPr>
            </w:r>
            <w:r>
              <w:rPr>
                <w:webHidden/>
              </w:rPr>
              <w:fldChar w:fldCharType="separate"/>
            </w:r>
            <w:r>
              <w:rPr>
                <w:webHidden/>
              </w:rPr>
              <w:t>60</w:t>
            </w:r>
            <w:r>
              <w:rPr>
                <w:webHidden/>
              </w:rPr>
              <w:fldChar w:fldCharType="end"/>
            </w:r>
          </w:hyperlink>
        </w:p>
        <w:p w14:paraId="02C583F6" w14:textId="25B405F7" w:rsidR="006273BD" w:rsidRDefault="006273BD">
          <w:pPr>
            <w:pStyle w:val="TOC3"/>
            <w:rPr>
              <w:rFonts w:asciiTheme="minorHAnsi" w:eastAsiaTheme="minorEastAsia" w:hAnsiTheme="minorHAnsi" w:cstheme="minorBidi"/>
              <w:i w:val="0"/>
              <w:sz w:val="22"/>
              <w:szCs w:val="22"/>
              <w:lang w:val="en-US"/>
            </w:rPr>
          </w:pPr>
          <w:hyperlink w:anchor="_Toc77260321" w:history="1">
            <w:r w:rsidRPr="00CF79B7">
              <w:rPr>
                <w:rStyle w:val="Hyperlink"/>
                <w:rFonts w:eastAsia="Calibri"/>
                <w:noProof/>
              </w:rPr>
              <w:t>5.5.2</w:t>
            </w:r>
            <w:r>
              <w:rPr>
                <w:rFonts w:asciiTheme="minorHAnsi" w:eastAsiaTheme="minorEastAsia" w:hAnsiTheme="minorHAnsi" w:cstheme="minorBidi"/>
                <w:i w:val="0"/>
                <w:sz w:val="22"/>
                <w:szCs w:val="22"/>
                <w:lang w:val="en-US"/>
              </w:rPr>
              <w:tab/>
            </w:r>
            <w:r w:rsidRPr="00CF79B7">
              <w:rPr>
                <w:rStyle w:val="Hyperlink"/>
                <w:rFonts w:eastAsia="Calibri"/>
                <w:noProof/>
              </w:rPr>
              <w:t>Guidelines 5.2: Operational Data</w:t>
            </w:r>
            <w:r>
              <w:rPr>
                <w:webHidden/>
              </w:rPr>
              <w:tab/>
            </w:r>
            <w:r>
              <w:rPr>
                <w:webHidden/>
              </w:rPr>
              <w:fldChar w:fldCharType="begin"/>
            </w:r>
            <w:r>
              <w:rPr>
                <w:webHidden/>
              </w:rPr>
              <w:instrText xml:space="preserve"> PAGEREF _Toc77260321 \h </w:instrText>
            </w:r>
            <w:r>
              <w:rPr>
                <w:webHidden/>
              </w:rPr>
            </w:r>
            <w:r>
              <w:rPr>
                <w:webHidden/>
              </w:rPr>
              <w:fldChar w:fldCharType="separate"/>
            </w:r>
            <w:r>
              <w:rPr>
                <w:webHidden/>
              </w:rPr>
              <w:t>63</w:t>
            </w:r>
            <w:r>
              <w:rPr>
                <w:webHidden/>
              </w:rPr>
              <w:fldChar w:fldCharType="end"/>
            </w:r>
          </w:hyperlink>
        </w:p>
        <w:p w14:paraId="6E6419C1" w14:textId="5C7B78B9" w:rsidR="006273BD" w:rsidRDefault="006273BD">
          <w:pPr>
            <w:pStyle w:val="TOC3"/>
            <w:rPr>
              <w:rFonts w:asciiTheme="minorHAnsi" w:eastAsiaTheme="minorEastAsia" w:hAnsiTheme="minorHAnsi" w:cstheme="minorBidi"/>
              <w:i w:val="0"/>
              <w:sz w:val="22"/>
              <w:szCs w:val="22"/>
              <w:lang w:val="en-US"/>
            </w:rPr>
          </w:pPr>
          <w:hyperlink w:anchor="_Toc77260322" w:history="1">
            <w:r w:rsidRPr="00CF79B7">
              <w:rPr>
                <w:rStyle w:val="Hyperlink"/>
                <w:rFonts w:eastAsia="Calibri"/>
                <w:noProof/>
              </w:rPr>
              <w:t>5.5.3</w:t>
            </w:r>
            <w:r>
              <w:rPr>
                <w:rFonts w:asciiTheme="minorHAnsi" w:eastAsiaTheme="minorEastAsia" w:hAnsiTheme="minorHAnsi" w:cstheme="minorBidi"/>
                <w:i w:val="0"/>
                <w:sz w:val="22"/>
                <w:szCs w:val="22"/>
                <w:lang w:val="en-US"/>
              </w:rPr>
              <w:tab/>
            </w:r>
            <w:r w:rsidRPr="00CF79B7">
              <w:rPr>
                <w:rStyle w:val="Hyperlink"/>
                <w:rFonts w:eastAsia="Calibri"/>
                <w:noProof/>
              </w:rPr>
              <w:t>Guidelines 5.3: Transmission Capacity Allocation</w:t>
            </w:r>
            <w:r>
              <w:rPr>
                <w:webHidden/>
              </w:rPr>
              <w:tab/>
            </w:r>
            <w:r>
              <w:rPr>
                <w:webHidden/>
              </w:rPr>
              <w:fldChar w:fldCharType="begin"/>
            </w:r>
            <w:r>
              <w:rPr>
                <w:webHidden/>
              </w:rPr>
              <w:instrText xml:space="preserve"> PAGEREF _Toc77260322 \h </w:instrText>
            </w:r>
            <w:r>
              <w:rPr>
                <w:webHidden/>
              </w:rPr>
            </w:r>
            <w:r>
              <w:rPr>
                <w:webHidden/>
              </w:rPr>
              <w:fldChar w:fldCharType="separate"/>
            </w:r>
            <w:r>
              <w:rPr>
                <w:webHidden/>
              </w:rPr>
              <w:t>65</w:t>
            </w:r>
            <w:r>
              <w:rPr>
                <w:webHidden/>
              </w:rPr>
              <w:fldChar w:fldCharType="end"/>
            </w:r>
          </w:hyperlink>
        </w:p>
        <w:p w14:paraId="113CF376" w14:textId="6DCDB668" w:rsidR="006273BD" w:rsidRDefault="006273BD">
          <w:pPr>
            <w:pStyle w:val="TOC3"/>
            <w:rPr>
              <w:rFonts w:asciiTheme="minorHAnsi" w:eastAsiaTheme="minorEastAsia" w:hAnsiTheme="minorHAnsi" w:cstheme="minorBidi"/>
              <w:i w:val="0"/>
              <w:sz w:val="22"/>
              <w:szCs w:val="22"/>
              <w:lang w:val="en-US"/>
            </w:rPr>
          </w:pPr>
          <w:hyperlink w:anchor="_Toc77260323" w:history="1">
            <w:r w:rsidRPr="00CF79B7">
              <w:rPr>
                <w:rStyle w:val="Hyperlink"/>
                <w:rFonts w:eastAsia="Calibri"/>
                <w:noProof/>
              </w:rPr>
              <w:t>5.5.4</w:t>
            </w:r>
            <w:r>
              <w:rPr>
                <w:rFonts w:asciiTheme="minorHAnsi" w:eastAsiaTheme="minorEastAsia" w:hAnsiTheme="minorHAnsi" w:cstheme="minorBidi"/>
                <w:i w:val="0"/>
                <w:sz w:val="22"/>
                <w:szCs w:val="22"/>
                <w:lang w:val="en-US"/>
              </w:rPr>
              <w:tab/>
            </w:r>
            <w:r w:rsidRPr="00CF79B7">
              <w:rPr>
                <w:rStyle w:val="Hyperlink"/>
                <w:rFonts w:eastAsia="Calibri"/>
                <w:noProof/>
              </w:rPr>
              <w:t>Guidelines 5.4: Ancillary Services Provisions</w:t>
            </w:r>
            <w:r>
              <w:rPr>
                <w:webHidden/>
              </w:rPr>
              <w:tab/>
            </w:r>
            <w:r>
              <w:rPr>
                <w:webHidden/>
              </w:rPr>
              <w:fldChar w:fldCharType="begin"/>
            </w:r>
            <w:r>
              <w:rPr>
                <w:webHidden/>
              </w:rPr>
              <w:instrText xml:space="preserve"> PAGEREF _Toc77260323 \h </w:instrText>
            </w:r>
            <w:r>
              <w:rPr>
                <w:webHidden/>
              </w:rPr>
            </w:r>
            <w:r>
              <w:rPr>
                <w:webHidden/>
              </w:rPr>
              <w:fldChar w:fldCharType="separate"/>
            </w:r>
            <w:r>
              <w:rPr>
                <w:webHidden/>
              </w:rPr>
              <w:t>68</w:t>
            </w:r>
            <w:r>
              <w:rPr>
                <w:webHidden/>
              </w:rPr>
              <w:fldChar w:fldCharType="end"/>
            </w:r>
          </w:hyperlink>
        </w:p>
        <w:p w14:paraId="6A54A119" w14:textId="16F50A96" w:rsidR="006273BD" w:rsidRDefault="006273BD">
          <w:pPr>
            <w:pStyle w:val="TOC1"/>
            <w:rPr>
              <w:rFonts w:asciiTheme="minorHAnsi" w:eastAsiaTheme="minorEastAsia" w:hAnsiTheme="minorHAnsi" w:cstheme="minorBidi"/>
              <w:b w:val="0"/>
              <w:smallCaps w:val="0"/>
              <w:color w:val="auto"/>
              <w:sz w:val="22"/>
              <w:szCs w:val="22"/>
              <w:lang w:val="en-US"/>
            </w:rPr>
          </w:pPr>
          <w:hyperlink w:anchor="_Toc77260324" w:history="1">
            <w:r w:rsidRPr="00CF79B7">
              <w:rPr>
                <w:rStyle w:val="Hyperlink"/>
                <w:noProof/>
              </w:rPr>
              <w:t>6</w:t>
            </w:r>
            <w:r>
              <w:rPr>
                <w:rFonts w:asciiTheme="minorHAnsi" w:eastAsiaTheme="minorEastAsia" w:hAnsiTheme="minorHAnsi" w:cstheme="minorBidi"/>
                <w:b w:val="0"/>
                <w:smallCaps w:val="0"/>
                <w:color w:val="auto"/>
                <w:sz w:val="22"/>
                <w:szCs w:val="22"/>
                <w:lang w:val="en-US"/>
              </w:rPr>
              <w:tab/>
            </w:r>
            <w:r w:rsidRPr="00CF79B7">
              <w:rPr>
                <w:rStyle w:val="Hyperlink"/>
                <w:noProof/>
              </w:rPr>
              <w:t>GUIDELINES FOR INTERCONNECTION OF OFF-GRID MINI-GRIDS</w:t>
            </w:r>
            <w:r>
              <w:rPr>
                <w:webHidden/>
              </w:rPr>
              <w:tab/>
            </w:r>
            <w:r>
              <w:rPr>
                <w:webHidden/>
              </w:rPr>
              <w:fldChar w:fldCharType="begin"/>
            </w:r>
            <w:r>
              <w:rPr>
                <w:webHidden/>
              </w:rPr>
              <w:instrText xml:space="preserve"> PAGEREF _Toc77260324 \h </w:instrText>
            </w:r>
            <w:r>
              <w:rPr>
                <w:webHidden/>
              </w:rPr>
            </w:r>
            <w:r>
              <w:rPr>
                <w:webHidden/>
              </w:rPr>
              <w:fldChar w:fldCharType="separate"/>
            </w:r>
            <w:r>
              <w:rPr>
                <w:webHidden/>
              </w:rPr>
              <w:t>73</w:t>
            </w:r>
            <w:r>
              <w:rPr>
                <w:webHidden/>
              </w:rPr>
              <w:fldChar w:fldCharType="end"/>
            </w:r>
          </w:hyperlink>
        </w:p>
        <w:p w14:paraId="4BB534DE" w14:textId="14B994C6" w:rsidR="006273BD" w:rsidRDefault="006273BD">
          <w:pPr>
            <w:pStyle w:val="TOC2"/>
            <w:rPr>
              <w:rFonts w:asciiTheme="minorHAnsi" w:eastAsiaTheme="minorEastAsia" w:hAnsiTheme="minorHAnsi" w:cstheme="minorBidi"/>
              <w:sz w:val="22"/>
              <w:szCs w:val="22"/>
              <w:lang w:val="en-US"/>
            </w:rPr>
          </w:pPr>
          <w:hyperlink w:anchor="_Toc77260325" w:history="1">
            <w:r w:rsidRPr="00CF79B7">
              <w:rPr>
                <w:rStyle w:val="Hyperlink"/>
                <w:rFonts w:eastAsia="Calibri"/>
                <w:noProof/>
              </w:rPr>
              <w:t>6.1</w:t>
            </w:r>
            <w:r>
              <w:rPr>
                <w:rFonts w:asciiTheme="minorHAnsi" w:eastAsiaTheme="minorEastAsia" w:hAnsiTheme="minorHAnsi" w:cstheme="minorBidi"/>
                <w:sz w:val="22"/>
                <w:szCs w:val="22"/>
                <w:lang w:val="en-US"/>
              </w:rPr>
              <w:tab/>
            </w:r>
            <w:r w:rsidRPr="00CF79B7">
              <w:rPr>
                <w:rStyle w:val="Hyperlink"/>
                <w:rFonts w:eastAsia="Calibri"/>
                <w:noProof/>
              </w:rPr>
              <w:t>Guidelines 6.1: Technical Modalities for Main Grid Connection of Off-Grid Mini-Grids</w:t>
            </w:r>
            <w:r>
              <w:rPr>
                <w:webHidden/>
              </w:rPr>
              <w:tab/>
            </w:r>
            <w:r>
              <w:rPr>
                <w:webHidden/>
              </w:rPr>
              <w:fldChar w:fldCharType="begin"/>
            </w:r>
            <w:r>
              <w:rPr>
                <w:webHidden/>
              </w:rPr>
              <w:instrText xml:space="preserve"> PAGEREF _Toc77260325 \h </w:instrText>
            </w:r>
            <w:r>
              <w:rPr>
                <w:webHidden/>
              </w:rPr>
            </w:r>
            <w:r>
              <w:rPr>
                <w:webHidden/>
              </w:rPr>
              <w:fldChar w:fldCharType="separate"/>
            </w:r>
            <w:r>
              <w:rPr>
                <w:webHidden/>
              </w:rPr>
              <w:t>73</w:t>
            </w:r>
            <w:r>
              <w:rPr>
                <w:webHidden/>
              </w:rPr>
              <w:fldChar w:fldCharType="end"/>
            </w:r>
          </w:hyperlink>
        </w:p>
        <w:p w14:paraId="01B9FB00" w14:textId="66534BF3" w:rsidR="006273BD" w:rsidRDefault="006273BD">
          <w:pPr>
            <w:pStyle w:val="TOC2"/>
            <w:rPr>
              <w:rFonts w:asciiTheme="minorHAnsi" w:eastAsiaTheme="minorEastAsia" w:hAnsiTheme="minorHAnsi" w:cstheme="minorBidi"/>
              <w:sz w:val="22"/>
              <w:szCs w:val="22"/>
              <w:lang w:val="en-US"/>
            </w:rPr>
          </w:pPr>
          <w:hyperlink w:anchor="_Toc77260326" w:history="1">
            <w:r w:rsidRPr="00CF79B7">
              <w:rPr>
                <w:rStyle w:val="Hyperlink"/>
                <w:rFonts w:eastAsia="Calibri"/>
                <w:noProof/>
              </w:rPr>
              <w:t>6.2</w:t>
            </w:r>
            <w:r>
              <w:rPr>
                <w:rFonts w:asciiTheme="minorHAnsi" w:eastAsiaTheme="minorEastAsia" w:hAnsiTheme="minorHAnsi" w:cstheme="minorBidi"/>
                <w:sz w:val="22"/>
                <w:szCs w:val="22"/>
                <w:lang w:val="en-US"/>
              </w:rPr>
              <w:tab/>
            </w:r>
            <w:r w:rsidRPr="00CF79B7">
              <w:rPr>
                <w:rStyle w:val="Hyperlink"/>
                <w:rFonts w:eastAsia="Calibri"/>
                <w:noProof/>
              </w:rPr>
              <w:t>Guidelines 6.2: Regulatory Frameworks for Main Grid Connection of Off-Grid Mini-Grids and Micro-DSOs</w:t>
            </w:r>
            <w:r>
              <w:rPr>
                <w:webHidden/>
              </w:rPr>
              <w:tab/>
            </w:r>
            <w:r>
              <w:rPr>
                <w:webHidden/>
              </w:rPr>
              <w:fldChar w:fldCharType="begin"/>
            </w:r>
            <w:r>
              <w:rPr>
                <w:webHidden/>
              </w:rPr>
              <w:instrText xml:space="preserve"> PAGEREF _Toc77260326 \h </w:instrText>
            </w:r>
            <w:r>
              <w:rPr>
                <w:webHidden/>
              </w:rPr>
            </w:r>
            <w:r>
              <w:rPr>
                <w:webHidden/>
              </w:rPr>
              <w:fldChar w:fldCharType="separate"/>
            </w:r>
            <w:r>
              <w:rPr>
                <w:webHidden/>
              </w:rPr>
              <w:t>79</w:t>
            </w:r>
            <w:r>
              <w:rPr>
                <w:webHidden/>
              </w:rPr>
              <w:fldChar w:fldCharType="end"/>
            </w:r>
          </w:hyperlink>
        </w:p>
        <w:p w14:paraId="56DED403" w14:textId="7C0A5083" w:rsidR="006273BD" w:rsidRDefault="006273BD">
          <w:pPr>
            <w:pStyle w:val="TOC1"/>
            <w:rPr>
              <w:rFonts w:asciiTheme="minorHAnsi" w:eastAsiaTheme="minorEastAsia" w:hAnsiTheme="minorHAnsi" w:cstheme="minorBidi"/>
              <w:b w:val="0"/>
              <w:smallCaps w:val="0"/>
              <w:color w:val="auto"/>
              <w:sz w:val="22"/>
              <w:szCs w:val="22"/>
              <w:lang w:val="en-US"/>
            </w:rPr>
          </w:pPr>
          <w:hyperlink w:anchor="_Toc77260327" w:history="1">
            <w:r w:rsidRPr="00CF79B7">
              <w:rPr>
                <w:rStyle w:val="Hyperlink"/>
                <w:noProof/>
              </w:rPr>
              <w:t>7</w:t>
            </w:r>
            <w:r>
              <w:rPr>
                <w:rFonts w:asciiTheme="minorHAnsi" w:eastAsiaTheme="minorEastAsia" w:hAnsiTheme="minorHAnsi" w:cstheme="minorBidi"/>
                <w:b w:val="0"/>
                <w:smallCaps w:val="0"/>
                <w:color w:val="auto"/>
                <w:sz w:val="22"/>
                <w:szCs w:val="22"/>
                <w:lang w:val="en-US"/>
              </w:rPr>
              <w:tab/>
            </w:r>
            <w:r w:rsidRPr="00CF79B7">
              <w:rPr>
                <w:rStyle w:val="Hyperlink"/>
                <w:noProof/>
              </w:rPr>
              <w:t>ACTION PLAN</w:t>
            </w:r>
            <w:r>
              <w:rPr>
                <w:webHidden/>
              </w:rPr>
              <w:tab/>
            </w:r>
            <w:r>
              <w:rPr>
                <w:webHidden/>
              </w:rPr>
              <w:fldChar w:fldCharType="begin"/>
            </w:r>
            <w:r>
              <w:rPr>
                <w:webHidden/>
              </w:rPr>
              <w:instrText xml:space="preserve"> PAGEREF _Toc77260327 \h </w:instrText>
            </w:r>
            <w:r>
              <w:rPr>
                <w:webHidden/>
              </w:rPr>
            </w:r>
            <w:r>
              <w:rPr>
                <w:webHidden/>
              </w:rPr>
              <w:fldChar w:fldCharType="separate"/>
            </w:r>
            <w:r>
              <w:rPr>
                <w:webHidden/>
              </w:rPr>
              <w:t>82</w:t>
            </w:r>
            <w:r>
              <w:rPr>
                <w:webHidden/>
              </w:rPr>
              <w:fldChar w:fldCharType="end"/>
            </w:r>
          </w:hyperlink>
        </w:p>
        <w:p w14:paraId="3D786CF4" w14:textId="72AA17A6" w:rsidR="006273BD" w:rsidRDefault="006273BD">
          <w:pPr>
            <w:pStyle w:val="TOC2"/>
            <w:rPr>
              <w:rFonts w:asciiTheme="minorHAnsi" w:eastAsiaTheme="minorEastAsia" w:hAnsiTheme="minorHAnsi" w:cstheme="minorBidi"/>
              <w:sz w:val="22"/>
              <w:szCs w:val="22"/>
              <w:lang w:val="en-US"/>
            </w:rPr>
          </w:pPr>
          <w:hyperlink w:anchor="_Toc77260328" w:history="1">
            <w:r w:rsidRPr="00CF79B7">
              <w:rPr>
                <w:rStyle w:val="Hyperlink"/>
                <w:rFonts w:eastAsia="Calibri"/>
                <w:noProof/>
              </w:rPr>
              <w:t>7.1</w:t>
            </w:r>
            <w:r>
              <w:rPr>
                <w:rFonts w:asciiTheme="minorHAnsi" w:eastAsiaTheme="minorEastAsia" w:hAnsiTheme="minorHAnsi" w:cstheme="minorBidi"/>
                <w:sz w:val="22"/>
                <w:szCs w:val="22"/>
                <w:lang w:val="en-US"/>
              </w:rPr>
              <w:tab/>
            </w:r>
            <w:r w:rsidRPr="00CF79B7">
              <w:rPr>
                <w:rStyle w:val="Hyperlink"/>
                <w:rFonts w:eastAsia="Calibri"/>
                <w:noProof/>
              </w:rPr>
              <w:t>Technical and Operational Readiness</w:t>
            </w:r>
            <w:r>
              <w:rPr>
                <w:webHidden/>
              </w:rPr>
              <w:tab/>
            </w:r>
            <w:r>
              <w:rPr>
                <w:webHidden/>
              </w:rPr>
              <w:fldChar w:fldCharType="begin"/>
            </w:r>
            <w:r>
              <w:rPr>
                <w:webHidden/>
              </w:rPr>
              <w:instrText xml:space="preserve"> PAGEREF _Toc77260328 \h </w:instrText>
            </w:r>
            <w:r>
              <w:rPr>
                <w:webHidden/>
              </w:rPr>
            </w:r>
            <w:r>
              <w:rPr>
                <w:webHidden/>
              </w:rPr>
              <w:fldChar w:fldCharType="separate"/>
            </w:r>
            <w:r>
              <w:rPr>
                <w:webHidden/>
              </w:rPr>
              <w:t>82</w:t>
            </w:r>
            <w:r>
              <w:rPr>
                <w:webHidden/>
              </w:rPr>
              <w:fldChar w:fldCharType="end"/>
            </w:r>
          </w:hyperlink>
        </w:p>
        <w:p w14:paraId="4FF8B2C4" w14:textId="1DD92AB2" w:rsidR="006273BD" w:rsidRDefault="006273BD">
          <w:pPr>
            <w:pStyle w:val="TOC3"/>
            <w:rPr>
              <w:rFonts w:asciiTheme="minorHAnsi" w:eastAsiaTheme="minorEastAsia" w:hAnsiTheme="minorHAnsi" w:cstheme="minorBidi"/>
              <w:i w:val="0"/>
              <w:sz w:val="22"/>
              <w:szCs w:val="22"/>
              <w:lang w:val="en-US"/>
            </w:rPr>
          </w:pPr>
          <w:hyperlink w:anchor="_Toc77260329" w:history="1">
            <w:r w:rsidRPr="00CF79B7">
              <w:rPr>
                <w:rStyle w:val="Hyperlink"/>
                <w:rFonts w:eastAsia="Calibri"/>
                <w:noProof/>
              </w:rPr>
              <w:t>7.1.1</w:t>
            </w:r>
            <w:r>
              <w:rPr>
                <w:rFonts w:asciiTheme="minorHAnsi" w:eastAsiaTheme="minorEastAsia" w:hAnsiTheme="minorHAnsi" w:cstheme="minorBidi"/>
                <w:i w:val="0"/>
                <w:sz w:val="22"/>
                <w:szCs w:val="22"/>
                <w:lang w:val="en-US"/>
              </w:rPr>
              <w:tab/>
            </w:r>
            <w:r w:rsidRPr="00CF79B7">
              <w:rPr>
                <w:rStyle w:val="Hyperlink"/>
                <w:rFonts w:eastAsia="Calibri"/>
                <w:noProof/>
              </w:rPr>
              <w:t>Actions Required – Continental, Regional and National Levels</w:t>
            </w:r>
            <w:r>
              <w:rPr>
                <w:webHidden/>
              </w:rPr>
              <w:tab/>
            </w:r>
            <w:r>
              <w:rPr>
                <w:webHidden/>
              </w:rPr>
              <w:fldChar w:fldCharType="begin"/>
            </w:r>
            <w:r>
              <w:rPr>
                <w:webHidden/>
              </w:rPr>
              <w:instrText xml:space="preserve"> PAGEREF _Toc77260329 \h </w:instrText>
            </w:r>
            <w:r>
              <w:rPr>
                <w:webHidden/>
              </w:rPr>
            </w:r>
            <w:r>
              <w:rPr>
                <w:webHidden/>
              </w:rPr>
              <w:fldChar w:fldCharType="separate"/>
            </w:r>
            <w:r>
              <w:rPr>
                <w:webHidden/>
              </w:rPr>
              <w:t>82</w:t>
            </w:r>
            <w:r>
              <w:rPr>
                <w:webHidden/>
              </w:rPr>
              <w:fldChar w:fldCharType="end"/>
            </w:r>
          </w:hyperlink>
        </w:p>
        <w:p w14:paraId="12EEF926" w14:textId="724A2FB1" w:rsidR="006273BD" w:rsidRDefault="006273BD">
          <w:pPr>
            <w:pStyle w:val="TOC3"/>
            <w:rPr>
              <w:rFonts w:asciiTheme="minorHAnsi" w:eastAsiaTheme="minorEastAsia" w:hAnsiTheme="minorHAnsi" w:cstheme="minorBidi"/>
              <w:i w:val="0"/>
              <w:sz w:val="22"/>
              <w:szCs w:val="22"/>
              <w:lang w:val="en-US"/>
            </w:rPr>
          </w:pPr>
          <w:hyperlink w:anchor="_Toc77260330" w:history="1">
            <w:r w:rsidRPr="00CF79B7">
              <w:rPr>
                <w:rStyle w:val="Hyperlink"/>
                <w:rFonts w:eastAsia="Calibri"/>
                <w:noProof/>
              </w:rPr>
              <w:t>7.1.2</w:t>
            </w:r>
            <w:r>
              <w:rPr>
                <w:rFonts w:asciiTheme="minorHAnsi" w:eastAsiaTheme="minorEastAsia" w:hAnsiTheme="minorHAnsi" w:cstheme="minorBidi"/>
                <w:i w:val="0"/>
                <w:sz w:val="22"/>
                <w:szCs w:val="22"/>
                <w:lang w:val="en-US"/>
              </w:rPr>
              <w:tab/>
            </w:r>
            <w:r w:rsidRPr="00CF79B7">
              <w:rPr>
                <w:rStyle w:val="Hyperlink"/>
                <w:rFonts w:eastAsia="Calibri"/>
                <w:noProof/>
              </w:rPr>
              <w:t>Short-Term (2021-2025)</w:t>
            </w:r>
            <w:r>
              <w:rPr>
                <w:webHidden/>
              </w:rPr>
              <w:tab/>
            </w:r>
            <w:r>
              <w:rPr>
                <w:webHidden/>
              </w:rPr>
              <w:fldChar w:fldCharType="begin"/>
            </w:r>
            <w:r>
              <w:rPr>
                <w:webHidden/>
              </w:rPr>
              <w:instrText xml:space="preserve"> PAGEREF _Toc77260330 \h </w:instrText>
            </w:r>
            <w:r>
              <w:rPr>
                <w:webHidden/>
              </w:rPr>
            </w:r>
            <w:r>
              <w:rPr>
                <w:webHidden/>
              </w:rPr>
              <w:fldChar w:fldCharType="separate"/>
            </w:r>
            <w:r>
              <w:rPr>
                <w:webHidden/>
              </w:rPr>
              <w:t>83</w:t>
            </w:r>
            <w:r>
              <w:rPr>
                <w:webHidden/>
              </w:rPr>
              <w:fldChar w:fldCharType="end"/>
            </w:r>
          </w:hyperlink>
        </w:p>
        <w:p w14:paraId="74D8E884" w14:textId="0279D5EE" w:rsidR="006273BD" w:rsidRDefault="006273BD">
          <w:pPr>
            <w:pStyle w:val="TOC3"/>
            <w:rPr>
              <w:rFonts w:asciiTheme="minorHAnsi" w:eastAsiaTheme="minorEastAsia" w:hAnsiTheme="minorHAnsi" w:cstheme="minorBidi"/>
              <w:i w:val="0"/>
              <w:sz w:val="22"/>
              <w:szCs w:val="22"/>
              <w:lang w:val="en-US"/>
            </w:rPr>
          </w:pPr>
          <w:hyperlink w:anchor="_Toc77260331" w:history="1">
            <w:r w:rsidRPr="00CF79B7">
              <w:rPr>
                <w:rStyle w:val="Hyperlink"/>
                <w:rFonts w:eastAsia="Calibri"/>
                <w:noProof/>
              </w:rPr>
              <w:t>7.1.3</w:t>
            </w:r>
            <w:r>
              <w:rPr>
                <w:rFonts w:asciiTheme="minorHAnsi" w:eastAsiaTheme="minorEastAsia" w:hAnsiTheme="minorHAnsi" w:cstheme="minorBidi"/>
                <w:i w:val="0"/>
                <w:sz w:val="22"/>
                <w:szCs w:val="22"/>
                <w:lang w:val="en-US"/>
              </w:rPr>
              <w:tab/>
            </w:r>
            <w:r w:rsidRPr="00CF79B7">
              <w:rPr>
                <w:rStyle w:val="Hyperlink"/>
                <w:rFonts w:eastAsia="Calibri"/>
                <w:noProof/>
              </w:rPr>
              <w:t>Medium-Term (2026-2030)</w:t>
            </w:r>
            <w:r>
              <w:rPr>
                <w:webHidden/>
              </w:rPr>
              <w:tab/>
            </w:r>
            <w:r>
              <w:rPr>
                <w:webHidden/>
              </w:rPr>
              <w:fldChar w:fldCharType="begin"/>
            </w:r>
            <w:r>
              <w:rPr>
                <w:webHidden/>
              </w:rPr>
              <w:instrText xml:space="preserve"> PAGEREF _Toc77260331 \h </w:instrText>
            </w:r>
            <w:r>
              <w:rPr>
                <w:webHidden/>
              </w:rPr>
            </w:r>
            <w:r>
              <w:rPr>
                <w:webHidden/>
              </w:rPr>
              <w:fldChar w:fldCharType="separate"/>
            </w:r>
            <w:r>
              <w:rPr>
                <w:webHidden/>
              </w:rPr>
              <w:t>85</w:t>
            </w:r>
            <w:r>
              <w:rPr>
                <w:webHidden/>
              </w:rPr>
              <w:fldChar w:fldCharType="end"/>
            </w:r>
          </w:hyperlink>
        </w:p>
        <w:p w14:paraId="405CF542" w14:textId="68CFA336" w:rsidR="006273BD" w:rsidRDefault="006273BD">
          <w:pPr>
            <w:pStyle w:val="TOC3"/>
            <w:rPr>
              <w:rFonts w:asciiTheme="minorHAnsi" w:eastAsiaTheme="minorEastAsia" w:hAnsiTheme="minorHAnsi" w:cstheme="minorBidi"/>
              <w:i w:val="0"/>
              <w:sz w:val="22"/>
              <w:szCs w:val="22"/>
              <w:lang w:val="en-US"/>
            </w:rPr>
          </w:pPr>
          <w:hyperlink w:anchor="_Toc77260332" w:history="1">
            <w:r w:rsidRPr="00CF79B7">
              <w:rPr>
                <w:rStyle w:val="Hyperlink"/>
                <w:rFonts w:eastAsia="Calibri"/>
                <w:noProof/>
              </w:rPr>
              <w:t>7.1.4</w:t>
            </w:r>
            <w:r>
              <w:rPr>
                <w:rFonts w:asciiTheme="minorHAnsi" w:eastAsiaTheme="minorEastAsia" w:hAnsiTheme="minorHAnsi" w:cstheme="minorBidi"/>
                <w:i w:val="0"/>
                <w:sz w:val="22"/>
                <w:szCs w:val="22"/>
                <w:lang w:val="en-US"/>
              </w:rPr>
              <w:tab/>
            </w:r>
            <w:r w:rsidRPr="00CF79B7">
              <w:rPr>
                <w:rStyle w:val="Hyperlink"/>
                <w:rFonts w:eastAsia="Calibri"/>
                <w:noProof/>
              </w:rPr>
              <w:t>Long-Term (2031-2040)</w:t>
            </w:r>
            <w:r>
              <w:rPr>
                <w:webHidden/>
              </w:rPr>
              <w:tab/>
            </w:r>
            <w:r>
              <w:rPr>
                <w:webHidden/>
              </w:rPr>
              <w:fldChar w:fldCharType="begin"/>
            </w:r>
            <w:r>
              <w:rPr>
                <w:webHidden/>
              </w:rPr>
              <w:instrText xml:space="preserve"> PAGEREF _Toc77260332 \h </w:instrText>
            </w:r>
            <w:r>
              <w:rPr>
                <w:webHidden/>
              </w:rPr>
            </w:r>
            <w:r>
              <w:rPr>
                <w:webHidden/>
              </w:rPr>
              <w:fldChar w:fldCharType="separate"/>
            </w:r>
            <w:r>
              <w:rPr>
                <w:webHidden/>
              </w:rPr>
              <w:t>87</w:t>
            </w:r>
            <w:r>
              <w:rPr>
                <w:webHidden/>
              </w:rPr>
              <w:fldChar w:fldCharType="end"/>
            </w:r>
          </w:hyperlink>
        </w:p>
        <w:p w14:paraId="4939AEA1" w14:textId="6AB073FA" w:rsidR="006273BD" w:rsidRDefault="006273BD">
          <w:pPr>
            <w:pStyle w:val="TOC2"/>
            <w:rPr>
              <w:rFonts w:asciiTheme="minorHAnsi" w:eastAsiaTheme="minorEastAsia" w:hAnsiTheme="minorHAnsi" w:cstheme="minorBidi"/>
              <w:sz w:val="22"/>
              <w:szCs w:val="22"/>
              <w:lang w:val="en-US"/>
            </w:rPr>
          </w:pPr>
          <w:hyperlink w:anchor="_Toc77260333" w:history="1">
            <w:r w:rsidRPr="00CF79B7">
              <w:rPr>
                <w:rStyle w:val="Hyperlink"/>
                <w:rFonts w:eastAsia="Calibri"/>
                <w:noProof/>
              </w:rPr>
              <w:t>7.2</w:t>
            </w:r>
            <w:r>
              <w:rPr>
                <w:rFonts w:asciiTheme="minorHAnsi" w:eastAsiaTheme="minorEastAsia" w:hAnsiTheme="minorHAnsi" w:cstheme="minorBidi"/>
                <w:sz w:val="22"/>
                <w:szCs w:val="22"/>
                <w:lang w:val="en-US"/>
              </w:rPr>
              <w:tab/>
            </w:r>
            <w:r w:rsidRPr="00CF79B7">
              <w:rPr>
                <w:rStyle w:val="Hyperlink"/>
                <w:rFonts w:eastAsia="Calibri"/>
                <w:noProof/>
              </w:rPr>
              <w:t>Interconnection of Off-Grid Systems and Microgrids</w:t>
            </w:r>
            <w:r>
              <w:rPr>
                <w:webHidden/>
              </w:rPr>
              <w:tab/>
            </w:r>
            <w:r>
              <w:rPr>
                <w:webHidden/>
              </w:rPr>
              <w:fldChar w:fldCharType="begin"/>
            </w:r>
            <w:r>
              <w:rPr>
                <w:webHidden/>
              </w:rPr>
              <w:instrText xml:space="preserve"> PAGEREF _Toc77260333 \h </w:instrText>
            </w:r>
            <w:r>
              <w:rPr>
                <w:webHidden/>
              </w:rPr>
            </w:r>
            <w:r>
              <w:rPr>
                <w:webHidden/>
              </w:rPr>
              <w:fldChar w:fldCharType="separate"/>
            </w:r>
            <w:r>
              <w:rPr>
                <w:webHidden/>
              </w:rPr>
              <w:t>89</w:t>
            </w:r>
            <w:r>
              <w:rPr>
                <w:webHidden/>
              </w:rPr>
              <w:fldChar w:fldCharType="end"/>
            </w:r>
          </w:hyperlink>
        </w:p>
        <w:p w14:paraId="44ED4588" w14:textId="6E144767" w:rsidR="006273BD" w:rsidRDefault="006273BD">
          <w:pPr>
            <w:pStyle w:val="TOC1"/>
            <w:rPr>
              <w:rFonts w:asciiTheme="minorHAnsi" w:eastAsiaTheme="minorEastAsia" w:hAnsiTheme="minorHAnsi" w:cstheme="minorBidi"/>
              <w:b w:val="0"/>
              <w:smallCaps w:val="0"/>
              <w:color w:val="auto"/>
              <w:sz w:val="22"/>
              <w:szCs w:val="22"/>
              <w:lang w:val="en-US"/>
            </w:rPr>
          </w:pPr>
          <w:hyperlink w:anchor="_Toc77260334" w:history="1">
            <w:r w:rsidRPr="00CF79B7">
              <w:rPr>
                <w:rStyle w:val="Hyperlink"/>
                <w:rFonts w:eastAsia="Calibri"/>
                <w:noProof/>
              </w:rPr>
              <w:t>8</w:t>
            </w:r>
            <w:r>
              <w:rPr>
                <w:rFonts w:asciiTheme="minorHAnsi" w:eastAsiaTheme="minorEastAsia" w:hAnsiTheme="minorHAnsi" w:cstheme="minorBidi"/>
                <w:b w:val="0"/>
                <w:smallCaps w:val="0"/>
                <w:color w:val="auto"/>
                <w:sz w:val="22"/>
                <w:szCs w:val="22"/>
                <w:lang w:val="en-US"/>
              </w:rPr>
              <w:tab/>
            </w:r>
            <w:r w:rsidRPr="00CF79B7">
              <w:rPr>
                <w:rStyle w:val="Hyperlink"/>
                <w:rFonts w:eastAsia="Calibri"/>
                <w:noProof/>
              </w:rPr>
              <w:t>ANNEXES</w:t>
            </w:r>
            <w:r>
              <w:rPr>
                <w:webHidden/>
              </w:rPr>
              <w:tab/>
            </w:r>
            <w:r>
              <w:rPr>
                <w:webHidden/>
              </w:rPr>
              <w:fldChar w:fldCharType="begin"/>
            </w:r>
            <w:r>
              <w:rPr>
                <w:webHidden/>
              </w:rPr>
              <w:instrText xml:space="preserve"> PAGEREF _Toc77260334 \h </w:instrText>
            </w:r>
            <w:r>
              <w:rPr>
                <w:webHidden/>
              </w:rPr>
            </w:r>
            <w:r>
              <w:rPr>
                <w:webHidden/>
              </w:rPr>
              <w:fldChar w:fldCharType="separate"/>
            </w:r>
            <w:r>
              <w:rPr>
                <w:webHidden/>
              </w:rPr>
              <w:t>90</w:t>
            </w:r>
            <w:r>
              <w:rPr>
                <w:webHidden/>
              </w:rPr>
              <w:fldChar w:fldCharType="end"/>
            </w:r>
          </w:hyperlink>
        </w:p>
        <w:p w14:paraId="5D915396" w14:textId="2DCA5D4D" w:rsidR="006273BD" w:rsidRDefault="006273BD">
          <w:pPr>
            <w:pStyle w:val="TOC2"/>
            <w:rPr>
              <w:rFonts w:asciiTheme="minorHAnsi" w:eastAsiaTheme="minorEastAsia" w:hAnsiTheme="minorHAnsi" w:cstheme="minorBidi"/>
              <w:sz w:val="22"/>
              <w:szCs w:val="22"/>
              <w:lang w:val="en-US"/>
            </w:rPr>
          </w:pPr>
          <w:hyperlink w:anchor="_Toc77260335" w:history="1">
            <w:r w:rsidRPr="00CF79B7">
              <w:rPr>
                <w:rStyle w:val="Hyperlink"/>
                <w:rFonts w:eastAsia="Calibri"/>
                <w:noProof/>
              </w:rPr>
              <w:t>8.1</w:t>
            </w:r>
            <w:r>
              <w:rPr>
                <w:rFonts w:asciiTheme="minorHAnsi" w:eastAsiaTheme="minorEastAsia" w:hAnsiTheme="minorHAnsi" w:cstheme="minorBidi"/>
                <w:sz w:val="22"/>
                <w:szCs w:val="22"/>
                <w:lang w:val="en-US"/>
              </w:rPr>
              <w:tab/>
            </w:r>
            <w:r w:rsidRPr="00CF79B7">
              <w:rPr>
                <w:rStyle w:val="Hyperlink"/>
                <w:rFonts w:eastAsia="Calibri"/>
                <w:noProof/>
              </w:rPr>
              <w:t>Duties of the Coordination Centre and Sub-Committees of SAPP (of importance for technical and operational readiness)</w:t>
            </w:r>
            <w:r>
              <w:rPr>
                <w:webHidden/>
              </w:rPr>
              <w:tab/>
            </w:r>
            <w:r>
              <w:rPr>
                <w:webHidden/>
              </w:rPr>
              <w:fldChar w:fldCharType="begin"/>
            </w:r>
            <w:r>
              <w:rPr>
                <w:webHidden/>
              </w:rPr>
              <w:instrText xml:space="preserve"> PAGEREF _Toc77260335 \h </w:instrText>
            </w:r>
            <w:r>
              <w:rPr>
                <w:webHidden/>
              </w:rPr>
            </w:r>
            <w:r>
              <w:rPr>
                <w:webHidden/>
              </w:rPr>
              <w:fldChar w:fldCharType="separate"/>
            </w:r>
            <w:r>
              <w:rPr>
                <w:webHidden/>
              </w:rPr>
              <w:t>91</w:t>
            </w:r>
            <w:r>
              <w:rPr>
                <w:webHidden/>
              </w:rPr>
              <w:fldChar w:fldCharType="end"/>
            </w:r>
          </w:hyperlink>
        </w:p>
        <w:p w14:paraId="2B4091E3" w14:textId="61EEF939" w:rsidR="006273BD" w:rsidRDefault="006273BD">
          <w:pPr>
            <w:pStyle w:val="TOC2"/>
            <w:rPr>
              <w:rFonts w:asciiTheme="minorHAnsi" w:eastAsiaTheme="minorEastAsia" w:hAnsiTheme="minorHAnsi" w:cstheme="minorBidi"/>
              <w:sz w:val="22"/>
              <w:szCs w:val="22"/>
              <w:lang w:val="en-US"/>
            </w:rPr>
          </w:pPr>
          <w:hyperlink w:anchor="_Toc77260336" w:history="1">
            <w:r w:rsidRPr="00CF79B7">
              <w:rPr>
                <w:rStyle w:val="Hyperlink"/>
                <w:noProof/>
              </w:rPr>
              <w:t>8.2</w:t>
            </w:r>
            <w:r>
              <w:rPr>
                <w:rFonts w:asciiTheme="minorHAnsi" w:eastAsiaTheme="minorEastAsia" w:hAnsiTheme="minorHAnsi" w:cstheme="minorBidi"/>
                <w:sz w:val="22"/>
                <w:szCs w:val="22"/>
                <w:lang w:val="en-US"/>
              </w:rPr>
              <w:tab/>
            </w:r>
            <w:r w:rsidRPr="00CF79B7">
              <w:rPr>
                <w:rStyle w:val="Hyperlink"/>
                <w:noProof/>
              </w:rPr>
              <w:t>Legal and regulatory basis for electricity trading in Southern Africa under SAPP</w:t>
            </w:r>
            <w:r>
              <w:rPr>
                <w:webHidden/>
              </w:rPr>
              <w:tab/>
            </w:r>
            <w:r>
              <w:rPr>
                <w:webHidden/>
              </w:rPr>
              <w:fldChar w:fldCharType="begin"/>
            </w:r>
            <w:r>
              <w:rPr>
                <w:webHidden/>
              </w:rPr>
              <w:instrText xml:space="preserve"> PAGEREF _Toc77260336 \h </w:instrText>
            </w:r>
            <w:r>
              <w:rPr>
                <w:webHidden/>
              </w:rPr>
            </w:r>
            <w:r>
              <w:rPr>
                <w:webHidden/>
              </w:rPr>
              <w:fldChar w:fldCharType="separate"/>
            </w:r>
            <w:r>
              <w:rPr>
                <w:webHidden/>
              </w:rPr>
              <w:t>94</w:t>
            </w:r>
            <w:r>
              <w:rPr>
                <w:webHidden/>
              </w:rPr>
              <w:fldChar w:fldCharType="end"/>
            </w:r>
          </w:hyperlink>
        </w:p>
        <w:p w14:paraId="6729769F" w14:textId="340A9839" w:rsidR="006273BD" w:rsidRDefault="006273BD">
          <w:pPr>
            <w:pStyle w:val="TOC2"/>
            <w:rPr>
              <w:rFonts w:asciiTheme="minorHAnsi" w:eastAsiaTheme="minorEastAsia" w:hAnsiTheme="minorHAnsi" w:cstheme="minorBidi"/>
              <w:sz w:val="22"/>
              <w:szCs w:val="22"/>
              <w:lang w:val="en-US"/>
            </w:rPr>
          </w:pPr>
          <w:hyperlink w:anchor="_Toc77260337" w:history="1">
            <w:r w:rsidRPr="00CF79B7">
              <w:rPr>
                <w:rStyle w:val="Hyperlink"/>
                <w:noProof/>
              </w:rPr>
              <w:t>8.3</w:t>
            </w:r>
            <w:r>
              <w:rPr>
                <w:rFonts w:asciiTheme="minorHAnsi" w:eastAsiaTheme="minorEastAsia" w:hAnsiTheme="minorHAnsi" w:cstheme="minorBidi"/>
                <w:sz w:val="22"/>
                <w:szCs w:val="22"/>
                <w:lang w:val="en-US"/>
              </w:rPr>
              <w:tab/>
            </w:r>
            <w:r w:rsidRPr="00CF79B7">
              <w:rPr>
                <w:rStyle w:val="Hyperlink"/>
                <w:noProof/>
              </w:rPr>
              <w:t>Legal and regulatory basis for electricity trading in Western Africa under WAPP</w:t>
            </w:r>
            <w:r>
              <w:rPr>
                <w:webHidden/>
              </w:rPr>
              <w:tab/>
            </w:r>
            <w:r>
              <w:rPr>
                <w:webHidden/>
              </w:rPr>
              <w:fldChar w:fldCharType="begin"/>
            </w:r>
            <w:r>
              <w:rPr>
                <w:webHidden/>
              </w:rPr>
              <w:instrText xml:space="preserve"> PAGEREF _Toc77260337 \h </w:instrText>
            </w:r>
            <w:r>
              <w:rPr>
                <w:webHidden/>
              </w:rPr>
            </w:r>
            <w:r>
              <w:rPr>
                <w:webHidden/>
              </w:rPr>
              <w:fldChar w:fldCharType="separate"/>
            </w:r>
            <w:r>
              <w:rPr>
                <w:webHidden/>
              </w:rPr>
              <w:t>97</w:t>
            </w:r>
            <w:r>
              <w:rPr>
                <w:webHidden/>
              </w:rPr>
              <w:fldChar w:fldCharType="end"/>
            </w:r>
          </w:hyperlink>
        </w:p>
        <w:p w14:paraId="3CB8A4B4" w14:textId="144CDA32" w:rsidR="006273BD" w:rsidRDefault="006273BD">
          <w:pPr>
            <w:pStyle w:val="TOC2"/>
            <w:rPr>
              <w:rFonts w:asciiTheme="minorHAnsi" w:eastAsiaTheme="minorEastAsia" w:hAnsiTheme="minorHAnsi" w:cstheme="minorBidi"/>
              <w:sz w:val="22"/>
              <w:szCs w:val="22"/>
              <w:lang w:val="en-US"/>
            </w:rPr>
          </w:pPr>
          <w:hyperlink w:anchor="_Toc77260338" w:history="1">
            <w:r w:rsidRPr="00CF79B7">
              <w:rPr>
                <w:rStyle w:val="Hyperlink"/>
                <w:noProof/>
              </w:rPr>
              <w:t>8.4</w:t>
            </w:r>
            <w:r>
              <w:rPr>
                <w:rFonts w:asciiTheme="minorHAnsi" w:eastAsiaTheme="minorEastAsia" w:hAnsiTheme="minorHAnsi" w:cstheme="minorBidi"/>
                <w:sz w:val="22"/>
                <w:szCs w:val="22"/>
                <w:lang w:val="en-US"/>
              </w:rPr>
              <w:tab/>
            </w:r>
            <w:r w:rsidRPr="00CF79B7">
              <w:rPr>
                <w:rStyle w:val="Hyperlink"/>
                <w:noProof/>
              </w:rPr>
              <w:t>Legal and regulatory basis for electricity trading in Eastern Africa under EAPP</w:t>
            </w:r>
            <w:r>
              <w:rPr>
                <w:webHidden/>
              </w:rPr>
              <w:tab/>
            </w:r>
            <w:r>
              <w:rPr>
                <w:webHidden/>
              </w:rPr>
              <w:fldChar w:fldCharType="begin"/>
            </w:r>
            <w:r>
              <w:rPr>
                <w:webHidden/>
              </w:rPr>
              <w:instrText xml:space="preserve"> PAGEREF _Toc77260338 \h </w:instrText>
            </w:r>
            <w:r>
              <w:rPr>
                <w:webHidden/>
              </w:rPr>
            </w:r>
            <w:r>
              <w:rPr>
                <w:webHidden/>
              </w:rPr>
              <w:fldChar w:fldCharType="separate"/>
            </w:r>
            <w:r>
              <w:rPr>
                <w:webHidden/>
              </w:rPr>
              <w:t>101</w:t>
            </w:r>
            <w:r>
              <w:rPr>
                <w:webHidden/>
              </w:rPr>
              <w:fldChar w:fldCharType="end"/>
            </w:r>
          </w:hyperlink>
        </w:p>
        <w:p w14:paraId="1293594C" w14:textId="694F3DE3" w:rsidR="006273BD" w:rsidRDefault="006273BD">
          <w:pPr>
            <w:pStyle w:val="TOC2"/>
            <w:rPr>
              <w:rFonts w:asciiTheme="minorHAnsi" w:eastAsiaTheme="minorEastAsia" w:hAnsiTheme="minorHAnsi" w:cstheme="minorBidi"/>
              <w:sz w:val="22"/>
              <w:szCs w:val="22"/>
              <w:lang w:val="en-US"/>
            </w:rPr>
          </w:pPr>
          <w:hyperlink w:anchor="_Toc77260339" w:history="1">
            <w:r w:rsidRPr="00CF79B7">
              <w:rPr>
                <w:rStyle w:val="Hyperlink"/>
                <w:noProof/>
              </w:rPr>
              <w:t>8.5</w:t>
            </w:r>
            <w:r>
              <w:rPr>
                <w:rFonts w:asciiTheme="minorHAnsi" w:eastAsiaTheme="minorEastAsia" w:hAnsiTheme="minorHAnsi" w:cstheme="minorBidi"/>
                <w:sz w:val="22"/>
                <w:szCs w:val="22"/>
                <w:lang w:val="en-US"/>
              </w:rPr>
              <w:tab/>
            </w:r>
            <w:r w:rsidRPr="00CF79B7">
              <w:rPr>
                <w:rStyle w:val="Hyperlink"/>
                <w:noProof/>
              </w:rPr>
              <w:t>Legal and regulatory basis for electricity trading in Central Africa under CAPP</w:t>
            </w:r>
            <w:r>
              <w:rPr>
                <w:webHidden/>
              </w:rPr>
              <w:tab/>
            </w:r>
            <w:r>
              <w:rPr>
                <w:webHidden/>
              </w:rPr>
              <w:fldChar w:fldCharType="begin"/>
            </w:r>
            <w:r>
              <w:rPr>
                <w:webHidden/>
              </w:rPr>
              <w:instrText xml:space="preserve"> PAGEREF _Toc77260339 \h </w:instrText>
            </w:r>
            <w:r>
              <w:rPr>
                <w:webHidden/>
              </w:rPr>
            </w:r>
            <w:r>
              <w:rPr>
                <w:webHidden/>
              </w:rPr>
              <w:fldChar w:fldCharType="separate"/>
            </w:r>
            <w:r>
              <w:rPr>
                <w:webHidden/>
              </w:rPr>
              <w:t>105</w:t>
            </w:r>
            <w:r>
              <w:rPr>
                <w:webHidden/>
              </w:rPr>
              <w:fldChar w:fldCharType="end"/>
            </w:r>
          </w:hyperlink>
        </w:p>
        <w:p w14:paraId="39D56C29" w14:textId="6C0D31F7" w:rsidR="006273BD" w:rsidRDefault="006273BD">
          <w:pPr>
            <w:pStyle w:val="TOC2"/>
            <w:rPr>
              <w:rFonts w:asciiTheme="minorHAnsi" w:eastAsiaTheme="minorEastAsia" w:hAnsiTheme="minorHAnsi" w:cstheme="minorBidi"/>
              <w:sz w:val="22"/>
              <w:szCs w:val="22"/>
              <w:lang w:val="en-US"/>
            </w:rPr>
          </w:pPr>
          <w:hyperlink w:anchor="_Toc77260340" w:history="1">
            <w:r w:rsidRPr="00CF79B7">
              <w:rPr>
                <w:rStyle w:val="Hyperlink"/>
                <w:noProof/>
              </w:rPr>
              <w:t>8.6</w:t>
            </w:r>
            <w:r>
              <w:rPr>
                <w:rFonts w:asciiTheme="minorHAnsi" w:eastAsiaTheme="minorEastAsia" w:hAnsiTheme="minorHAnsi" w:cstheme="minorBidi"/>
                <w:sz w:val="22"/>
                <w:szCs w:val="22"/>
                <w:lang w:val="en-US"/>
              </w:rPr>
              <w:tab/>
            </w:r>
            <w:r w:rsidRPr="00CF79B7">
              <w:rPr>
                <w:rStyle w:val="Hyperlink"/>
                <w:noProof/>
              </w:rPr>
              <w:t>Main activities and sub-activities in the Action Plan for the Central Africa regional energy policy strategy under CAPP</w:t>
            </w:r>
            <w:r>
              <w:rPr>
                <w:webHidden/>
              </w:rPr>
              <w:tab/>
            </w:r>
            <w:r>
              <w:rPr>
                <w:webHidden/>
              </w:rPr>
              <w:fldChar w:fldCharType="begin"/>
            </w:r>
            <w:r>
              <w:rPr>
                <w:webHidden/>
              </w:rPr>
              <w:instrText xml:space="preserve"> PAGEREF _Toc77260340 \h </w:instrText>
            </w:r>
            <w:r>
              <w:rPr>
                <w:webHidden/>
              </w:rPr>
            </w:r>
            <w:r>
              <w:rPr>
                <w:webHidden/>
              </w:rPr>
              <w:fldChar w:fldCharType="separate"/>
            </w:r>
            <w:r>
              <w:rPr>
                <w:webHidden/>
              </w:rPr>
              <w:t>111</w:t>
            </w:r>
            <w:r>
              <w:rPr>
                <w:webHidden/>
              </w:rPr>
              <w:fldChar w:fldCharType="end"/>
            </w:r>
          </w:hyperlink>
        </w:p>
        <w:p w14:paraId="1CABC98A" w14:textId="4BA33989" w:rsidR="00E043AF" w:rsidRPr="00C632F6" w:rsidRDefault="00B8421F" w:rsidP="00801B12">
          <w:pPr>
            <w:tabs>
              <w:tab w:val="right" w:leader="dot" w:pos="9354"/>
            </w:tabs>
            <w:rPr>
              <w:rFonts w:cs="Arial"/>
              <w:szCs w:val="20"/>
            </w:rPr>
          </w:pPr>
          <w:r w:rsidRPr="00C632F6">
            <w:rPr>
              <w:rFonts w:cs="Arial"/>
              <w:szCs w:val="20"/>
            </w:rPr>
            <w:fldChar w:fldCharType="end"/>
          </w:r>
        </w:p>
      </w:sdtContent>
    </w:sdt>
    <w:p w14:paraId="4502EB8C" w14:textId="77777777" w:rsidR="004D634C" w:rsidRPr="00316837" w:rsidRDefault="004D634C" w:rsidP="00801B12">
      <w:pPr>
        <w:widowControl w:val="0"/>
        <w:pBdr>
          <w:bottom w:val="single" w:sz="4" w:space="1" w:color="999999"/>
        </w:pBdr>
        <w:tabs>
          <w:tab w:val="left" w:pos="5490"/>
        </w:tabs>
        <w:jc w:val="center"/>
        <w:rPr>
          <w:b/>
          <w:color w:val="000080"/>
          <w:sz w:val="24"/>
        </w:rPr>
        <w:sectPr w:rsidR="004D634C" w:rsidRPr="00316837" w:rsidSect="00A3058D">
          <w:pgSz w:w="11906" w:h="16838" w:code="9"/>
          <w:pgMar w:top="1560" w:right="1134" w:bottom="1276" w:left="1560" w:header="720" w:footer="567" w:gutter="0"/>
          <w:pgNumType w:fmt="lowerRoman"/>
          <w:cols w:sep="1" w:space="709"/>
        </w:sectPr>
      </w:pPr>
    </w:p>
    <w:p w14:paraId="3E987A53" w14:textId="423D4EC0" w:rsidR="0033113E" w:rsidRPr="00316837" w:rsidRDefault="0033113E" w:rsidP="00801B12">
      <w:pPr>
        <w:widowControl w:val="0"/>
        <w:pBdr>
          <w:bottom w:val="single" w:sz="4" w:space="1" w:color="999999"/>
        </w:pBdr>
        <w:tabs>
          <w:tab w:val="left" w:pos="5490"/>
        </w:tabs>
        <w:jc w:val="center"/>
        <w:rPr>
          <w:b/>
          <w:color w:val="000080"/>
          <w:sz w:val="24"/>
        </w:rPr>
      </w:pPr>
      <w:r w:rsidRPr="00C632F6">
        <w:rPr>
          <w:b/>
          <w:color w:val="000080"/>
          <w:sz w:val="24"/>
        </w:rPr>
        <w:lastRenderedPageBreak/>
        <w:t>Tables</w:t>
      </w:r>
      <w:r w:rsidR="00424C67" w:rsidRPr="00316837">
        <w:rPr>
          <w:b/>
          <w:color w:val="000080"/>
          <w:sz w:val="24"/>
        </w:rPr>
        <w:t xml:space="preserve"> </w:t>
      </w:r>
    </w:p>
    <w:p w14:paraId="30C2247B" w14:textId="67072E39" w:rsidR="006273BD" w:rsidRDefault="00B8421F">
      <w:pPr>
        <w:pStyle w:val="TableofFigures"/>
        <w:tabs>
          <w:tab w:val="right" w:pos="9202"/>
        </w:tabs>
        <w:rPr>
          <w:rFonts w:asciiTheme="minorHAnsi" w:eastAsiaTheme="minorEastAsia" w:hAnsiTheme="minorHAnsi" w:cstheme="minorBidi"/>
          <w:noProof/>
          <w:sz w:val="22"/>
          <w:szCs w:val="22"/>
          <w:lang w:val="en-US"/>
        </w:rPr>
      </w:pPr>
      <w:r w:rsidRPr="00C632F6">
        <w:rPr>
          <w:rFonts w:eastAsia="Calibri" w:cs="Arial"/>
          <w:color w:val="394A58"/>
          <w:szCs w:val="20"/>
        </w:rPr>
        <w:fldChar w:fldCharType="begin"/>
      </w:r>
      <w:r w:rsidRPr="00316837">
        <w:rPr>
          <w:rFonts w:eastAsia="Calibri" w:cs="Arial"/>
          <w:color w:val="394A58"/>
          <w:szCs w:val="20"/>
        </w:rPr>
        <w:instrText xml:space="preserve"> TOC \f T \h \z \c "Table" </w:instrText>
      </w:r>
      <w:r w:rsidRPr="00C632F6">
        <w:rPr>
          <w:rFonts w:eastAsia="Calibri" w:cs="Arial"/>
          <w:color w:val="394A58"/>
          <w:szCs w:val="20"/>
        </w:rPr>
        <w:fldChar w:fldCharType="separate"/>
      </w:r>
      <w:hyperlink w:anchor="_Toc77260233" w:history="1">
        <w:r w:rsidR="006273BD" w:rsidRPr="00202928">
          <w:rPr>
            <w:rStyle w:val="Hyperlink"/>
            <w:rFonts w:eastAsia="Calibri" w:cs="Arial"/>
            <w:bCs/>
            <w:noProof/>
          </w:rPr>
          <w:t>Table E</w:t>
        </w:r>
        <w:r w:rsidR="006273BD" w:rsidRPr="00202928">
          <w:rPr>
            <w:rStyle w:val="Hyperlink"/>
            <w:rFonts w:eastAsia="Calibri" w:cs="Arial"/>
            <w:bCs/>
            <w:noProof/>
          </w:rPr>
          <w:noBreakHyphen/>
          <w:t>1: The Guidelines and areas covered under the Technical and Operational Readiness</w:t>
        </w:r>
        <w:r w:rsidR="006273BD">
          <w:rPr>
            <w:noProof/>
            <w:webHidden/>
          </w:rPr>
          <w:tab/>
        </w:r>
        <w:r w:rsidR="006273BD">
          <w:rPr>
            <w:noProof/>
            <w:webHidden/>
          </w:rPr>
          <w:fldChar w:fldCharType="begin"/>
        </w:r>
        <w:r w:rsidR="006273BD">
          <w:rPr>
            <w:noProof/>
            <w:webHidden/>
          </w:rPr>
          <w:instrText xml:space="preserve"> PAGEREF _Toc77260233 \h </w:instrText>
        </w:r>
        <w:r w:rsidR="006273BD">
          <w:rPr>
            <w:noProof/>
            <w:webHidden/>
          </w:rPr>
        </w:r>
        <w:r w:rsidR="006273BD">
          <w:rPr>
            <w:noProof/>
            <w:webHidden/>
          </w:rPr>
          <w:fldChar w:fldCharType="separate"/>
        </w:r>
        <w:r w:rsidR="006273BD">
          <w:rPr>
            <w:noProof/>
            <w:webHidden/>
          </w:rPr>
          <w:t>xi</w:t>
        </w:r>
        <w:r w:rsidR="006273BD">
          <w:rPr>
            <w:noProof/>
            <w:webHidden/>
          </w:rPr>
          <w:fldChar w:fldCharType="end"/>
        </w:r>
      </w:hyperlink>
    </w:p>
    <w:p w14:paraId="22FE569B" w14:textId="5ED2533B"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34" w:history="1">
        <w:r w:rsidRPr="00202928">
          <w:rPr>
            <w:rStyle w:val="Hyperlink"/>
            <w:rFonts w:eastAsia="Calibri" w:cs="Arial"/>
            <w:bCs/>
            <w:noProof/>
          </w:rPr>
          <w:t>Table E</w:t>
        </w:r>
        <w:r w:rsidRPr="00202928">
          <w:rPr>
            <w:rStyle w:val="Hyperlink"/>
            <w:rFonts w:eastAsia="Calibri" w:cs="Arial"/>
            <w:bCs/>
            <w:noProof/>
          </w:rPr>
          <w:noBreakHyphen/>
          <w:t>2: The key activities covered under the Technical and Operational Readiness</w:t>
        </w:r>
        <w:r>
          <w:rPr>
            <w:noProof/>
            <w:webHidden/>
          </w:rPr>
          <w:tab/>
        </w:r>
        <w:r>
          <w:rPr>
            <w:noProof/>
            <w:webHidden/>
          </w:rPr>
          <w:fldChar w:fldCharType="begin"/>
        </w:r>
        <w:r>
          <w:rPr>
            <w:noProof/>
            <w:webHidden/>
          </w:rPr>
          <w:instrText xml:space="preserve"> PAGEREF _Toc77260234 \h </w:instrText>
        </w:r>
        <w:r>
          <w:rPr>
            <w:noProof/>
            <w:webHidden/>
          </w:rPr>
        </w:r>
        <w:r>
          <w:rPr>
            <w:noProof/>
            <w:webHidden/>
          </w:rPr>
          <w:fldChar w:fldCharType="separate"/>
        </w:r>
        <w:r>
          <w:rPr>
            <w:noProof/>
            <w:webHidden/>
          </w:rPr>
          <w:t>xii</w:t>
        </w:r>
        <w:r>
          <w:rPr>
            <w:noProof/>
            <w:webHidden/>
          </w:rPr>
          <w:fldChar w:fldCharType="end"/>
        </w:r>
      </w:hyperlink>
    </w:p>
    <w:p w14:paraId="124D3C92" w14:textId="0EAA8FF5"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35" w:history="1">
        <w:r w:rsidRPr="00202928">
          <w:rPr>
            <w:rStyle w:val="Hyperlink"/>
            <w:rFonts w:eastAsia="Calibri" w:cs="Arial"/>
            <w:bCs/>
            <w:noProof/>
          </w:rPr>
          <w:t>Table 1</w:t>
        </w:r>
        <w:r w:rsidRPr="00202928">
          <w:rPr>
            <w:rStyle w:val="Hyperlink"/>
            <w:rFonts w:eastAsia="Calibri" w:cs="Arial"/>
            <w:bCs/>
            <w:noProof/>
          </w:rPr>
          <w:noBreakHyphen/>
          <w:t>1: Implementation phases of the AUC-EU collaboration</w:t>
        </w:r>
        <w:r>
          <w:rPr>
            <w:noProof/>
            <w:webHidden/>
          </w:rPr>
          <w:tab/>
        </w:r>
        <w:r>
          <w:rPr>
            <w:noProof/>
            <w:webHidden/>
          </w:rPr>
          <w:fldChar w:fldCharType="begin"/>
        </w:r>
        <w:r>
          <w:rPr>
            <w:noProof/>
            <w:webHidden/>
          </w:rPr>
          <w:instrText xml:space="preserve"> PAGEREF _Toc77260235 \h </w:instrText>
        </w:r>
        <w:r>
          <w:rPr>
            <w:noProof/>
            <w:webHidden/>
          </w:rPr>
        </w:r>
        <w:r>
          <w:rPr>
            <w:noProof/>
            <w:webHidden/>
          </w:rPr>
          <w:fldChar w:fldCharType="separate"/>
        </w:r>
        <w:r>
          <w:rPr>
            <w:noProof/>
            <w:webHidden/>
          </w:rPr>
          <w:t>1</w:t>
        </w:r>
        <w:r>
          <w:rPr>
            <w:noProof/>
            <w:webHidden/>
          </w:rPr>
          <w:fldChar w:fldCharType="end"/>
        </w:r>
      </w:hyperlink>
    </w:p>
    <w:p w14:paraId="381972B9" w14:textId="2E1CC43B"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36" w:history="1">
        <w:r w:rsidRPr="00202928">
          <w:rPr>
            <w:rStyle w:val="Hyperlink"/>
            <w:rFonts w:eastAsia="Calibri" w:cs="Arial"/>
            <w:bCs/>
            <w:noProof/>
          </w:rPr>
          <w:t>Table 1</w:t>
        </w:r>
        <w:r w:rsidRPr="00202928">
          <w:rPr>
            <w:rStyle w:val="Hyperlink"/>
            <w:rFonts w:eastAsia="Calibri" w:cs="Arial"/>
            <w:bCs/>
            <w:noProof/>
          </w:rPr>
          <w:noBreakHyphen/>
          <w:t>2: Situations for applying the Guidelines</w:t>
        </w:r>
        <w:r>
          <w:rPr>
            <w:noProof/>
            <w:webHidden/>
          </w:rPr>
          <w:tab/>
        </w:r>
        <w:r>
          <w:rPr>
            <w:noProof/>
            <w:webHidden/>
          </w:rPr>
          <w:fldChar w:fldCharType="begin"/>
        </w:r>
        <w:r>
          <w:rPr>
            <w:noProof/>
            <w:webHidden/>
          </w:rPr>
          <w:instrText xml:space="preserve"> PAGEREF _Toc77260236 \h </w:instrText>
        </w:r>
        <w:r>
          <w:rPr>
            <w:noProof/>
            <w:webHidden/>
          </w:rPr>
        </w:r>
        <w:r>
          <w:rPr>
            <w:noProof/>
            <w:webHidden/>
          </w:rPr>
          <w:fldChar w:fldCharType="separate"/>
        </w:r>
        <w:r>
          <w:rPr>
            <w:noProof/>
            <w:webHidden/>
          </w:rPr>
          <w:t>3</w:t>
        </w:r>
        <w:r>
          <w:rPr>
            <w:noProof/>
            <w:webHidden/>
          </w:rPr>
          <w:fldChar w:fldCharType="end"/>
        </w:r>
      </w:hyperlink>
    </w:p>
    <w:p w14:paraId="4352FA33" w14:textId="2A333374"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37" w:history="1">
        <w:r w:rsidRPr="00202928">
          <w:rPr>
            <w:rStyle w:val="Hyperlink"/>
            <w:rFonts w:eastAsia="Calibri" w:cs="Arial"/>
            <w:bCs/>
            <w:noProof/>
          </w:rPr>
          <w:t>Table 2</w:t>
        </w:r>
        <w:r w:rsidRPr="00202928">
          <w:rPr>
            <w:rStyle w:val="Hyperlink"/>
            <w:rFonts w:eastAsia="Calibri" w:cs="Arial"/>
            <w:bCs/>
            <w:noProof/>
          </w:rPr>
          <w:noBreakHyphen/>
          <w:t>1: Key elements of the Guidelines</w:t>
        </w:r>
        <w:r>
          <w:rPr>
            <w:noProof/>
            <w:webHidden/>
          </w:rPr>
          <w:tab/>
        </w:r>
        <w:r>
          <w:rPr>
            <w:noProof/>
            <w:webHidden/>
          </w:rPr>
          <w:fldChar w:fldCharType="begin"/>
        </w:r>
        <w:r>
          <w:rPr>
            <w:noProof/>
            <w:webHidden/>
          </w:rPr>
          <w:instrText xml:space="preserve"> PAGEREF _Toc77260237 \h </w:instrText>
        </w:r>
        <w:r>
          <w:rPr>
            <w:noProof/>
            <w:webHidden/>
          </w:rPr>
        </w:r>
        <w:r>
          <w:rPr>
            <w:noProof/>
            <w:webHidden/>
          </w:rPr>
          <w:fldChar w:fldCharType="separate"/>
        </w:r>
        <w:r>
          <w:rPr>
            <w:noProof/>
            <w:webHidden/>
          </w:rPr>
          <w:t>4</w:t>
        </w:r>
        <w:r>
          <w:rPr>
            <w:noProof/>
            <w:webHidden/>
          </w:rPr>
          <w:fldChar w:fldCharType="end"/>
        </w:r>
      </w:hyperlink>
    </w:p>
    <w:p w14:paraId="61554BF2" w14:textId="2FB8F7AA"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38" w:history="1">
        <w:r w:rsidRPr="00202928">
          <w:rPr>
            <w:rStyle w:val="Hyperlink"/>
            <w:rFonts w:cs="Arial"/>
            <w:bCs/>
            <w:noProof/>
          </w:rPr>
          <w:t>Table 3</w:t>
        </w:r>
        <w:r w:rsidRPr="00202928">
          <w:rPr>
            <w:rStyle w:val="Hyperlink"/>
            <w:rFonts w:cs="Arial"/>
            <w:bCs/>
            <w:noProof/>
          </w:rPr>
          <w:noBreakHyphen/>
          <w:t>1: SAPP’s governing structures</w:t>
        </w:r>
        <w:r>
          <w:rPr>
            <w:noProof/>
            <w:webHidden/>
          </w:rPr>
          <w:tab/>
        </w:r>
        <w:r>
          <w:rPr>
            <w:noProof/>
            <w:webHidden/>
          </w:rPr>
          <w:fldChar w:fldCharType="begin"/>
        </w:r>
        <w:r>
          <w:rPr>
            <w:noProof/>
            <w:webHidden/>
          </w:rPr>
          <w:instrText xml:space="preserve"> PAGEREF _Toc77260238 \h </w:instrText>
        </w:r>
        <w:r>
          <w:rPr>
            <w:noProof/>
            <w:webHidden/>
          </w:rPr>
        </w:r>
        <w:r>
          <w:rPr>
            <w:noProof/>
            <w:webHidden/>
          </w:rPr>
          <w:fldChar w:fldCharType="separate"/>
        </w:r>
        <w:r>
          <w:rPr>
            <w:noProof/>
            <w:webHidden/>
          </w:rPr>
          <w:t>7</w:t>
        </w:r>
        <w:r>
          <w:rPr>
            <w:noProof/>
            <w:webHidden/>
          </w:rPr>
          <w:fldChar w:fldCharType="end"/>
        </w:r>
      </w:hyperlink>
    </w:p>
    <w:p w14:paraId="204F5F74" w14:textId="327C3CC9"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39" w:history="1">
        <w:r w:rsidRPr="00202928">
          <w:rPr>
            <w:rStyle w:val="Hyperlink"/>
            <w:rFonts w:cs="Arial"/>
            <w:bCs/>
            <w:noProof/>
          </w:rPr>
          <w:t>Table 3</w:t>
        </w:r>
        <w:r w:rsidRPr="00202928">
          <w:rPr>
            <w:rStyle w:val="Hyperlink"/>
            <w:rFonts w:cs="Arial"/>
            <w:bCs/>
            <w:noProof/>
          </w:rPr>
          <w:noBreakHyphen/>
          <w:t>2: The regional electricity market in the SADC Region under SAPP</w:t>
        </w:r>
        <w:r>
          <w:rPr>
            <w:noProof/>
            <w:webHidden/>
          </w:rPr>
          <w:tab/>
        </w:r>
        <w:r>
          <w:rPr>
            <w:noProof/>
            <w:webHidden/>
          </w:rPr>
          <w:fldChar w:fldCharType="begin"/>
        </w:r>
        <w:r>
          <w:rPr>
            <w:noProof/>
            <w:webHidden/>
          </w:rPr>
          <w:instrText xml:space="preserve"> PAGEREF _Toc77260239 \h </w:instrText>
        </w:r>
        <w:r>
          <w:rPr>
            <w:noProof/>
            <w:webHidden/>
          </w:rPr>
        </w:r>
        <w:r>
          <w:rPr>
            <w:noProof/>
            <w:webHidden/>
          </w:rPr>
          <w:fldChar w:fldCharType="separate"/>
        </w:r>
        <w:r>
          <w:rPr>
            <w:noProof/>
            <w:webHidden/>
          </w:rPr>
          <w:t>11</w:t>
        </w:r>
        <w:r>
          <w:rPr>
            <w:noProof/>
            <w:webHidden/>
          </w:rPr>
          <w:fldChar w:fldCharType="end"/>
        </w:r>
      </w:hyperlink>
    </w:p>
    <w:p w14:paraId="200DA522" w14:textId="5239B734"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40" w:history="1">
        <w:r w:rsidRPr="00202928">
          <w:rPr>
            <w:rStyle w:val="Hyperlink"/>
            <w:rFonts w:cs="Arial"/>
            <w:bCs/>
            <w:noProof/>
          </w:rPr>
          <w:t>Table 3</w:t>
        </w:r>
        <w:r w:rsidRPr="00202928">
          <w:rPr>
            <w:rStyle w:val="Hyperlink"/>
            <w:rFonts w:cs="Arial"/>
            <w:bCs/>
            <w:noProof/>
          </w:rPr>
          <w:noBreakHyphen/>
          <w:t>3: Governing documents and the structure for implementation of the regional electricity market under SAPP</w:t>
        </w:r>
        <w:r>
          <w:rPr>
            <w:noProof/>
            <w:webHidden/>
          </w:rPr>
          <w:tab/>
        </w:r>
        <w:r>
          <w:rPr>
            <w:noProof/>
            <w:webHidden/>
          </w:rPr>
          <w:fldChar w:fldCharType="begin"/>
        </w:r>
        <w:r>
          <w:rPr>
            <w:noProof/>
            <w:webHidden/>
          </w:rPr>
          <w:instrText xml:space="preserve"> PAGEREF _Toc77260240 \h </w:instrText>
        </w:r>
        <w:r>
          <w:rPr>
            <w:noProof/>
            <w:webHidden/>
          </w:rPr>
        </w:r>
        <w:r>
          <w:rPr>
            <w:noProof/>
            <w:webHidden/>
          </w:rPr>
          <w:fldChar w:fldCharType="separate"/>
        </w:r>
        <w:r>
          <w:rPr>
            <w:noProof/>
            <w:webHidden/>
          </w:rPr>
          <w:t>14</w:t>
        </w:r>
        <w:r>
          <w:rPr>
            <w:noProof/>
            <w:webHidden/>
          </w:rPr>
          <w:fldChar w:fldCharType="end"/>
        </w:r>
      </w:hyperlink>
    </w:p>
    <w:p w14:paraId="4684C179" w14:textId="2110C520"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41" w:history="1">
        <w:r w:rsidRPr="00202928">
          <w:rPr>
            <w:rStyle w:val="Hyperlink"/>
            <w:rFonts w:cs="Arial"/>
            <w:bCs/>
            <w:noProof/>
          </w:rPr>
          <w:t>Table 3</w:t>
        </w:r>
        <w:r w:rsidRPr="00202928">
          <w:rPr>
            <w:rStyle w:val="Hyperlink"/>
            <w:rFonts w:cs="Arial"/>
            <w:bCs/>
            <w:noProof/>
          </w:rPr>
          <w:noBreakHyphen/>
          <w:t>4: WAPP’s governing structures</w:t>
        </w:r>
        <w:r>
          <w:rPr>
            <w:noProof/>
            <w:webHidden/>
          </w:rPr>
          <w:tab/>
        </w:r>
        <w:r>
          <w:rPr>
            <w:noProof/>
            <w:webHidden/>
          </w:rPr>
          <w:fldChar w:fldCharType="begin"/>
        </w:r>
        <w:r>
          <w:rPr>
            <w:noProof/>
            <w:webHidden/>
          </w:rPr>
          <w:instrText xml:space="preserve"> PAGEREF _Toc77260241 \h </w:instrText>
        </w:r>
        <w:r>
          <w:rPr>
            <w:noProof/>
            <w:webHidden/>
          </w:rPr>
        </w:r>
        <w:r>
          <w:rPr>
            <w:noProof/>
            <w:webHidden/>
          </w:rPr>
          <w:fldChar w:fldCharType="separate"/>
        </w:r>
        <w:r>
          <w:rPr>
            <w:noProof/>
            <w:webHidden/>
          </w:rPr>
          <w:t>14</w:t>
        </w:r>
        <w:r>
          <w:rPr>
            <w:noProof/>
            <w:webHidden/>
          </w:rPr>
          <w:fldChar w:fldCharType="end"/>
        </w:r>
      </w:hyperlink>
    </w:p>
    <w:p w14:paraId="6DFF1AAB" w14:textId="7522E5EF"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42" w:history="1">
        <w:r w:rsidRPr="00202928">
          <w:rPr>
            <w:rStyle w:val="Hyperlink"/>
            <w:rFonts w:cs="Arial"/>
            <w:bCs/>
            <w:noProof/>
          </w:rPr>
          <w:t>Table 3</w:t>
        </w:r>
        <w:r w:rsidRPr="00202928">
          <w:rPr>
            <w:rStyle w:val="Hyperlink"/>
            <w:rFonts w:cs="Arial"/>
            <w:bCs/>
            <w:noProof/>
          </w:rPr>
          <w:noBreakHyphen/>
          <w:t>5: WAPP’s three main synchronous zones</w:t>
        </w:r>
        <w:r>
          <w:rPr>
            <w:noProof/>
            <w:webHidden/>
          </w:rPr>
          <w:tab/>
        </w:r>
        <w:r>
          <w:rPr>
            <w:noProof/>
            <w:webHidden/>
          </w:rPr>
          <w:fldChar w:fldCharType="begin"/>
        </w:r>
        <w:r>
          <w:rPr>
            <w:noProof/>
            <w:webHidden/>
          </w:rPr>
          <w:instrText xml:space="preserve"> PAGEREF _Toc77260242 \h </w:instrText>
        </w:r>
        <w:r>
          <w:rPr>
            <w:noProof/>
            <w:webHidden/>
          </w:rPr>
        </w:r>
        <w:r>
          <w:rPr>
            <w:noProof/>
            <w:webHidden/>
          </w:rPr>
          <w:fldChar w:fldCharType="separate"/>
        </w:r>
        <w:r>
          <w:rPr>
            <w:noProof/>
            <w:webHidden/>
          </w:rPr>
          <w:t>15</w:t>
        </w:r>
        <w:r>
          <w:rPr>
            <w:noProof/>
            <w:webHidden/>
          </w:rPr>
          <w:fldChar w:fldCharType="end"/>
        </w:r>
      </w:hyperlink>
    </w:p>
    <w:p w14:paraId="6EAEF88C" w14:textId="7C3B1E9A"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43" w:history="1">
        <w:r w:rsidRPr="00202928">
          <w:rPr>
            <w:rStyle w:val="Hyperlink"/>
            <w:rFonts w:cs="Arial"/>
            <w:bCs/>
            <w:noProof/>
          </w:rPr>
          <w:t>Table 3</w:t>
        </w:r>
        <w:r w:rsidRPr="00202928">
          <w:rPr>
            <w:rStyle w:val="Hyperlink"/>
            <w:rFonts w:cs="Arial"/>
            <w:bCs/>
            <w:noProof/>
          </w:rPr>
          <w:noBreakHyphen/>
          <w:t>6: The ECOWAS Regional Electricity Market Roadmap</w:t>
        </w:r>
        <w:r>
          <w:rPr>
            <w:noProof/>
            <w:webHidden/>
          </w:rPr>
          <w:tab/>
        </w:r>
        <w:r>
          <w:rPr>
            <w:noProof/>
            <w:webHidden/>
          </w:rPr>
          <w:fldChar w:fldCharType="begin"/>
        </w:r>
        <w:r>
          <w:rPr>
            <w:noProof/>
            <w:webHidden/>
          </w:rPr>
          <w:instrText xml:space="preserve"> PAGEREF _Toc77260243 \h </w:instrText>
        </w:r>
        <w:r>
          <w:rPr>
            <w:noProof/>
            <w:webHidden/>
          </w:rPr>
        </w:r>
        <w:r>
          <w:rPr>
            <w:noProof/>
            <w:webHidden/>
          </w:rPr>
          <w:fldChar w:fldCharType="separate"/>
        </w:r>
        <w:r>
          <w:rPr>
            <w:noProof/>
            <w:webHidden/>
          </w:rPr>
          <w:t>19</w:t>
        </w:r>
        <w:r>
          <w:rPr>
            <w:noProof/>
            <w:webHidden/>
          </w:rPr>
          <w:fldChar w:fldCharType="end"/>
        </w:r>
      </w:hyperlink>
    </w:p>
    <w:p w14:paraId="4981F863" w14:textId="636A86AC"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44" w:history="1">
        <w:r w:rsidRPr="00202928">
          <w:rPr>
            <w:rStyle w:val="Hyperlink"/>
            <w:rFonts w:cs="Arial"/>
            <w:bCs/>
            <w:noProof/>
          </w:rPr>
          <w:t>Table 3</w:t>
        </w:r>
        <w:r w:rsidRPr="00202928">
          <w:rPr>
            <w:rStyle w:val="Hyperlink"/>
            <w:rFonts w:cs="Arial"/>
            <w:bCs/>
            <w:noProof/>
          </w:rPr>
          <w:noBreakHyphen/>
          <w:t>7: Current situation (May 2021, toward the end of Phase 1) and conditions precedent for Phase 2</w:t>
        </w:r>
        <w:r>
          <w:rPr>
            <w:noProof/>
            <w:webHidden/>
          </w:rPr>
          <w:tab/>
        </w:r>
        <w:r>
          <w:rPr>
            <w:noProof/>
            <w:webHidden/>
          </w:rPr>
          <w:fldChar w:fldCharType="begin"/>
        </w:r>
        <w:r>
          <w:rPr>
            <w:noProof/>
            <w:webHidden/>
          </w:rPr>
          <w:instrText xml:space="preserve"> PAGEREF _Toc77260244 \h </w:instrText>
        </w:r>
        <w:r>
          <w:rPr>
            <w:noProof/>
            <w:webHidden/>
          </w:rPr>
        </w:r>
        <w:r>
          <w:rPr>
            <w:noProof/>
            <w:webHidden/>
          </w:rPr>
          <w:fldChar w:fldCharType="separate"/>
        </w:r>
        <w:r>
          <w:rPr>
            <w:noProof/>
            <w:webHidden/>
          </w:rPr>
          <w:t>20</w:t>
        </w:r>
        <w:r>
          <w:rPr>
            <w:noProof/>
            <w:webHidden/>
          </w:rPr>
          <w:fldChar w:fldCharType="end"/>
        </w:r>
      </w:hyperlink>
    </w:p>
    <w:p w14:paraId="1A22CC9A" w14:textId="11421761"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45" w:history="1">
        <w:r w:rsidRPr="00202928">
          <w:rPr>
            <w:rStyle w:val="Hyperlink"/>
            <w:rFonts w:cs="Arial"/>
            <w:bCs/>
            <w:noProof/>
          </w:rPr>
          <w:t>Table 3</w:t>
        </w:r>
        <w:r w:rsidRPr="00202928">
          <w:rPr>
            <w:rStyle w:val="Hyperlink"/>
            <w:rFonts w:cs="Arial"/>
            <w:bCs/>
            <w:noProof/>
          </w:rPr>
          <w:noBreakHyphen/>
          <w:t>8: EAPP’s governing structures</w:t>
        </w:r>
        <w:r>
          <w:rPr>
            <w:noProof/>
            <w:webHidden/>
          </w:rPr>
          <w:tab/>
        </w:r>
        <w:r>
          <w:rPr>
            <w:noProof/>
            <w:webHidden/>
          </w:rPr>
          <w:fldChar w:fldCharType="begin"/>
        </w:r>
        <w:r>
          <w:rPr>
            <w:noProof/>
            <w:webHidden/>
          </w:rPr>
          <w:instrText xml:space="preserve"> PAGEREF _Toc77260245 \h </w:instrText>
        </w:r>
        <w:r>
          <w:rPr>
            <w:noProof/>
            <w:webHidden/>
          </w:rPr>
        </w:r>
        <w:r>
          <w:rPr>
            <w:noProof/>
            <w:webHidden/>
          </w:rPr>
          <w:fldChar w:fldCharType="separate"/>
        </w:r>
        <w:r>
          <w:rPr>
            <w:noProof/>
            <w:webHidden/>
          </w:rPr>
          <w:t>22</w:t>
        </w:r>
        <w:r>
          <w:rPr>
            <w:noProof/>
            <w:webHidden/>
          </w:rPr>
          <w:fldChar w:fldCharType="end"/>
        </w:r>
      </w:hyperlink>
    </w:p>
    <w:p w14:paraId="440FF33B" w14:textId="56EFAFB6"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46" w:history="1">
        <w:r w:rsidRPr="00202928">
          <w:rPr>
            <w:rStyle w:val="Hyperlink"/>
            <w:rFonts w:cs="Arial"/>
            <w:bCs/>
            <w:noProof/>
          </w:rPr>
          <w:t>Table 3</w:t>
        </w:r>
        <w:r w:rsidRPr="00202928">
          <w:rPr>
            <w:rStyle w:val="Hyperlink"/>
            <w:rFonts w:cs="Arial"/>
            <w:bCs/>
            <w:noProof/>
          </w:rPr>
          <w:noBreakHyphen/>
          <w:t>9: CAPP’s governing structures</w:t>
        </w:r>
        <w:r>
          <w:rPr>
            <w:noProof/>
            <w:webHidden/>
          </w:rPr>
          <w:tab/>
        </w:r>
        <w:r>
          <w:rPr>
            <w:noProof/>
            <w:webHidden/>
          </w:rPr>
          <w:fldChar w:fldCharType="begin"/>
        </w:r>
        <w:r>
          <w:rPr>
            <w:noProof/>
            <w:webHidden/>
          </w:rPr>
          <w:instrText xml:space="preserve"> PAGEREF _Toc77260246 \h </w:instrText>
        </w:r>
        <w:r>
          <w:rPr>
            <w:noProof/>
            <w:webHidden/>
          </w:rPr>
        </w:r>
        <w:r>
          <w:rPr>
            <w:noProof/>
            <w:webHidden/>
          </w:rPr>
          <w:fldChar w:fldCharType="separate"/>
        </w:r>
        <w:r>
          <w:rPr>
            <w:noProof/>
            <w:webHidden/>
          </w:rPr>
          <w:t>28</w:t>
        </w:r>
        <w:r>
          <w:rPr>
            <w:noProof/>
            <w:webHidden/>
          </w:rPr>
          <w:fldChar w:fldCharType="end"/>
        </w:r>
      </w:hyperlink>
    </w:p>
    <w:p w14:paraId="32F2FC9F" w14:textId="71325233"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47" w:history="1">
        <w:r w:rsidRPr="00202928">
          <w:rPr>
            <w:rStyle w:val="Hyperlink"/>
            <w:rFonts w:cs="Arial"/>
            <w:bCs/>
            <w:noProof/>
          </w:rPr>
          <w:t>Table 3</w:t>
        </w:r>
        <w:r w:rsidRPr="00202928">
          <w:rPr>
            <w:rStyle w:val="Hyperlink"/>
            <w:rFonts w:cs="Arial"/>
            <w:bCs/>
            <w:noProof/>
          </w:rPr>
          <w:noBreakHyphen/>
          <w:t>10: CAPP’s main objectives and actions undertaken</w:t>
        </w:r>
        <w:r>
          <w:rPr>
            <w:noProof/>
            <w:webHidden/>
          </w:rPr>
          <w:tab/>
        </w:r>
        <w:r>
          <w:rPr>
            <w:noProof/>
            <w:webHidden/>
          </w:rPr>
          <w:fldChar w:fldCharType="begin"/>
        </w:r>
        <w:r>
          <w:rPr>
            <w:noProof/>
            <w:webHidden/>
          </w:rPr>
          <w:instrText xml:space="preserve"> PAGEREF _Toc77260247 \h </w:instrText>
        </w:r>
        <w:r>
          <w:rPr>
            <w:noProof/>
            <w:webHidden/>
          </w:rPr>
        </w:r>
        <w:r>
          <w:rPr>
            <w:noProof/>
            <w:webHidden/>
          </w:rPr>
          <w:fldChar w:fldCharType="separate"/>
        </w:r>
        <w:r>
          <w:rPr>
            <w:noProof/>
            <w:webHidden/>
          </w:rPr>
          <w:t>29</w:t>
        </w:r>
        <w:r>
          <w:rPr>
            <w:noProof/>
            <w:webHidden/>
          </w:rPr>
          <w:fldChar w:fldCharType="end"/>
        </w:r>
      </w:hyperlink>
    </w:p>
    <w:p w14:paraId="2ED21F9A" w14:textId="69CF0213"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48" w:history="1">
        <w:r w:rsidRPr="00202928">
          <w:rPr>
            <w:rStyle w:val="Hyperlink"/>
            <w:rFonts w:cs="Arial"/>
            <w:bCs/>
            <w:noProof/>
          </w:rPr>
          <w:t>Table 3</w:t>
        </w:r>
        <w:r w:rsidRPr="00202928">
          <w:rPr>
            <w:rStyle w:val="Hyperlink"/>
            <w:rFonts w:cs="Arial"/>
            <w:bCs/>
            <w:noProof/>
          </w:rPr>
          <w:noBreakHyphen/>
          <w:t>11: Setting up of the regional electricity market in the Central Africa Region under CAPP</w:t>
        </w:r>
        <w:r>
          <w:rPr>
            <w:noProof/>
            <w:webHidden/>
          </w:rPr>
          <w:tab/>
        </w:r>
        <w:r>
          <w:rPr>
            <w:noProof/>
            <w:webHidden/>
          </w:rPr>
          <w:fldChar w:fldCharType="begin"/>
        </w:r>
        <w:r>
          <w:rPr>
            <w:noProof/>
            <w:webHidden/>
          </w:rPr>
          <w:instrText xml:space="preserve"> PAGEREF _Toc77260248 \h </w:instrText>
        </w:r>
        <w:r>
          <w:rPr>
            <w:noProof/>
            <w:webHidden/>
          </w:rPr>
        </w:r>
        <w:r>
          <w:rPr>
            <w:noProof/>
            <w:webHidden/>
          </w:rPr>
          <w:fldChar w:fldCharType="separate"/>
        </w:r>
        <w:r>
          <w:rPr>
            <w:noProof/>
            <w:webHidden/>
          </w:rPr>
          <w:t>32</w:t>
        </w:r>
        <w:r>
          <w:rPr>
            <w:noProof/>
            <w:webHidden/>
          </w:rPr>
          <w:fldChar w:fldCharType="end"/>
        </w:r>
      </w:hyperlink>
    </w:p>
    <w:p w14:paraId="4E13277E" w14:textId="556C67E7"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49" w:history="1">
        <w:r w:rsidRPr="00202928">
          <w:rPr>
            <w:rStyle w:val="Hyperlink"/>
            <w:rFonts w:cs="Arial"/>
            <w:bCs/>
            <w:noProof/>
          </w:rPr>
          <w:t>Table 3</w:t>
        </w:r>
        <w:r w:rsidRPr="00202928">
          <w:rPr>
            <w:rStyle w:val="Hyperlink"/>
            <w:rFonts w:cs="Arial"/>
            <w:bCs/>
            <w:noProof/>
          </w:rPr>
          <w:noBreakHyphen/>
          <w:t>12: COMELEC’s governing structures</w:t>
        </w:r>
        <w:r>
          <w:rPr>
            <w:noProof/>
            <w:webHidden/>
          </w:rPr>
          <w:tab/>
        </w:r>
        <w:r>
          <w:rPr>
            <w:noProof/>
            <w:webHidden/>
          </w:rPr>
          <w:fldChar w:fldCharType="begin"/>
        </w:r>
        <w:r>
          <w:rPr>
            <w:noProof/>
            <w:webHidden/>
          </w:rPr>
          <w:instrText xml:space="preserve"> PAGEREF _Toc77260249 \h </w:instrText>
        </w:r>
        <w:r>
          <w:rPr>
            <w:noProof/>
            <w:webHidden/>
          </w:rPr>
        </w:r>
        <w:r>
          <w:rPr>
            <w:noProof/>
            <w:webHidden/>
          </w:rPr>
          <w:fldChar w:fldCharType="separate"/>
        </w:r>
        <w:r>
          <w:rPr>
            <w:noProof/>
            <w:webHidden/>
          </w:rPr>
          <w:t>35</w:t>
        </w:r>
        <w:r>
          <w:rPr>
            <w:noProof/>
            <w:webHidden/>
          </w:rPr>
          <w:fldChar w:fldCharType="end"/>
        </w:r>
      </w:hyperlink>
    </w:p>
    <w:p w14:paraId="4FDEF0BA" w14:textId="20E2A5B7"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50" w:history="1">
        <w:r w:rsidRPr="00202928">
          <w:rPr>
            <w:rStyle w:val="Hyperlink"/>
            <w:rFonts w:cs="Arial"/>
            <w:bCs/>
            <w:noProof/>
          </w:rPr>
          <w:t>Table 3</w:t>
        </w:r>
        <w:r w:rsidRPr="00202928">
          <w:rPr>
            <w:rStyle w:val="Hyperlink"/>
            <w:rFonts w:cs="Arial"/>
            <w:bCs/>
            <w:noProof/>
          </w:rPr>
          <w:noBreakHyphen/>
          <w:t>13: COMELEC’s main objectives</w:t>
        </w:r>
        <w:r>
          <w:rPr>
            <w:noProof/>
            <w:webHidden/>
          </w:rPr>
          <w:tab/>
        </w:r>
        <w:r>
          <w:rPr>
            <w:noProof/>
            <w:webHidden/>
          </w:rPr>
          <w:fldChar w:fldCharType="begin"/>
        </w:r>
        <w:r>
          <w:rPr>
            <w:noProof/>
            <w:webHidden/>
          </w:rPr>
          <w:instrText xml:space="preserve"> PAGEREF _Toc77260250 \h </w:instrText>
        </w:r>
        <w:r>
          <w:rPr>
            <w:noProof/>
            <w:webHidden/>
          </w:rPr>
        </w:r>
        <w:r>
          <w:rPr>
            <w:noProof/>
            <w:webHidden/>
          </w:rPr>
          <w:fldChar w:fldCharType="separate"/>
        </w:r>
        <w:r>
          <w:rPr>
            <w:noProof/>
            <w:webHidden/>
          </w:rPr>
          <w:t>36</w:t>
        </w:r>
        <w:r>
          <w:rPr>
            <w:noProof/>
            <w:webHidden/>
          </w:rPr>
          <w:fldChar w:fldCharType="end"/>
        </w:r>
      </w:hyperlink>
    </w:p>
    <w:p w14:paraId="36C5F540" w14:textId="4CDE1FAA"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51" w:history="1">
        <w:r w:rsidRPr="00202928">
          <w:rPr>
            <w:rStyle w:val="Hyperlink"/>
            <w:noProof/>
          </w:rPr>
          <w:t>Table 4</w:t>
        </w:r>
        <w:r w:rsidRPr="00202928">
          <w:rPr>
            <w:rStyle w:val="Hyperlink"/>
            <w:noProof/>
          </w:rPr>
          <w:noBreakHyphen/>
          <w:t xml:space="preserve">1: </w:t>
        </w:r>
        <w:r w:rsidRPr="00202928">
          <w:rPr>
            <w:rStyle w:val="Hyperlink"/>
            <w:iCs/>
            <w:noProof/>
          </w:rPr>
          <w:t>Regulatory options and option challenges for network connection</w:t>
        </w:r>
        <w:r>
          <w:rPr>
            <w:noProof/>
            <w:webHidden/>
          </w:rPr>
          <w:tab/>
        </w:r>
        <w:r>
          <w:rPr>
            <w:noProof/>
            <w:webHidden/>
          </w:rPr>
          <w:fldChar w:fldCharType="begin"/>
        </w:r>
        <w:r>
          <w:rPr>
            <w:noProof/>
            <w:webHidden/>
          </w:rPr>
          <w:instrText xml:space="preserve"> PAGEREF _Toc77260251 \h </w:instrText>
        </w:r>
        <w:r>
          <w:rPr>
            <w:noProof/>
            <w:webHidden/>
          </w:rPr>
        </w:r>
        <w:r>
          <w:rPr>
            <w:noProof/>
            <w:webHidden/>
          </w:rPr>
          <w:fldChar w:fldCharType="separate"/>
        </w:r>
        <w:r>
          <w:rPr>
            <w:noProof/>
            <w:webHidden/>
          </w:rPr>
          <w:t>41</w:t>
        </w:r>
        <w:r>
          <w:rPr>
            <w:noProof/>
            <w:webHidden/>
          </w:rPr>
          <w:fldChar w:fldCharType="end"/>
        </w:r>
      </w:hyperlink>
    </w:p>
    <w:p w14:paraId="635E5E62" w14:textId="2441CC4E"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52" w:history="1">
        <w:r w:rsidRPr="00202928">
          <w:rPr>
            <w:rStyle w:val="Hyperlink"/>
            <w:noProof/>
          </w:rPr>
          <w:t>Table 4</w:t>
        </w:r>
        <w:r w:rsidRPr="00202928">
          <w:rPr>
            <w:rStyle w:val="Hyperlink"/>
            <w:noProof/>
          </w:rPr>
          <w:noBreakHyphen/>
          <w:t xml:space="preserve">2: </w:t>
        </w:r>
        <w:r w:rsidRPr="00202928">
          <w:rPr>
            <w:rStyle w:val="Hyperlink"/>
            <w:iCs/>
            <w:noProof/>
          </w:rPr>
          <w:t>Regulatory options and option challenges for grid-compliance readiness</w:t>
        </w:r>
        <w:r>
          <w:rPr>
            <w:noProof/>
            <w:webHidden/>
          </w:rPr>
          <w:tab/>
        </w:r>
        <w:r>
          <w:rPr>
            <w:noProof/>
            <w:webHidden/>
          </w:rPr>
          <w:fldChar w:fldCharType="begin"/>
        </w:r>
        <w:r>
          <w:rPr>
            <w:noProof/>
            <w:webHidden/>
          </w:rPr>
          <w:instrText xml:space="preserve"> PAGEREF _Toc77260252 \h </w:instrText>
        </w:r>
        <w:r>
          <w:rPr>
            <w:noProof/>
            <w:webHidden/>
          </w:rPr>
        </w:r>
        <w:r>
          <w:rPr>
            <w:noProof/>
            <w:webHidden/>
          </w:rPr>
          <w:fldChar w:fldCharType="separate"/>
        </w:r>
        <w:r>
          <w:rPr>
            <w:noProof/>
            <w:webHidden/>
          </w:rPr>
          <w:t>41</w:t>
        </w:r>
        <w:r>
          <w:rPr>
            <w:noProof/>
            <w:webHidden/>
          </w:rPr>
          <w:fldChar w:fldCharType="end"/>
        </w:r>
      </w:hyperlink>
    </w:p>
    <w:p w14:paraId="3657B00A" w14:textId="289A2C20"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53" w:history="1">
        <w:r w:rsidRPr="00202928">
          <w:rPr>
            <w:rStyle w:val="Hyperlink"/>
            <w:noProof/>
          </w:rPr>
          <w:t>Table 4</w:t>
        </w:r>
        <w:r w:rsidRPr="00202928">
          <w:rPr>
            <w:rStyle w:val="Hyperlink"/>
            <w:noProof/>
          </w:rPr>
          <w:noBreakHyphen/>
          <w:t xml:space="preserve">3: Main </w:t>
        </w:r>
        <w:r w:rsidRPr="00202928">
          <w:rPr>
            <w:rStyle w:val="Hyperlink"/>
            <w:iCs/>
            <w:noProof/>
          </w:rPr>
          <w:t>options available for when the main grid reaches the location of a mini-grid</w:t>
        </w:r>
        <w:r>
          <w:rPr>
            <w:noProof/>
            <w:webHidden/>
          </w:rPr>
          <w:tab/>
        </w:r>
        <w:r>
          <w:rPr>
            <w:noProof/>
            <w:webHidden/>
          </w:rPr>
          <w:fldChar w:fldCharType="begin"/>
        </w:r>
        <w:r>
          <w:rPr>
            <w:noProof/>
            <w:webHidden/>
          </w:rPr>
          <w:instrText xml:space="preserve"> PAGEREF _Toc77260253 \h </w:instrText>
        </w:r>
        <w:r>
          <w:rPr>
            <w:noProof/>
            <w:webHidden/>
          </w:rPr>
        </w:r>
        <w:r>
          <w:rPr>
            <w:noProof/>
            <w:webHidden/>
          </w:rPr>
          <w:fldChar w:fldCharType="separate"/>
        </w:r>
        <w:r>
          <w:rPr>
            <w:noProof/>
            <w:webHidden/>
          </w:rPr>
          <w:t>42</w:t>
        </w:r>
        <w:r>
          <w:rPr>
            <w:noProof/>
            <w:webHidden/>
          </w:rPr>
          <w:fldChar w:fldCharType="end"/>
        </w:r>
      </w:hyperlink>
    </w:p>
    <w:p w14:paraId="5D0952B0" w14:textId="3A7BD080"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54" w:history="1">
        <w:r w:rsidRPr="00202928">
          <w:rPr>
            <w:rStyle w:val="Hyperlink"/>
            <w:noProof/>
          </w:rPr>
          <w:t>Table 4</w:t>
        </w:r>
        <w:r w:rsidRPr="00202928">
          <w:rPr>
            <w:rStyle w:val="Hyperlink"/>
            <w:noProof/>
          </w:rPr>
          <w:noBreakHyphen/>
          <w:t>4: General forms of the tariff setting approaches</w:t>
        </w:r>
        <w:r>
          <w:rPr>
            <w:noProof/>
            <w:webHidden/>
          </w:rPr>
          <w:tab/>
        </w:r>
        <w:r>
          <w:rPr>
            <w:noProof/>
            <w:webHidden/>
          </w:rPr>
          <w:fldChar w:fldCharType="begin"/>
        </w:r>
        <w:r>
          <w:rPr>
            <w:noProof/>
            <w:webHidden/>
          </w:rPr>
          <w:instrText xml:space="preserve"> PAGEREF _Toc77260254 \h </w:instrText>
        </w:r>
        <w:r>
          <w:rPr>
            <w:noProof/>
            <w:webHidden/>
          </w:rPr>
        </w:r>
        <w:r>
          <w:rPr>
            <w:noProof/>
            <w:webHidden/>
          </w:rPr>
          <w:fldChar w:fldCharType="separate"/>
        </w:r>
        <w:r>
          <w:rPr>
            <w:noProof/>
            <w:webHidden/>
          </w:rPr>
          <w:t>42</w:t>
        </w:r>
        <w:r>
          <w:rPr>
            <w:noProof/>
            <w:webHidden/>
          </w:rPr>
          <w:fldChar w:fldCharType="end"/>
        </w:r>
      </w:hyperlink>
    </w:p>
    <w:p w14:paraId="49B608B9" w14:textId="308E0479"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55" w:history="1">
        <w:r w:rsidRPr="00202928">
          <w:rPr>
            <w:rStyle w:val="Hyperlink"/>
            <w:noProof/>
          </w:rPr>
          <w:t>Table 4</w:t>
        </w:r>
        <w:r w:rsidRPr="00202928">
          <w:rPr>
            <w:rStyle w:val="Hyperlink"/>
            <w:noProof/>
          </w:rPr>
          <w:noBreakHyphen/>
          <w:t>5: Main components to be determined when adapting the tariff framework after a rural mini-grid interconnects with the main grid</w:t>
        </w:r>
        <w:r>
          <w:rPr>
            <w:noProof/>
            <w:webHidden/>
          </w:rPr>
          <w:tab/>
        </w:r>
        <w:r>
          <w:rPr>
            <w:noProof/>
            <w:webHidden/>
          </w:rPr>
          <w:fldChar w:fldCharType="begin"/>
        </w:r>
        <w:r>
          <w:rPr>
            <w:noProof/>
            <w:webHidden/>
          </w:rPr>
          <w:instrText xml:space="preserve"> PAGEREF _Toc77260255 \h </w:instrText>
        </w:r>
        <w:r>
          <w:rPr>
            <w:noProof/>
            <w:webHidden/>
          </w:rPr>
        </w:r>
        <w:r>
          <w:rPr>
            <w:noProof/>
            <w:webHidden/>
          </w:rPr>
          <w:fldChar w:fldCharType="separate"/>
        </w:r>
        <w:r>
          <w:rPr>
            <w:noProof/>
            <w:webHidden/>
          </w:rPr>
          <w:t>43</w:t>
        </w:r>
        <w:r>
          <w:rPr>
            <w:noProof/>
            <w:webHidden/>
          </w:rPr>
          <w:fldChar w:fldCharType="end"/>
        </w:r>
      </w:hyperlink>
    </w:p>
    <w:p w14:paraId="6779726D" w14:textId="26151CF2"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56" w:history="1">
        <w:r w:rsidRPr="00202928">
          <w:rPr>
            <w:rStyle w:val="Hyperlink"/>
            <w:noProof/>
          </w:rPr>
          <w:t>Table 5</w:t>
        </w:r>
        <w:r w:rsidRPr="00202928">
          <w:rPr>
            <w:rStyle w:val="Hyperlink"/>
            <w:noProof/>
          </w:rPr>
          <w:noBreakHyphen/>
          <w:t>1: Main responsibilities of the national TSOs, the Control Area Operators, and the RSMOs</w:t>
        </w:r>
        <w:r>
          <w:rPr>
            <w:noProof/>
            <w:webHidden/>
          </w:rPr>
          <w:tab/>
        </w:r>
        <w:r>
          <w:rPr>
            <w:noProof/>
            <w:webHidden/>
          </w:rPr>
          <w:fldChar w:fldCharType="begin"/>
        </w:r>
        <w:r>
          <w:rPr>
            <w:noProof/>
            <w:webHidden/>
          </w:rPr>
          <w:instrText xml:space="preserve"> PAGEREF _Toc77260256 \h </w:instrText>
        </w:r>
        <w:r>
          <w:rPr>
            <w:noProof/>
            <w:webHidden/>
          </w:rPr>
        </w:r>
        <w:r>
          <w:rPr>
            <w:noProof/>
            <w:webHidden/>
          </w:rPr>
          <w:fldChar w:fldCharType="separate"/>
        </w:r>
        <w:r>
          <w:rPr>
            <w:noProof/>
            <w:webHidden/>
          </w:rPr>
          <w:t>48</w:t>
        </w:r>
        <w:r>
          <w:rPr>
            <w:noProof/>
            <w:webHidden/>
          </w:rPr>
          <w:fldChar w:fldCharType="end"/>
        </w:r>
      </w:hyperlink>
    </w:p>
    <w:p w14:paraId="3927BBE8" w14:textId="2282E2FC"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57" w:history="1">
        <w:r w:rsidRPr="00202928">
          <w:rPr>
            <w:rStyle w:val="Hyperlink"/>
            <w:noProof/>
          </w:rPr>
          <w:t>Table 5</w:t>
        </w:r>
        <w:r w:rsidRPr="00202928">
          <w:rPr>
            <w:rStyle w:val="Hyperlink"/>
            <w:noProof/>
          </w:rPr>
          <w:noBreakHyphen/>
          <w:t>2: Classification of ancillary services</w:t>
        </w:r>
        <w:r>
          <w:rPr>
            <w:noProof/>
            <w:webHidden/>
          </w:rPr>
          <w:tab/>
        </w:r>
        <w:r>
          <w:rPr>
            <w:noProof/>
            <w:webHidden/>
          </w:rPr>
          <w:fldChar w:fldCharType="begin"/>
        </w:r>
        <w:r>
          <w:rPr>
            <w:noProof/>
            <w:webHidden/>
          </w:rPr>
          <w:instrText xml:space="preserve"> PAGEREF _Toc77260257 \h </w:instrText>
        </w:r>
        <w:r>
          <w:rPr>
            <w:noProof/>
            <w:webHidden/>
          </w:rPr>
        </w:r>
        <w:r>
          <w:rPr>
            <w:noProof/>
            <w:webHidden/>
          </w:rPr>
          <w:fldChar w:fldCharType="separate"/>
        </w:r>
        <w:r>
          <w:rPr>
            <w:noProof/>
            <w:webHidden/>
          </w:rPr>
          <w:t>69</w:t>
        </w:r>
        <w:r>
          <w:rPr>
            <w:noProof/>
            <w:webHidden/>
          </w:rPr>
          <w:fldChar w:fldCharType="end"/>
        </w:r>
      </w:hyperlink>
    </w:p>
    <w:p w14:paraId="446073DF" w14:textId="73C4062A"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58" w:history="1">
        <w:r w:rsidRPr="00202928">
          <w:rPr>
            <w:rStyle w:val="Hyperlink"/>
            <w:noProof/>
          </w:rPr>
          <w:t>Table 7</w:t>
        </w:r>
        <w:r w:rsidRPr="00202928">
          <w:rPr>
            <w:rStyle w:val="Hyperlink"/>
            <w:noProof/>
          </w:rPr>
          <w:noBreakHyphen/>
          <w:t>1:  Actions required at the national, regional and continental levels</w:t>
        </w:r>
        <w:r>
          <w:rPr>
            <w:noProof/>
            <w:webHidden/>
          </w:rPr>
          <w:tab/>
        </w:r>
        <w:r>
          <w:rPr>
            <w:noProof/>
            <w:webHidden/>
          </w:rPr>
          <w:fldChar w:fldCharType="begin"/>
        </w:r>
        <w:r>
          <w:rPr>
            <w:noProof/>
            <w:webHidden/>
          </w:rPr>
          <w:instrText xml:space="preserve"> PAGEREF _Toc77260258 \h </w:instrText>
        </w:r>
        <w:r>
          <w:rPr>
            <w:noProof/>
            <w:webHidden/>
          </w:rPr>
        </w:r>
        <w:r>
          <w:rPr>
            <w:noProof/>
            <w:webHidden/>
          </w:rPr>
          <w:fldChar w:fldCharType="separate"/>
        </w:r>
        <w:r>
          <w:rPr>
            <w:noProof/>
            <w:webHidden/>
          </w:rPr>
          <w:t>82</w:t>
        </w:r>
        <w:r>
          <w:rPr>
            <w:noProof/>
            <w:webHidden/>
          </w:rPr>
          <w:fldChar w:fldCharType="end"/>
        </w:r>
      </w:hyperlink>
    </w:p>
    <w:p w14:paraId="4349FB84" w14:textId="10AFBF4F"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59" w:history="1">
        <w:r w:rsidRPr="00202928">
          <w:rPr>
            <w:rStyle w:val="Hyperlink"/>
            <w:noProof/>
          </w:rPr>
          <w:t>Table 7</w:t>
        </w:r>
        <w:r w:rsidRPr="00202928">
          <w:rPr>
            <w:rStyle w:val="Hyperlink"/>
            <w:noProof/>
          </w:rPr>
          <w:noBreakHyphen/>
          <w:t>2: The Short-Term Action Plan</w:t>
        </w:r>
        <w:r>
          <w:rPr>
            <w:noProof/>
            <w:webHidden/>
          </w:rPr>
          <w:tab/>
        </w:r>
        <w:r>
          <w:rPr>
            <w:noProof/>
            <w:webHidden/>
          </w:rPr>
          <w:fldChar w:fldCharType="begin"/>
        </w:r>
        <w:r>
          <w:rPr>
            <w:noProof/>
            <w:webHidden/>
          </w:rPr>
          <w:instrText xml:space="preserve"> PAGEREF _Toc77260259 \h </w:instrText>
        </w:r>
        <w:r>
          <w:rPr>
            <w:noProof/>
            <w:webHidden/>
          </w:rPr>
        </w:r>
        <w:r>
          <w:rPr>
            <w:noProof/>
            <w:webHidden/>
          </w:rPr>
          <w:fldChar w:fldCharType="separate"/>
        </w:r>
        <w:r>
          <w:rPr>
            <w:noProof/>
            <w:webHidden/>
          </w:rPr>
          <w:t>83</w:t>
        </w:r>
        <w:r>
          <w:rPr>
            <w:noProof/>
            <w:webHidden/>
          </w:rPr>
          <w:fldChar w:fldCharType="end"/>
        </w:r>
      </w:hyperlink>
    </w:p>
    <w:p w14:paraId="0842D810" w14:textId="4BAAB734"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60" w:history="1">
        <w:r w:rsidRPr="00202928">
          <w:rPr>
            <w:rStyle w:val="Hyperlink"/>
            <w:noProof/>
          </w:rPr>
          <w:t>Table 7</w:t>
        </w:r>
        <w:r w:rsidRPr="00202928">
          <w:rPr>
            <w:rStyle w:val="Hyperlink"/>
            <w:noProof/>
          </w:rPr>
          <w:noBreakHyphen/>
          <w:t>3: The Medium-Term Action Plan</w:t>
        </w:r>
        <w:r>
          <w:rPr>
            <w:noProof/>
            <w:webHidden/>
          </w:rPr>
          <w:tab/>
        </w:r>
        <w:r>
          <w:rPr>
            <w:noProof/>
            <w:webHidden/>
          </w:rPr>
          <w:fldChar w:fldCharType="begin"/>
        </w:r>
        <w:r>
          <w:rPr>
            <w:noProof/>
            <w:webHidden/>
          </w:rPr>
          <w:instrText xml:space="preserve"> PAGEREF _Toc77260260 \h </w:instrText>
        </w:r>
        <w:r>
          <w:rPr>
            <w:noProof/>
            <w:webHidden/>
          </w:rPr>
        </w:r>
        <w:r>
          <w:rPr>
            <w:noProof/>
            <w:webHidden/>
          </w:rPr>
          <w:fldChar w:fldCharType="separate"/>
        </w:r>
        <w:r>
          <w:rPr>
            <w:noProof/>
            <w:webHidden/>
          </w:rPr>
          <w:t>85</w:t>
        </w:r>
        <w:r>
          <w:rPr>
            <w:noProof/>
            <w:webHidden/>
          </w:rPr>
          <w:fldChar w:fldCharType="end"/>
        </w:r>
      </w:hyperlink>
    </w:p>
    <w:p w14:paraId="0767A0E1" w14:textId="46712352"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61" w:history="1">
        <w:r w:rsidRPr="00202928">
          <w:rPr>
            <w:rStyle w:val="Hyperlink"/>
            <w:noProof/>
          </w:rPr>
          <w:t>Table 7</w:t>
        </w:r>
        <w:r w:rsidRPr="00202928">
          <w:rPr>
            <w:rStyle w:val="Hyperlink"/>
            <w:noProof/>
          </w:rPr>
          <w:noBreakHyphen/>
          <w:t>4: The Long-Term Action Plan</w:t>
        </w:r>
        <w:r>
          <w:rPr>
            <w:noProof/>
            <w:webHidden/>
          </w:rPr>
          <w:tab/>
        </w:r>
        <w:r>
          <w:rPr>
            <w:noProof/>
            <w:webHidden/>
          </w:rPr>
          <w:fldChar w:fldCharType="begin"/>
        </w:r>
        <w:r>
          <w:rPr>
            <w:noProof/>
            <w:webHidden/>
          </w:rPr>
          <w:instrText xml:space="preserve"> PAGEREF _Toc77260261 \h </w:instrText>
        </w:r>
        <w:r>
          <w:rPr>
            <w:noProof/>
            <w:webHidden/>
          </w:rPr>
        </w:r>
        <w:r>
          <w:rPr>
            <w:noProof/>
            <w:webHidden/>
          </w:rPr>
          <w:fldChar w:fldCharType="separate"/>
        </w:r>
        <w:r>
          <w:rPr>
            <w:noProof/>
            <w:webHidden/>
          </w:rPr>
          <w:t>87</w:t>
        </w:r>
        <w:r>
          <w:rPr>
            <w:noProof/>
            <w:webHidden/>
          </w:rPr>
          <w:fldChar w:fldCharType="end"/>
        </w:r>
      </w:hyperlink>
    </w:p>
    <w:p w14:paraId="2D937AA8" w14:textId="01CAE989" w:rsidR="006273BD" w:rsidRDefault="006273BD">
      <w:pPr>
        <w:pStyle w:val="TableofFigures"/>
        <w:tabs>
          <w:tab w:val="right" w:pos="9202"/>
        </w:tabs>
        <w:rPr>
          <w:rFonts w:asciiTheme="minorHAnsi" w:eastAsiaTheme="minorEastAsia" w:hAnsiTheme="minorHAnsi" w:cstheme="minorBidi"/>
          <w:noProof/>
          <w:sz w:val="22"/>
          <w:szCs w:val="22"/>
          <w:lang w:val="en-US"/>
        </w:rPr>
      </w:pPr>
      <w:hyperlink w:anchor="_Toc77260262" w:history="1">
        <w:r w:rsidRPr="00202928">
          <w:rPr>
            <w:rStyle w:val="Hyperlink"/>
            <w:noProof/>
          </w:rPr>
          <w:t>Table 7</w:t>
        </w:r>
        <w:r w:rsidRPr="00202928">
          <w:rPr>
            <w:rStyle w:val="Hyperlink"/>
            <w:noProof/>
          </w:rPr>
          <w:noBreakHyphen/>
          <w:t>5: The Short-Term Action Plan (for the interconnection of off-grid systems and microgrids)</w:t>
        </w:r>
        <w:r>
          <w:rPr>
            <w:noProof/>
            <w:webHidden/>
          </w:rPr>
          <w:tab/>
        </w:r>
        <w:r>
          <w:rPr>
            <w:noProof/>
            <w:webHidden/>
          </w:rPr>
          <w:fldChar w:fldCharType="begin"/>
        </w:r>
        <w:r>
          <w:rPr>
            <w:noProof/>
            <w:webHidden/>
          </w:rPr>
          <w:instrText xml:space="preserve"> PAGEREF _Toc77260262 \h </w:instrText>
        </w:r>
        <w:r>
          <w:rPr>
            <w:noProof/>
            <w:webHidden/>
          </w:rPr>
        </w:r>
        <w:r>
          <w:rPr>
            <w:noProof/>
            <w:webHidden/>
          </w:rPr>
          <w:fldChar w:fldCharType="separate"/>
        </w:r>
        <w:r>
          <w:rPr>
            <w:noProof/>
            <w:webHidden/>
          </w:rPr>
          <w:t>89</w:t>
        </w:r>
        <w:r>
          <w:rPr>
            <w:noProof/>
            <w:webHidden/>
          </w:rPr>
          <w:fldChar w:fldCharType="end"/>
        </w:r>
      </w:hyperlink>
    </w:p>
    <w:p w14:paraId="1FAA872C" w14:textId="0DD54B3D" w:rsidR="004D634C" w:rsidRPr="00C632F6" w:rsidRDefault="00B8421F" w:rsidP="004447A5">
      <w:pPr>
        <w:widowControl w:val="0"/>
        <w:pBdr>
          <w:bottom w:val="single" w:sz="4" w:space="1" w:color="999999"/>
        </w:pBdr>
        <w:tabs>
          <w:tab w:val="left" w:pos="5490"/>
        </w:tabs>
        <w:rPr>
          <w:rFonts w:eastAsia="Calibri" w:cs="Arial"/>
          <w:color w:val="394A58"/>
          <w:szCs w:val="20"/>
        </w:rPr>
      </w:pPr>
      <w:r w:rsidRPr="00C632F6">
        <w:rPr>
          <w:rFonts w:eastAsia="Calibri" w:cs="Arial"/>
          <w:color w:val="394A58"/>
          <w:szCs w:val="20"/>
        </w:rPr>
        <w:fldChar w:fldCharType="end"/>
      </w:r>
    </w:p>
    <w:p w14:paraId="4E132D86" w14:textId="77777777" w:rsidR="004447A5" w:rsidRPr="00316837" w:rsidRDefault="004447A5" w:rsidP="004447A5">
      <w:pPr>
        <w:widowControl w:val="0"/>
        <w:pBdr>
          <w:bottom w:val="single" w:sz="4" w:space="1" w:color="999999"/>
        </w:pBdr>
        <w:tabs>
          <w:tab w:val="left" w:pos="5490"/>
        </w:tabs>
        <w:rPr>
          <w:rFonts w:eastAsia="Calibri" w:cs="Arial"/>
          <w:color w:val="394A58"/>
          <w:szCs w:val="20"/>
        </w:rPr>
      </w:pPr>
    </w:p>
    <w:p w14:paraId="24F68AA2" w14:textId="5072AC89" w:rsidR="0033113E" w:rsidRPr="00316837" w:rsidRDefault="0033113E" w:rsidP="00801B12">
      <w:pPr>
        <w:widowControl w:val="0"/>
        <w:pBdr>
          <w:bottom w:val="single" w:sz="4" w:space="1" w:color="999999"/>
        </w:pBdr>
        <w:tabs>
          <w:tab w:val="left" w:pos="5490"/>
        </w:tabs>
        <w:jc w:val="center"/>
        <w:rPr>
          <w:b/>
          <w:color w:val="000080"/>
          <w:sz w:val="24"/>
        </w:rPr>
      </w:pPr>
      <w:r w:rsidRPr="00C632F6">
        <w:rPr>
          <w:b/>
          <w:color w:val="000080"/>
          <w:sz w:val="24"/>
        </w:rPr>
        <w:t>Figures</w:t>
      </w:r>
    </w:p>
    <w:p w14:paraId="24603BD9" w14:textId="763DC9F6" w:rsidR="006273BD" w:rsidRDefault="0033113E">
      <w:pPr>
        <w:pStyle w:val="TableofFigures"/>
        <w:tabs>
          <w:tab w:val="right" w:leader="dot" w:pos="9202"/>
        </w:tabs>
        <w:rPr>
          <w:rFonts w:asciiTheme="minorHAnsi" w:eastAsiaTheme="minorEastAsia" w:hAnsiTheme="minorHAnsi" w:cstheme="minorBidi"/>
          <w:noProof/>
          <w:sz w:val="22"/>
          <w:szCs w:val="22"/>
          <w:lang w:val="en-US"/>
        </w:rPr>
      </w:pPr>
      <w:r w:rsidRPr="00654753">
        <w:rPr>
          <w:rStyle w:val="Hyperlink"/>
          <w:iCs/>
        </w:rPr>
        <w:fldChar w:fldCharType="begin"/>
      </w:r>
      <w:r w:rsidRPr="00316837">
        <w:rPr>
          <w:rStyle w:val="Hyperlink"/>
          <w:iCs/>
        </w:rPr>
        <w:instrText xml:space="preserve"> TOC \h \z \c "Figure" </w:instrText>
      </w:r>
      <w:r w:rsidRPr="00654753">
        <w:rPr>
          <w:rStyle w:val="Hyperlink"/>
          <w:iCs/>
        </w:rPr>
        <w:fldChar w:fldCharType="separate"/>
      </w:r>
      <w:hyperlink w:anchor="_Toc77260263" w:history="1">
        <w:r w:rsidR="006273BD" w:rsidRPr="00097339">
          <w:rPr>
            <w:rStyle w:val="Hyperlink"/>
            <w:rFonts w:eastAsia="Calibri"/>
            <w:bCs/>
            <w:noProof/>
          </w:rPr>
          <w:t>Figure 3</w:t>
        </w:r>
        <w:r w:rsidR="006273BD" w:rsidRPr="00097339">
          <w:rPr>
            <w:rStyle w:val="Hyperlink"/>
            <w:rFonts w:eastAsia="Calibri"/>
            <w:bCs/>
            <w:noProof/>
          </w:rPr>
          <w:noBreakHyphen/>
          <w:t>1: SAPP grid map (source: SAPP)</w:t>
        </w:r>
        <w:r w:rsidR="006273BD">
          <w:rPr>
            <w:noProof/>
            <w:webHidden/>
          </w:rPr>
          <w:tab/>
        </w:r>
        <w:r w:rsidR="006273BD">
          <w:rPr>
            <w:noProof/>
            <w:webHidden/>
          </w:rPr>
          <w:fldChar w:fldCharType="begin"/>
        </w:r>
        <w:r w:rsidR="006273BD">
          <w:rPr>
            <w:noProof/>
            <w:webHidden/>
          </w:rPr>
          <w:instrText xml:space="preserve"> PAGEREF _Toc77260263 \h </w:instrText>
        </w:r>
        <w:r w:rsidR="006273BD">
          <w:rPr>
            <w:noProof/>
            <w:webHidden/>
          </w:rPr>
        </w:r>
        <w:r w:rsidR="006273BD">
          <w:rPr>
            <w:noProof/>
            <w:webHidden/>
          </w:rPr>
          <w:fldChar w:fldCharType="separate"/>
        </w:r>
        <w:r w:rsidR="006273BD">
          <w:rPr>
            <w:noProof/>
            <w:webHidden/>
          </w:rPr>
          <w:t>8</w:t>
        </w:r>
        <w:r w:rsidR="006273BD">
          <w:rPr>
            <w:noProof/>
            <w:webHidden/>
          </w:rPr>
          <w:fldChar w:fldCharType="end"/>
        </w:r>
      </w:hyperlink>
    </w:p>
    <w:p w14:paraId="1AE4AAD5" w14:textId="1F69EF2A"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64" w:history="1">
        <w:r w:rsidRPr="00097339">
          <w:rPr>
            <w:rStyle w:val="Hyperlink"/>
            <w:rFonts w:eastAsia="Calibri"/>
            <w:bCs/>
            <w:noProof/>
          </w:rPr>
          <w:t>Figure 3</w:t>
        </w:r>
        <w:r w:rsidRPr="00097339">
          <w:rPr>
            <w:rStyle w:val="Hyperlink"/>
            <w:rFonts w:eastAsia="Calibri"/>
            <w:bCs/>
            <w:noProof/>
          </w:rPr>
          <w:noBreakHyphen/>
          <w:t>2: SAPP main transmission corridors (source: SAPP Pool Plan 2017)</w:t>
        </w:r>
        <w:r>
          <w:rPr>
            <w:noProof/>
            <w:webHidden/>
          </w:rPr>
          <w:tab/>
        </w:r>
        <w:r>
          <w:rPr>
            <w:noProof/>
            <w:webHidden/>
          </w:rPr>
          <w:fldChar w:fldCharType="begin"/>
        </w:r>
        <w:r>
          <w:rPr>
            <w:noProof/>
            <w:webHidden/>
          </w:rPr>
          <w:instrText xml:space="preserve"> PAGEREF _Toc77260264 \h </w:instrText>
        </w:r>
        <w:r>
          <w:rPr>
            <w:noProof/>
            <w:webHidden/>
          </w:rPr>
        </w:r>
        <w:r>
          <w:rPr>
            <w:noProof/>
            <w:webHidden/>
          </w:rPr>
          <w:fldChar w:fldCharType="separate"/>
        </w:r>
        <w:r>
          <w:rPr>
            <w:noProof/>
            <w:webHidden/>
          </w:rPr>
          <w:t>9</w:t>
        </w:r>
        <w:r>
          <w:rPr>
            <w:noProof/>
            <w:webHidden/>
          </w:rPr>
          <w:fldChar w:fldCharType="end"/>
        </w:r>
      </w:hyperlink>
    </w:p>
    <w:p w14:paraId="517A6D4B" w14:textId="2BF3A818"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65" w:history="1">
        <w:r w:rsidRPr="00097339">
          <w:rPr>
            <w:rStyle w:val="Hyperlink"/>
            <w:rFonts w:eastAsia="Calibri"/>
            <w:bCs/>
            <w:noProof/>
          </w:rPr>
          <w:t>Figure 3</w:t>
        </w:r>
        <w:r w:rsidRPr="00097339">
          <w:rPr>
            <w:rStyle w:val="Hyperlink"/>
            <w:rFonts w:eastAsia="Calibri"/>
            <w:bCs/>
            <w:noProof/>
          </w:rPr>
          <w:noBreakHyphen/>
          <w:t>3: SAPP regional power system with interconnectors (source: SAPP)</w:t>
        </w:r>
        <w:r>
          <w:rPr>
            <w:noProof/>
            <w:webHidden/>
          </w:rPr>
          <w:tab/>
        </w:r>
        <w:r>
          <w:rPr>
            <w:noProof/>
            <w:webHidden/>
          </w:rPr>
          <w:fldChar w:fldCharType="begin"/>
        </w:r>
        <w:r>
          <w:rPr>
            <w:noProof/>
            <w:webHidden/>
          </w:rPr>
          <w:instrText xml:space="preserve"> PAGEREF _Toc77260265 \h </w:instrText>
        </w:r>
        <w:r>
          <w:rPr>
            <w:noProof/>
            <w:webHidden/>
          </w:rPr>
        </w:r>
        <w:r>
          <w:rPr>
            <w:noProof/>
            <w:webHidden/>
          </w:rPr>
          <w:fldChar w:fldCharType="separate"/>
        </w:r>
        <w:r>
          <w:rPr>
            <w:noProof/>
            <w:webHidden/>
          </w:rPr>
          <w:t>10</w:t>
        </w:r>
        <w:r>
          <w:rPr>
            <w:noProof/>
            <w:webHidden/>
          </w:rPr>
          <w:fldChar w:fldCharType="end"/>
        </w:r>
      </w:hyperlink>
    </w:p>
    <w:p w14:paraId="60BFADC3" w14:textId="457CE9B1"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66" w:history="1">
        <w:r w:rsidRPr="00097339">
          <w:rPr>
            <w:rStyle w:val="Hyperlink"/>
            <w:rFonts w:eastAsia="Calibri"/>
            <w:bCs/>
            <w:noProof/>
          </w:rPr>
          <w:t>Figure 3</w:t>
        </w:r>
        <w:r w:rsidRPr="00097339">
          <w:rPr>
            <w:rStyle w:val="Hyperlink"/>
            <w:rFonts w:eastAsia="Calibri"/>
            <w:bCs/>
            <w:noProof/>
          </w:rPr>
          <w:noBreakHyphen/>
          <w:t>4: Directions of electricity flows in the WAPP three main synchronous zones (source: WAPP)</w:t>
        </w:r>
        <w:r>
          <w:rPr>
            <w:noProof/>
            <w:webHidden/>
          </w:rPr>
          <w:tab/>
        </w:r>
        <w:r>
          <w:rPr>
            <w:noProof/>
            <w:webHidden/>
          </w:rPr>
          <w:fldChar w:fldCharType="begin"/>
        </w:r>
        <w:r>
          <w:rPr>
            <w:noProof/>
            <w:webHidden/>
          </w:rPr>
          <w:instrText xml:space="preserve"> PAGEREF _Toc77260266 \h </w:instrText>
        </w:r>
        <w:r>
          <w:rPr>
            <w:noProof/>
            <w:webHidden/>
          </w:rPr>
        </w:r>
        <w:r>
          <w:rPr>
            <w:noProof/>
            <w:webHidden/>
          </w:rPr>
          <w:fldChar w:fldCharType="separate"/>
        </w:r>
        <w:r>
          <w:rPr>
            <w:noProof/>
            <w:webHidden/>
          </w:rPr>
          <w:t>16</w:t>
        </w:r>
        <w:r>
          <w:rPr>
            <w:noProof/>
            <w:webHidden/>
          </w:rPr>
          <w:fldChar w:fldCharType="end"/>
        </w:r>
      </w:hyperlink>
    </w:p>
    <w:p w14:paraId="3479F1AD" w14:textId="4461F1B1"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67" w:history="1">
        <w:r w:rsidRPr="00097339">
          <w:rPr>
            <w:rStyle w:val="Hyperlink"/>
            <w:rFonts w:eastAsia="Calibri"/>
            <w:bCs/>
            <w:noProof/>
          </w:rPr>
          <w:t>Figure 3</w:t>
        </w:r>
        <w:r w:rsidRPr="00097339">
          <w:rPr>
            <w:rStyle w:val="Hyperlink"/>
            <w:rFonts w:eastAsia="Calibri"/>
            <w:bCs/>
            <w:noProof/>
          </w:rPr>
          <w:noBreakHyphen/>
          <w:t>5: WAPP plans and activities for interconnection (source: WAPP)</w:t>
        </w:r>
        <w:r>
          <w:rPr>
            <w:noProof/>
            <w:webHidden/>
          </w:rPr>
          <w:tab/>
        </w:r>
        <w:r>
          <w:rPr>
            <w:noProof/>
            <w:webHidden/>
          </w:rPr>
          <w:fldChar w:fldCharType="begin"/>
        </w:r>
        <w:r>
          <w:rPr>
            <w:noProof/>
            <w:webHidden/>
          </w:rPr>
          <w:instrText xml:space="preserve"> PAGEREF _Toc77260267 \h </w:instrText>
        </w:r>
        <w:r>
          <w:rPr>
            <w:noProof/>
            <w:webHidden/>
          </w:rPr>
        </w:r>
        <w:r>
          <w:rPr>
            <w:noProof/>
            <w:webHidden/>
          </w:rPr>
          <w:fldChar w:fldCharType="separate"/>
        </w:r>
        <w:r>
          <w:rPr>
            <w:noProof/>
            <w:webHidden/>
          </w:rPr>
          <w:t>16</w:t>
        </w:r>
        <w:r>
          <w:rPr>
            <w:noProof/>
            <w:webHidden/>
          </w:rPr>
          <w:fldChar w:fldCharType="end"/>
        </w:r>
      </w:hyperlink>
    </w:p>
    <w:p w14:paraId="45393989" w14:textId="542C0F0D"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68" w:history="1">
        <w:r w:rsidRPr="00097339">
          <w:rPr>
            <w:rStyle w:val="Hyperlink"/>
            <w:rFonts w:eastAsia="Calibri"/>
            <w:bCs/>
            <w:noProof/>
          </w:rPr>
          <w:t>Figure 3</w:t>
        </w:r>
        <w:r w:rsidRPr="00097339">
          <w:rPr>
            <w:rStyle w:val="Hyperlink"/>
            <w:rFonts w:eastAsia="Calibri"/>
            <w:bCs/>
            <w:noProof/>
          </w:rPr>
          <w:noBreakHyphen/>
          <w:t>6: WAPP high voltage transmission networks and prospective interconnection projects (source: WAPP)</w:t>
        </w:r>
        <w:r>
          <w:rPr>
            <w:noProof/>
            <w:webHidden/>
          </w:rPr>
          <w:tab/>
        </w:r>
        <w:r>
          <w:rPr>
            <w:noProof/>
            <w:webHidden/>
          </w:rPr>
          <w:fldChar w:fldCharType="begin"/>
        </w:r>
        <w:r>
          <w:rPr>
            <w:noProof/>
            <w:webHidden/>
          </w:rPr>
          <w:instrText xml:space="preserve"> PAGEREF _Toc77260268 \h </w:instrText>
        </w:r>
        <w:r>
          <w:rPr>
            <w:noProof/>
            <w:webHidden/>
          </w:rPr>
        </w:r>
        <w:r>
          <w:rPr>
            <w:noProof/>
            <w:webHidden/>
          </w:rPr>
          <w:fldChar w:fldCharType="separate"/>
        </w:r>
        <w:r>
          <w:rPr>
            <w:noProof/>
            <w:webHidden/>
          </w:rPr>
          <w:t>17</w:t>
        </w:r>
        <w:r>
          <w:rPr>
            <w:noProof/>
            <w:webHidden/>
          </w:rPr>
          <w:fldChar w:fldCharType="end"/>
        </w:r>
      </w:hyperlink>
    </w:p>
    <w:p w14:paraId="3F6125BF" w14:textId="370CAD9B"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69" w:history="1">
        <w:r w:rsidRPr="00097339">
          <w:rPr>
            <w:rStyle w:val="Hyperlink"/>
            <w:rFonts w:eastAsia="Calibri"/>
            <w:bCs/>
            <w:noProof/>
          </w:rPr>
          <w:t>Figure 3</w:t>
        </w:r>
        <w:r w:rsidRPr="00097339">
          <w:rPr>
            <w:rStyle w:val="Hyperlink"/>
            <w:rFonts w:eastAsia="Calibri"/>
            <w:bCs/>
            <w:noProof/>
          </w:rPr>
          <w:noBreakHyphen/>
          <w:t>7: Communication concept of the Information and Coordination Centre of WAPP (source: WAPP)</w:t>
        </w:r>
        <w:r>
          <w:rPr>
            <w:noProof/>
            <w:webHidden/>
          </w:rPr>
          <w:tab/>
        </w:r>
        <w:r>
          <w:rPr>
            <w:noProof/>
            <w:webHidden/>
          </w:rPr>
          <w:fldChar w:fldCharType="begin"/>
        </w:r>
        <w:r>
          <w:rPr>
            <w:noProof/>
            <w:webHidden/>
          </w:rPr>
          <w:instrText xml:space="preserve"> PAGEREF _Toc77260269 \h </w:instrText>
        </w:r>
        <w:r>
          <w:rPr>
            <w:noProof/>
            <w:webHidden/>
          </w:rPr>
        </w:r>
        <w:r>
          <w:rPr>
            <w:noProof/>
            <w:webHidden/>
          </w:rPr>
          <w:fldChar w:fldCharType="separate"/>
        </w:r>
        <w:r>
          <w:rPr>
            <w:noProof/>
            <w:webHidden/>
          </w:rPr>
          <w:t>18</w:t>
        </w:r>
        <w:r>
          <w:rPr>
            <w:noProof/>
            <w:webHidden/>
          </w:rPr>
          <w:fldChar w:fldCharType="end"/>
        </w:r>
      </w:hyperlink>
    </w:p>
    <w:p w14:paraId="0CF1D639" w14:textId="49AA4834"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70" w:history="1">
        <w:r w:rsidRPr="00097339">
          <w:rPr>
            <w:rStyle w:val="Hyperlink"/>
            <w:rFonts w:eastAsia="Calibri"/>
            <w:bCs/>
            <w:noProof/>
          </w:rPr>
          <w:t>Figure 3</w:t>
        </w:r>
        <w:r w:rsidRPr="00097339">
          <w:rPr>
            <w:rStyle w:val="Hyperlink"/>
            <w:rFonts w:eastAsia="Calibri"/>
            <w:bCs/>
            <w:noProof/>
          </w:rPr>
          <w:noBreakHyphen/>
          <w:t>8: Customer journey in the market (source: WAPP)</w:t>
        </w:r>
        <w:r>
          <w:rPr>
            <w:noProof/>
            <w:webHidden/>
          </w:rPr>
          <w:tab/>
        </w:r>
        <w:r>
          <w:rPr>
            <w:noProof/>
            <w:webHidden/>
          </w:rPr>
          <w:fldChar w:fldCharType="begin"/>
        </w:r>
        <w:r>
          <w:rPr>
            <w:noProof/>
            <w:webHidden/>
          </w:rPr>
          <w:instrText xml:space="preserve"> PAGEREF _Toc77260270 \h </w:instrText>
        </w:r>
        <w:r>
          <w:rPr>
            <w:noProof/>
            <w:webHidden/>
          </w:rPr>
        </w:r>
        <w:r>
          <w:rPr>
            <w:noProof/>
            <w:webHidden/>
          </w:rPr>
          <w:fldChar w:fldCharType="separate"/>
        </w:r>
        <w:r>
          <w:rPr>
            <w:noProof/>
            <w:webHidden/>
          </w:rPr>
          <w:t>22</w:t>
        </w:r>
        <w:r>
          <w:rPr>
            <w:noProof/>
            <w:webHidden/>
          </w:rPr>
          <w:fldChar w:fldCharType="end"/>
        </w:r>
      </w:hyperlink>
    </w:p>
    <w:p w14:paraId="34B40746" w14:textId="2E29D529"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71" w:history="1">
        <w:r w:rsidRPr="00097339">
          <w:rPr>
            <w:rStyle w:val="Hyperlink"/>
            <w:rFonts w:eastAsia="Calibri"/>
            <w:bCs/>
            <w:noProof/>
          </w:rPr>
          <w:t>Figure 3</w:t>
        </w:r>
        <w:r w:rsidRPr="00097339">
          <w:rPr>
            <w:rStyle w:val="Hyperlink"/>
            <w:rFonts w:eastAsia="Calibri"/>
            <w:bCs/>
            <w:noProof/>
          </w:rPr>
          <w:noBreakHyphen/>
          <w:t>9: EAPP Market Road Map (source: EAPP)</w:t>
        </w:r>
        <w:r>
          <w:rPr>
            <w:noProof/>
            <w:webHidden/>
          </w:rPr>
          <w:tab/>
        </w:r>
        <w:r>
          <w:rPr>
            <w:noProof/>
            <w:webHidden/>
          </w:rPr>
          <w:fldChar w:fldCharType="begin"/>
        </w:r>
        <w:r>
          <w:rPr>
            <w:noProof/>
            <w:webHidden/>
          </w:rPr>
          <w:instrText xml:space="preserve"> PAGEREF _Toc77260271 \h </w:instrText>
        </w:r>
        <w:r>
          <w:rPr>
            <w:noProof/>
            <w:webHidden/>
          </w:rPr>
        </w:r>
        <w:r>
          <w:rPr>
            <w:noProof/>
            <w:webHidden/>
          </w:rPr>
          <w:fldChar w:fldCharType="separate"/>
        </w:r>
        <w:r>
          <w:rPr>
            <w:noProof/>
            <w:webHidden/>
          </w:rPr>
          <w:t>27</w:t>
        </w:r>
        <w:r>
          <w:rPr>
            <w:noProof/>
            <w:webHidden/>
          </w:rPr>
          <w:fldChar w:fldCharType="end"/>
        </w:r>
      </w:hyperlink>
    </w:p>
    <w:p w14:paraId="7987D59A" w14:textId="1BBB3A5B"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72" w:history="1">
        <w:r w:rsidRPr="00097339">
          <w:rPr>
            <w:rStyle w:val="Hyperlink"/>
            <w:rFonts w:eastAsia="Calibri"/>
            <w:bCs/>
            <w:noProof/>
          </w:rPr>
          <w:t>Figure 3</w:t>
        </w:r>
        <w:r w:rsidRPr="00097339">
          <w:rPr>
            <w:rStyle w:val="Hyperlink"/>
            <w:rFonts w:eastAsia="Calibri"/>
            <w:bCs/>
            <w:noProof/>
          </w:rPr>
          <w:noBreakHyphen/>
          <w:t>10: Existing high-voltage transmission networks in CAPP (left) as well as national projects of CAPP member states by 2035 (right) (source: CAPP)</w:t>
        </w:r>
        <w:r>
          <w:rPr>
            <w:noProof/>
            <w:webHidden/>
          </w:rPr>
          <w:tab/>
        </w:r>
        <w:r>
          <w:rPr>
            <w:noProof/>
            <w:webHidden/>
          </w:rPr>
          <w:fldChar w:fldCharType="begin"/>
        </w:r>
        <w:r>
          <w:rPr>
            <w:noProof/>
            <w:webHidden/>
          </w:rPr>
          <w:instrText xml:space="preserve"> PAGEREF _Toc77260272 \h </w:instrText>
        </w:r>
        <w:r>
          <w:rPr>
            <w:noProof/>
            <w:webHidden/>
          </w:rPr>
        </w:r>
        <w:r>
          <w:rPr>
            <w:noProof/>
            <w:webHidden/>
          </w:rPr>
          <w:fldChar w:fldCharType="separate"/>
        </w:r>
        <w:r>
          <w:rPr>
            <w:noProof/>
            <w:webHidden/>
          </w:rPr>
          <w:t>30</w:t>
        </w:r>
        <w:r>
          <w:rPr>
            <w:noProof/>
            <w:webHidden/>
          </w:rPr>
          <w:fldChar w:fldCharType="end"/>
        </w:r>
      </w:hyperlink>
    </w:p>
    <w:p w14:paraId="6B1A7898" w14:textId="6148555B"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73" w:history="1">
        <w:r w:rsidRPr="00097339">
          <w:rPr>
            <w:rStyle w:val="Hyperlink"/>
            <w:rFonts w:eastAsia="Calibri"/>
            <w:bCs/>
            <w:noProof/>
          </w:rPr>
          <w:t>Figure 3</w:t>
        </w:r>
        <w:r w:rsidRPr="00097339">
          <w:rPr>
            <w:rStyle w:val="Hyperlink"/>
            <w:rFonts w:eastAsia="Calibri"/>
            <w:bCs/>
            <w:noProof/>
          </w:rPr>
          <w:noBreakHyphen/>
          <w:t>11: Existing intra-Maghreb and Euro-Maghreb interconnections (source: COMELEC)</w:t>
        </w:r>
        <w:r>
          <w:rPr>
            <w:noProof/>
            <w:webHidden/>
          </w:rPr>
          <w:tab/>
        </w:r>
        <w:r>
          <w:rPr>
            <w:noProof/>
            <w:webHidden/>
          </w:rPr>
          <w:fldChar w:fldCharType="begin"/>
        </w:r>
        <w:r>
          <w:rPr>
            <w:noProof/>
            <w:webHidden/>
          </w:rPr>
          <w:instrText xml:space="preserve"> PAGEREF _Toc77260273 \h </w:instrText>
        </w:r>
        <w:r>
          <w:rPr>
            <w:noProof/>
            <w:webHidden/>
          </w:rPr>
        </w:r>
        <w:r>
          <w:rPr>
            <w:noProof/>
            <w:webHidden/>
          </w:rPr>
          <w:fldChar w:fldCharType="separate"/>
        </w:r>
        <w:r>
          <w:rPr>
            <w:noProof/>
            <w:webHidden/>
          </w:rPr>
          <w:t>37</w:t>
        </w:r>
        <w:r>
          <w:rPr>
            <w:noProof/>
            <w:webHidden/>
          </w:rPr>
          <w:fldChar w:fldCharType="end"/>
        </w:r>
      </w:hyperlink>
    </w:p>
    <w:p w14:paraId="71913E9A" w14:textId="136E0097"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74" w:history="1">
        <w:r w:rsidRPr="00097339">
          <w:rPr>
            <w:rStyle w:val="Hyperlink"/>
            <w:rFonts w:eastAsia="Calibri"/>
            <w:bCs/>
            <w:noProof/>
          </w:rPr>
          <w:t>Figure 3</w:t>
        </w:r>
        <w:r w:rsidRPr="00097339">
          <w:rPr>
            <w:rStyle w:val="Hyperlink"/>
            <w:rFonts w:eastAsia="Calibri"/>
            <w:bCs/>
            <w:noProof/>
          </w:rPr>
          <w:noBreakHyphen/>
          <w:t>12: Transit capacity of the existing intra-Maghreb and Euro-Maghreb interconnections (source: COMELEC)</w:t>
        </w:r>
        <w:r>
          <w:rPr>
            <w:noProof/>
            <w:webHidden/>
          </w:rPr>
          <w:tab/>
        </w:r>
        <w:r>
          <w:rPr>
            <w:noProof/>
            <w:webHidden/>
          </w:rPr>
          <w:fldChar w:fldCharType="begin"/>
        </w:r>
        <w:r>
          <w:rPr>
            <w:noProof/>
            <w:webHidden/>
          </w:rPr>
          <w:instrText xml:space="preserve"> PAGEREF _Toc77260274 \h </w:instrText>
        </w:r>
        <w:r>
          <w:rPr>
            <w:noProof/>
            <w:webHidden/>
          </w:rPr>
        </w:r>
        <w:r>
          <w:rPr>
            <w:noProof/>
            <w:webHidden/>
          </w:rPr>
          <w:fldChar w:fldCharType="separate"/>
        </w:r>
        <w:r>
          <w:rPr>
            <w:noProof/>
            <w:webHidden/>
          </w:rPr>
          <w:t>37</w:t>
        </w:r>
        <w:r>
          <w:rPr>
            <w:noProof/>
            <w:webHidden/>
          </w:rPr>
          <w:fldChar w:fldCharType="end"/>
        </w:r>
      </w:hyperlink>
    </w:p>
    <w:p w14:paraId="6C1B7CA0" w14:textId="530F990E"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75" w:history="1">
        <w:r w:rsidRPr="00097339">
          <w:rPr>
            <w:rStyle w:val="Hyperlink"/>
            <w:rFonts w:eastAsia="Calibri"/>
            <w:bCs/>
            <w:noProof/>
          </w:rPr>
          <w:t>Figure 3</w:t>
        </w:r>
        <w:r w:rsidRPr="00097339">
          <w:rPr>
            <w:rStyle w:val="Hyperlink"/>
            <w:rFonts w:eastAsia="Calibri"/>
            <w:bCs/>
            <w:noProof/>
          </w:rPr>
          <w:noBreakHyphen/>
          <w:t>13: Development of cross-border trade over the intra-Maghreb interconnection (source: COMELEC)</w:t>
        </w:r>
        <w:r>
          <w:rPr>
            <w:noProof/>
            <w:webHidden/>
          </w:rPr>
          <w:tab/>
        </w:r>
        <w:r>
          <w:rPr>
            <w:noProof/>
            <w:webHidden/>
          </w:rPr>
          <w:fldChar w:fldCharType="begin"/>
        </w:r>
        <w:r>
          <w:rPr>
            <w:noProof/>
            <w:webHidden/>
          </w:rPr>
          <w:instrText xml:space="preserve"> PAGEREF _Toc77260275 \h </w:instrText>
        </w:r>
        <w:r>
          <w:rPr>
            <w:noProof/>
            <w:webHidden/>
          </w:rPr>
        </w:r>
        <w:r>
          <w:rPr>
            <w:noProof/>
            <w:webHidden/>
          </w:rPr>
          <w:fldChar w:fldCharType="separate"/>
        </w:r>
        <w:r>
          <w:rPr>
            <w:noProof/>
            <w:webHidden/>
          </w:rPr>
          <w:t>38</w:t>
        </w:r>
        <w:r>
          <w:rPr>
            <w:noProof/>
            <w:webHidden/>
          </w:rPr>
          <w:fldChar w:fldCharType="end"/>
        </w:r>
      </w:hyperlink>
    </w:p>
    <w:p w14:paraId="7588E881" w14:textId="39D9F4AF"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76" w:history="1">
        <w:r w:rsidRPr="00097339">
          <w:rPr>
            <w:rStyle w:val="Hyperlink"/>
            <w:rFonts w:eastAsia="Calibri"/>
            <w:bCs/>
            <w:noProof/>
          </w:rPr>
          <w:t>Figure 3</w:t>
        </w:r>
        <w:r w:rsidRPr="00097339">
          <w:rPr>
            <w:rStyle w:val="Hyperlink"/>
            <w:rFonts w:eastAsia="Calibri"/>
            <w:bCs/>
            <w:noProof/>
          </w:rPr>
          <w:noBreakHyphen/>
          <w:t>14: Future development of the intra-Maghreb and Euro-Maghreb interconnections (source: COMELEC)</w:t>
        </w:r>
        <w:r>
          <w:rPr>
            <w:noProof/>
            <w:webHidden/>
          </w:rPr>
          <w:tab/>
        </w:r>
        <w:r>
          <w:rPr>
            <w:noProof/>
            <w:webHidden/>
          </w:rPr>
          <w:fldChar w:fldCharType="begin"/>
        </w:r>
        <w:r>
          <w:rPr>
            <w:noProof/>
            <w:webHidden/>
          </w:rPr>
          <w:instrText xml:space="preserve"> PAGEREF _Toc77260276 \h </w:instrText>
        </w:r>
        <w:r>
          <w:rPr>
            <w:noProof/>
            <w:webHidden/>
          </w:rPr>
        </w:r>
        <w:r>
          <w:rPr>
            <w:noProof/>
            <w:webHidden/>
          </w:rPr>
          <w:fldChar w:fldCharType="separate"/>
        </w:r>
        <w:r>
          <w:rPr>
            <w:noProof/>
            <w:webHidden/>
          </w:rPr>
          <w:t>38</w:t>
        </w:r>
        <w:r>
          <w:rPr>
            <w:noProof/>
            <w:webHidden/>
          </w:rPr>
          <w:fldChar w:fldCharType="end"/>
        </w:r>
      </w:hyperlink>
    </w:p>
    <w:p w14:paraId="204C89BD" w14:textId="17814023" w:rsidR="006273BD" w:rsidRDefault="006273BD">
      <w:pPr>
        <w:pStyle w:val="TableofFigures"/>
        <w:tabs>
          <w:tab w:val="right" w:leader="dot" w:pos="9202"/>
        </w:tabs>
        <w:rPr>
          <w:rFonts w:asciiTheme="minorHAnsi" w:eastAsiaTheme="minorEastAsia" w:hAnsiTheme="minorHAnsi" w:cstheme="minorBidi"/>
          <w:noProof/>
          <w:sz w:val="22"/>
          <w:szCs w:val="22"/>
          <w:lang w:val="en-US"/>
        </w:rPr>
      </w:pPr>
      <w:hyperlink w:anchor="_Toc77260277" w:history="1">
        <w:r w:rsidRPr="00097339">
          <w:rPr>
            <w:rStyle w:val="Hyperlink"/>
            <w:rFonts w:eastAsia="Calibri"/>
            <w:bCs/>
            <w:noProof/>
          </w:rPr>
          <w:t>Figure 5</w:t>
        </w:r>
        <w:r w:rsidRPr="00097339">
          <w:rPr>
            <w:rStyle w:val="Hyperlink"/>
            <w:rFonts w:eastAsia="Calibri"/>
            <w:bCs/>
            <w:noProof/>
          </w:rPr>
          <w:noBreakHyphen/>
          <w:t>1: SAPP market concept (source: SAPP)</w:t>
        </w:r>
        <w:r>
          <w:rPr>
            <w:noProof/>
            <w:webHidden/>
          </w:rPr>
          <w:tab/>
        </w:r>
        <w:r>
          <w:rPr>
            <w:noProof/>
            <w:webHidden/>
          </w:rPr>
          <w:fldChar w:fldCharType="begin"/>
        </w:r>
        <w:r>
          <w:rPr>
            <w:noProof/>
            <w:webHidden/>
          </w:rPr>
          <w:instrText xml:space="preserve"> PAGEREF _Toc77260277 \h </w:instrText>
        </w:r>
        <w:r>
          <w:rPr>
            <w:noProof/>
            <w:webHidden/>
          </w:rPr>
        </w:r>
        <w:r>
          <w:rPr>
            <w:noProof/>
            <w:webHidden/>
          </w:rPr>
          <w:fldChar w:fldCharType="separate"/>
        </w:r>
        <w:r>
          <w:rPr>
            <w:noProof/>
            <w:webHidden/>
          </w:rPr>
          <w:t>55</w:t>
        </w:r>
        <w:r>
          <w:rPr>
            <w:noProof/>
            <w:webHidden/>
          </w:rPr>
          <w:fldChar w:fldCharType="end"/>
        </w:r>
      </w:hyperlink>
    </w:p>
    <w:p w14:paraId="3DFD577B" w14:textId="334CC84A" w:rsidR="004D634C" w:rsidRPr="00C632F6" w:rsidRDefault="0033113E" w:rsidP="00DD7C38">
      <w:pPr>
        <w:pStyle w:val="TableofFigures"/>
        <w:tabs>
          <w:tab w:val="right" w:leader="dot" w:pos="9202"/>
        </w:tabs>
        <w:rPr>
          <w:rFonts w:eastAsia="Calibri"/>
        </w:rPr>
      </w:pPr>
      <w:r w:rsidRPr="00654753">
        <w:rPr>
          <w:rStyle w:val="Hyperlink"/>
          <w:iCs/>
        </w:rPr>
        <w:fldChar w:fldCharType="end"/>
      </w:r>
      <w:bookmarkStart w:id="8" w:name="legebladzijdevoorinhoud"/>
      <w:bookmarkStart w:id="9" w:name="BijlagenInhoud"/>
      <w:bookmarkStart w:id="10" w:name="_Toc56533352"/>
      <w:bookmarkStart w:id="11" w:name="_Hlk56441636"/>
      <w:bookmarkStart w:id="12" w:name="_Hlk56430100"/>
      <w:bookmarkStart w:id="13" w:name="_Toc93819479"/>
      <w:bookmarkStart w:id="14" w:name="_Toc93898173"/>
      <w:bookmarkStart w:id="15" w:name="_Toc110659879"/>
      <w:bookmarkEnd w:id="8"/>
      <w:bookmarkEnd w:id="9"/>
    </w:p>
    <w:p w14:paraId="2B0E4B5D" w14:textId="77777777" w:rsidR="004D634C" w:rsidRPr="00316837" w:rsidRDefault="004D634C" w:rsidP="004D634C">
      <w:pPr>
        <w:rPr>
          <w:rFonts w:eastAsia="Calibri"/>
        </w:rPr>
        <w:sectPr w:rsidR="004D634C" w:rsidRPr="00316837" w:rsidSect="00A3058D">
          <w:pgSz w:w="11906" w:h="16838" w:code="9"/>
          <w:pgMar w:top="1560" w:right="1134" w:bottom="1276" w:left="1560" w:header="720" w:footer="567" w:gutter="0"/>
          <w:pgNumType w:fmt="lowerRoman"/>
          <w:cols w:sep="1" w:space="709"/>
        </w:sectPr>
      </w:pPr>
    </w:p>
    <w:p w14:paraId="2095405A" w14:textId="3FD4C731" w:rsidR="005C044F" w:rsidRPr="00316837" w:rsidRDefault="00C342E0" w:rsidP="00801B12">
      <w:pPr>
        <w:pStyle w:val="Heading1"/>
        <w:numPr>
          <w:ilvl w:val="0"/>
          <w:numId w:val="0"/>
        </w:numPr>
        <w:ind w:left="432"/>
        <w:rPr>
          <w:caps w:val="0"/>
        </w:rPr>
      </w:pPr>
      <w:bookmarkStart w:id="16" w:name="_Toc77260280"/>
      <w:r w:rsidRPr="00C632F6">
        <w:rPr>
          <w:caps w:val="0"/>
        </w:rPr>
        <w:lastRenderedPageBreak/>
        <w:t>Abbreviations</w:t>
      </w:r>
      <w:bookmarkEnd w:id="10"/>
      <w:bookmarkEnd w:id="16"/>
    </w:p>
    <w:bookmarkEnd w:id="11"/>
    <w:bookmarkEnd w:id="12"/>
    <w:p w14:paraId="264FF0C9" w14:textId="77777777" w:rsidR="001D4932" w:rsidRPr="00316837" w:rsidRDefault="001D4932" w:rsidP="00A21496">
      <w:pPr>
        <w:rPr>
          <w:lang w:eastAsia="en-ZA"/>
        </w:rPr>
      </w:pPr>
      <w:r w:rsidRPr="00316837">
        <w:rPr>
          <w:lang w:eastAsia="en-ZA"/>
        </w:rPr>
        <w:t>AfCFTA</w:t>
      </w:r>
      <w:r w:rsidRPr="00316837">
        <w:rPr>
          <w:lang w:eastAsia="en-ZA"/>
        </w:rPr>
        <w:tab/>
      </w:r>
      <w:r w:rsidRPr="00316837">
        <w:rPr>
          <w:lang w:eastAsia="en-ZA"/>
        </w:rPr>
        <w:tab/>
        <w:t xml:space="preserve">African Continental Free Trade Area </w:t>
      </w:r>
    </w:p>
    <w:p w14:paraId="63D51706" w14:textId="77777777" w:rsidR="001D4932" w:rsidRPr="00316837" w:rsidRDefault="001D4932" w:rsidP="0074334B">
      <w:pPr>
        <w:widowControl w:val="0"/>
      </w:pPr>
      <w:r w:rsidRPr="00316837">
        <w:t>AfDB</w:t>
      </w:r>
      <w:r w:rsidRPr="00316837">
        <w:tab/>
      </w:r>
      <w:r w:rsidRPr="00316837">
        <w:tab/>
        <w:t xml:space="preserve">African Development Bank </w:t>
      </w:r>
    </w:p>
    <w:p w14:paraId="00E13061" w14:textId="77777777" w:rsidR="001D4932" w:rsidRPr="00316837" w:rsidRDefault="001D4932" w:rsidP="0074334B">
      <w:pPr>
        <w:widowControl w:val="0"/>
      </w:pPr>
      <w:r w:rsidRPr="00316837">
        <w:t>AFSEC</w:t>
      </w:r>
      <w:r w:rsidRPr="00316837">
        <w:tab/>
      </w:r>
      <w:r w:rsidRPr="00316837">
        <w:tab/>
        <w:t xml:space="preserve">African Electrotechnical Standardisation Commission </w:t>
      </w:r>
    </w:p>
    <w:p w14:paraId="5A099BA1" w14:textId="77777777" w:rsidR="001D4932" w:rsidRPr="00316837" w:rsidRDefault="001D4932" w:rsidP="00A21496">
      <w:pPr>
        <w:rPr>
          <w:lang w:eastAsia="en-ZA"/>
        </w:rPr>
      </w:pPr>
      <w:r w:rsidRPr="00316837">
        <w:rPr>
          <w:lang w:eastAsia="en-ZA"/>
        </w:rPr>
        <w:t xml:space="preserve">AfSEM </w:t>
      </w:r>
      <w:r w:rsidRPr="00316837">
        <w:rPr>
          <w:lang w:eastAsia="en-ZA"/>
        </w:rPr>
        <w:tab/>
      </w:r>
      <w:r w:rsidRPr="00316837">
        <w:rPr>
          <w:lang w:eastAsia="en-ZA"/>
        </w:rPr>
        <w:tab/>
        <w:t xml:space="preserve">African Single Electricity Market </w:t>
      </w:r>
    </w:p>
    <w:p w14:paraId="3DA457A4" w14:textId="77777777" w:rsidR="001D4932" w:rsidRPr="00316837" w:rsidRDefault="001D4932" w:rsidP="0074334B">
      <w:pPr>
        <w:widowControl w:val="0"/>
      </w:pPr>
      <w:r w:rsidRPr="00316837">
        <w:t>AGC</w:t>
      </w:r>
      <w:r w:rsidRPr="00316837">
        <w:tab/>
      </w:r>
      <w:r w:rsidRPr="00316837">
        <w:tab/>
        <w:t xml:space="preserve">Automatic Generation Control </w:t>
      </w:r>
    </w:p>
    <w:p w14:paraId="64C2FFF3" w14:textId="77777777" w:rsidR="001D4932" w:rsidRPr="00316837" w:rsidRDefault="001D4932" w:rsidP="0074334B">
      <w:pPr>
        <w:widowControl w:val="0"/>
      </w:pPr>
      <w:r w:rsidRPr="00316837">
        <w:t>AMR</w:t>
      </w:r>
      <w:r w:rsidRPr="00316837">
        <w:tab/>
      </w:r>
      <w:r w:rsidRPr="00316837">
        <w:tab/>
        <w:t xml:space="preserve">Automated Meter Reading </w:t>
      </w:r>
    </w:p>
    <w:p w14:paraId="27E1F129" w14:textId="77777777" w:rsidR="001D4932" w:rsidRPr="00316837" w:rsidRDefault="001D4932" w:rsidP="0074334B">
      <w:pPr>
        <w:widowControl w:val="0"/>
      </w:pPr>
      <w:r w:rsidRPr="00316837">
        <w:t xml:space="preserve">AMU </w:t>
      </w:r>
      <w:r w:rsidRPr="00316837">
        <w:tab/>
      </w:r>
      <w:r w:rsidRPr="00316837">
        <w:tab/>
        <w:t xml:space="preserve">Arab Maghreb Union </w:t>
      </w:r>
    </w:p>
    <w:p w14:paraId="21ED6A3E" w14:textId="77777777" w:rsidR="001D4932" w:rsidRPr="00316837" w:rsidRDefault="001D4932" w:rsidP="0074334B">
      <w:pPr>
        <w:widowControl w:val="0"/>
      </w:pPr>
      <w:r w:rsidRPr="00316837">
        <w:t>APUA</w:t>
      </w:r>
      <w:r w:rsidRPr="00316837">
        <w:tab/>
      </w:r>
      <w:r w:rsidRPr="00316837">
        <w:tab/>
        <w:t xml:space="preserve">Association of Power Utilities in Africa </w:t>
      </w:r>
    </w:p>
    <w:p w14:paraId="2C1196C7" w14:textId="77777777" w:rsidR="001D4932" w:rsidRPr="00316837" w:rsidRDefault="001D4932" w:rsidP="0074334B">
      <w:pPr>
        <w:widowControl w:val="0"/>
      </w:pPr>
      <w:r w:rsidRPr="00316837">
        <w:t>ATC</w:t>
      </w:r>
      <w:r w:rsidRPr="00316837">
        <w:tab/>
      </w:r>
      <w:r w:rsidRPr="00316837">
        <w:tab/>
        <w:t xml:space="preserve">Available Transmission Capacity </w:t>
      </w:r>
    </w:p>
    <w:p w14:paraId="39D22A5C" w14:textId="77777777" w:rsidR="001D4932" w:rsidRPr="00316837" w:rsidRDefault="001D4932" w:rsidP="00A21496">
      <w:pPr>
        <w:rPr>
          <w:lang w:eastAsia="en-ZA"/>
        </w:rPr>
      </w:pPr>
      <w:r w:rsidRPr="00316837">
        <w:rPr>
          <w:lang w:eastAsia="en-ZA"/>
        </w:rPr>
        <w:t xml:space="preserve">AU </w:t>
      </w:r>
      <w:r w:rsidRPr="00316837">
        <w:rPr>
          <w:lang w:eastAsia="en-ZA"/>
        </w:rPr>
        <w:tab/>
      </w:r>
      <w:r w:rsidRPr="00316837">
        <w:rPr>
          <w:lang w:eastAsia="en-ZA"/>
        </w:rPr>
        <w:tab/>
      </w:r>
      <w:r w:rsidRPr="00316837">
        <w:rPr>
          <w:lang w:eastAsia="en-ZA"/>
        </w:rPr>
        <w:tab/>
        <w:t xml:space="preserve">African Union </w:t>
      </w:r>
    </w:p>
    <w:p w14:paraId="4EAFCBA3" w14:textId="77777777" w:rsidR="001D4932" w:rsidRPr="00316837" w:rsidRDefault="001D4932" w:rsidP="00A21496">
      <w:pPr>
        <w:rPr>
          <w:lang w:eastAsia="en-ZA"/>
        </w:rPr>
      </w:pPr>
      <w:r w:rsidRPr="00316837">
        <w:rPr>
          <w:lang w:eastAsia="en-ZA"/>
        </w:rPr>
        <w:t>AUC</w:t>
      </w:r>
      <w:r w:rsidRPr="00316837">
        <w:rPr>
          <w:lang w:eastAsia="en-ZA"/>
        </w:rPr>
        <w:tab/>
      </w:r>
      <w:r w:rsidRPr="00316837">
        <w:rPr>
          <w:lang w:eastAsia="en-ZA"/>
        </w:rPr>
        <w:tab/>
        <w:t xml:space="preserve">African Union Commission </w:t>
      </w:r>
    </w:p>
    <w:p w14:paraId="4923F93E" w14:textId="77777777" w:rsidR="001D4932" w:rsidRPr="00316837" w:rsidRDefault="001D4932" w:rsidP="0074334B">
      <w:pPr>
        <w:widowControl w:val="0"/>
      </w:pPr>
      <w:r w:rsidRPr="00316837">
        <w:t xml:space="preserve">AUDA </w:t>
      </w:r>
      <w:r w:rsidRPr="00316837">
        <w:tab/>
      </w:r>
      <w:r w:rsidRPr="00316837">
        <w:tab/>
        <w:t xml:space="preserve">African Union Development Agency </w:t>
      </w:r>
    </w:p>
    <w:p w14:paraId="041D8EE0" w14:textId="77777777" w:rsidR="001D4932" w:rsidRPr="00316837" w:rsidRDefault="001D4932" w:rsidP="0074334B">
      <w:pPr>
        <w:widowControl w:val="0"/>
      </w:pPr>
      <w:r w:rsidRPr="00316837">
        <w:t>CAPEX</w:t>
      </w:r>
      <w:r w:rsidRPr="00316837">
        <w:tab/>
      </w:r>
      <w:r w:rsidRPr="00316837">
        <w:tab/>
        <w:t xml:space="preserve">Capital Expenditures </w:t>
      </w:r>
    </w:p>
    <w:p w14:paraId="7CFEE88F" w14:textId="77777777" w:rsidR="001D4932" w:rsidRPr="00316837" w:rsidRDefault="001D4932" w:rsidP="00A21496">
      <w:pPr>
        <w:rPr>
          <w:lang w:eastAsia="en-ZA"/>
        </w:rPr>
      </w:pPr>
      <w:r w:rsidRPr="00316837">
        <w:rPr>
          <w:lang w:eastAsia="en-ZA"/>
        </w:rPr>
        <w:t xml:space="preserve">CAPP </w:t>
      </w:r>
      <w:r w:rsidRPr="00316837">
        <w:rPr>
          <w:lang w:eastAsia="en-ZA"/>
        </w:rPr>
        <w:tab/>
      </w:r>
      <w:r w:rsidRPr="00316837">
        <w:rPr>
          <w:lang w:eastAsia="en-ZA"/>
        </w:rPr>
        <w:tab/>
        <w:t xml:space="preserve">Central African Power Pool </w:t>
      </w:r>
    </w:p>
    <w:p w14:paraId="5A2CB733" w14:textId="77777777" w:rsidR="001D4932" w:rsidRPr="00316837" w:rsidRDefault="001D4932" w:rsidP="00A21496">
      <w:pPr>
        <w:rPr>
          <w:lang w:eastAsia="en-ZA"/>
        </w:rPr>
      </w:pPr>
      <w:r w:rsidRPr="00316837">
        <w:rPr>
          <w:lang w:eastAsia="en-ZA"/>
        </w:rPr>
        <w:t xml:space="preserve">COMELEC </w:t>
      </w:r>
      <w:r w:rsidRPr="00316837">
        <w:rPr>
          <w:lang w:eastAsia="en-ZA"/>
        </w:rPr>
        <w:tab/>
        <w:t xml:space="preserve">Comité Maghrébin de l'Electricité </w:t>
      </w:r>
    </w:p>
    <w:p w14:paraId="007D061C" w14:textId="77777777" w:rsidR="001D4932" w:rsidRPr="00316837" w:rsidRDefault="001D4932" w:rsidP="0074334B">
      <w:pPr>
        <w:widowControl w:val="0"/>
      </w:pPr>
      <w:r w:rsidRPr="00316837">
        <w:t>COMESA</w:t>
      </w:r>
      <w:r w:rsidRPr="00316837">
        <w:tab/>
        <w:t xml:space="preserve">Common Market for Eastern and Southern Africa </w:t>
      </w:r>
    </w:p>
    <w:p w14:paraId="576006D5" w14:textId="77777777" w:rsidR="001D4932" w:rsidRPr="00316837" w:rsidRDefault="001D4932" w:rsidP="00A21496">
      <w:pPr>
        <w:rPr>
          <w:lang w:eastAsia="en-ZA"/>
        </w:rPr>
      </w:pPr>
      <w:r w:rsidRPr="00316837">
        <w:rPr>
          <w:lang w:eastAsia="en-ZA"/>
        </w:rPr>
        <w:t>CREEE</w:t>
      </w:r>
      <w:r w:rsidRPr="00316837">
        <w:rPr>
          <w:lang w:eastAsia="en-ZA"/>
        </w:rPr>
        <w:tab/>
      </w:r>
      <w:r w:rsidRPr="00316837">
        <w:rPr>
          <w:lang w:eastAsia="en-ZA"/>
        </w:rPr>
        <w:tab/>
        <w:t xml:space="preserve">Centre for Renewable Energy and Energy Efficiency </w:t>
      </w:r>
    </w:p>
    <w:p w14:paraId="19F30F18" w14:textId="77777777" w:rsidR="001D4932" w:rsidRPr="00316837" w:rsidRDefault="001D4932" w:rsidP="00A21496">
      <w:pPr>
        <w:rPr>
          <w:lang w:eastAsia="en-ZA"/>
        </w:rPr>
      </w:pPr>
      <w:r w:rsidRPr="00316837">
        <w:rPr>
          <w:lang w:eastAsia="en-ZA"/>
        </w:rPr>
        <w:t>DAM</w:t>
      </w:r>
      <w:r w:rsidRPr="00316837">
        <w:rPr>
          <w:lang w:eastAsia="en-ZA"/>
        </w:rPr>
        <w:tab/>
      </w:r>
      <w:r w:rsidRPr="00316837">
        <w:rPr>
          <w:lang w:eastAsia="en-ZA"/>
        </w:rPr>
        <w:tab/>
        <w:t xml:space="preserve">Day-Ahead Market </w:t>
      </w:r>
    </w:p>
    <w:p w14:paraId="1C96D85F" w14:textId="77777777" w:rsidR="001D4932" w:rsidRPr="00316837" w:rsidRDefault="001D4932" w:rsidP="0074334B">
      <w:pPr>
        <w:widowControl w:val="0"/>
      </w:pPr>
      <w:r w:rsidRPr="00316837">
        <w:t xml:space="preserve">DER </w:t>
      </w:r>
      <w:r w:rsidRPr="00316837">
        <w:tab/>
      </w:r>
      <w:r w:rsidRPr="00316837">
        <w:tab/>
        <w:t xml:space="preserve">Distributed Energy Resources </w:t>
      </w:r>
    </w:p>
    <w:p w14:paraId="61F78761" w14:textId="77777777" w:rsidR="001D4932" w:rsidRPr="00316837" w:rsidRDefault="001D4932" w:rsidP="0074334B">
      <w:pPr>
        <w:widowControl w:val="0"/>
      </w:pPr>
      <w:r w:rsidRPr="00316837">
        <w:t>DES</w:t>
      </w:r>
      <w:r w:rsidRPr="00316837">
        <w:tab/>
      </w:r>
      <w:r w:rsidRPr="00316837">
        <w:tab/>
        <w:t xml:space="preserve">Distributed Energy Storage </w:t>
      </w:r>
    </w:p>
    <w:p w14:paraId="70119064" w14:textId="77777777" w:rsidR="001D4932" w:rsidRPr="00316837" w:rsidRDefault="001D4932" w:rsidP="0074334B">
      <w:pPr>
        <w:widowControl w:val="0"/>
      </w:pPr>
      <w:r w:rsidRPr="00316837">
        <w:t>DG</w:t>
      </w:r>
      <w:r w:rsidRPr="00316837">
        <w:tab/>
      </w:r>
      <w:r w:rsidRPr="00316837">
        <w:tab/>
      </w:r>
      <w:r w:rsidRPr="00316837">
        <w:tab/>
        <w:t xml:space="preserve">Distributed Generation </w:t>
      </w:r>
    </w:p>
    <w:p w14:paraId="6CDD4BB4" w14:textId="77777777" w:rsidR="001D4932" w:rsidRPr="00316837" w:rsidRDefault="001D4932" w:rsidP="00A21496">
      <w:pPr>
        <w:rPr>
          <w:lang w:eastAsia="en-ZA"/>
        </w:rPr>
      </w:pPr>
      <w:r w:rsidRPr="00316837">
        <w:rPr>
          <w:lang w:eastAsia="en-ZA"/>
        </w:rPr>
        <w:t xml:space="preserve">DIE </w:t>
      </w:r>
      <w:r w:rsidRPr="00316837">
        <w:rPr>
          <w:lang w:eastAsia="en-ZA"/>
        </w:rPr>
        <w:tab/>
      </w:r>
      <w:r w:rsidRPr="00316837">
        <w:rPr>
          <w:lang w:eastAsia="en-ZA"/>
        </w:rPr>
        <w:tab/>
        <w:t xml:space="preserve">Department of Infrastructure and Energy </w:t>
      </w:r>
    </w:p>
    <w:p w14:paraId="00AE3081" w14:textId="77777777" w:rsidR="001D4932" w:rsidRPr="00316837" w:rsidRDefault="001D4932" w:rsidP="0074334B">
      <w:pPr>
        <w:widowControl w:val="0"/>
      </w:pPr>
      <w:r w:rsidRPr="00316837">
        <w:t>DMS</w:t>
      </w:r>
      <w:r w:rsidRPr="00316837">
        <w:tab/>
      </w:r>
      <w:r w:rsidRPr="00316837">
        <w:tab/>
        <w:t xml:space="preserve">Distribution Management System </w:t>
      </w:r>
    </w:p>
    <w:p w14:paraId="35877EEF" w14:textId="77777777" w:rsidR="001D4932" w:rsidRPr="00316837" w:rsidRDefault="001D4932" w:rsidP="00A21496">
      <w:pPr>
        <w:rPr>
          <w:lang w:eastAsia="en-ZA"/>
        </w:rPr>
      </w:pPr>
      <w:r w:rsidRPr="00316837">
        <w:rPr>
          <w:lang w:eastAsia="en-ZA"/>
        </w:rPr>
        <w:t>DSM</w:t>
      </w:r>
      <w:r w:rsidRPr="00316837">
        <w:rPr>
          <w:lang w:eastAsia="en-ZA"/>
        </w:rPr>
        <w:tab/>
      </w:r>
      <w:r w:rsidRPr="00316837">
        <w:rPr>
          <w:lang w:eastAsia="en-ZA"/>
        </w:rPr>
        <w:tab/>
        <w:t xml:space="preserve">Demand Side Management </w:t>
      </w:r>
    </w:p>
    <w:p w14:paraId="2A1D67E6" w14:textId="77777777" w:rsidR="001D4932" w:rsidRPr="00316837" w:rsidRDefault="001D4932" w:rsidP="00A21496">
      <w:pPr>
        <w:rPr>
          <w:lang w:eastAsia="en-ZA"/>
        </w:rPr>
      </w:pPr>
      <w:r w:rsidRPr="00316837">
        <w:rPr>
          <w:lang w:eastAsia="en-ZA"/>
        </w:rPr>
        <w:t>DSO</w:t>
      </w:r>
      <w:r w:rsidRPr="00316837">
        <w:rPr>
          <w:lang w:eastAsia="en-ZA"/>
        </w:rPr>
        <w:tab/>
      </w:r>
      <w:r w:rsidRPr="00316837">
        <w:rPr>
          <w:lang w:eastAsia="en-ZA"/>
        </w:rPr>
        <w:tab/>
        <w:t xml:space="preserve">Distribution System Operator </w:t>
      </w:r>
    </w:p>
    <w:p w14:paraId="4527B606" w14:textId="77777777" w:rsidR="001D4932" w:rsidRPr="00316837" w:rsidRDefault="001D4932" w:rsidP="0074334B">
      <w:pPr>
        <w:widowControl w:val="0"/>
      </w:pPr>
      <w:r w:rsidRPr="00316837">
        <w:t>EAC</w:t>
      </w:r>
      <w:r w:rsidRPr="00316837">
        <w:tab/>
      </w:r>
      <w:r w:rsidRPr="00316837">
        <w:tab/>
        <w:t xml:space="preserve">East African Community </w:t>
      </w:r>
    </w:p>
    <w:p w14:paraId="1F7EEB5C" w14:textId="77777777" w:rsidR="001D4932" w:rsidRPr="00316837" w:rsidRDefault="001D4932" w:rsidP="00A21496">
      <w:pPr>
        <w:rPr>
          <w:lang w:eastAsia="en-ZA"/>
        </w:rPr>
      </w:pPr>
      <w:r w:rsidRPr="00316837">
        <w:rPr>
          <w:lang w:eastAsia="en-ZA"/>
        </w:rPr>
        <w:t>EAPP</w:t>
      </w:r>
      <w:r w:rsidRPr="00316837">
        <w:rPr>
          <w:lang w:eastAsia="en-ZA"/>
        </w:rPr>
        <w:tab/>
      </w:r>
      <w:r w:rsidRPr="00316837">
        <w:rPr>
          <w:lang w:eastAsia="en-ZA"/>
        </w:rPr>
        <w:tab/>
        <w:t xml:space="preserve">Eastern Africa Power Pool </w:t>
      </w:r>
    </w:p>
    <w:p w14:paraId="6317E077" w14:textId="77777777" w:rsidR="001D4932" w:rsidRPr="00316837" w:rsidRDefault="001D4932" w:rsidP="0074334B">
      <w:pPr>
        <w:widowControl w:val="0"/>
      </w:pPr>
      <w:r w:rsidRPr="00316837">
        <w:t>ECCAS</w:t>
      </w:r>
      <w:r w:rsidRPr="00316837">
        <w:tab/>
      </w:r>
      <w:r w:rsidRPr="00316837">
        <w:tab/>
        <w:t xml:space="preserve">Economic Community of Central African States </w:t>
      </w:r>
    </w:p>
    <w:p w14:paraId="260B3057" w14:textId="77777777" w:rsidR="001D4932" w:rsidRPr="00316837" w:rsidRDefault="001D4932" w:rsidP="00A21496">
      <w:pPr>
        <w:rPr>
          <w:lang w:eastAsia="en-ZA"/>
        </w:rPr>
      </w:pPr>
      <w:r w:rsidRPr="00316837">
        <w:rPr>
          <w:lang w:eastAsia="en-ZA"/>
        </w:rPr>
        <w:t>ECOWAS</w:t>
      </w:r>
      <w:r w:rsidRPr="00316837">
        <w:rPr>
          <w:lang w:eastAsia="en-ZA"/>
        </w:rPr>
        <w:tab/>
        <w:t xml:space="preserve">Economic Community of West African States </w:t>
      </w:r>
    </w:p>
    <w:p w14:paraId="164A3DCB" w14:textId="77777777" w:rsidR="001D4932" w:rsidRPr="00316837" w:rsidRDefault="001D4932" w:rsidP="00A21496">
      <w:pPr>
        <w:rPr>
          <w:lang w:eastAsia="en-ZA"/>
        </w:rPr>
      </w:pPr>
      <w:r w:rsidRPr="00316837">
        <w:rPr>
          <w:lang w:eastAsia="en-ZA"/>
        </w:rPr>
        <w:t>ED</w:t>
      </w:r>
      <w:r w:rsidRPr="00316837">
        <w:rPr>
          <w:lang w:eastAsia="en-ZA"/>
        </w:rPr>
        <w:tab/>
      </w:r>
      <w:r w:rsidRPr="00316837">
        <w:rPr>
          <w:lang w:eastAsia="en-ZA"/>
        </w:rPr>
        <w:tab/>
      </w:r>
      <w:r w:rsidRPr="00316837">
        <w:rPr>
          <w:lang w:eastAsia="en-ZA"/>
        </w:rPr>
        <w:tab/>
        <w:t xml:space="preserve">Energy Division </w:t>
      </w:r>
    </w:p>
    <w:p w14:paraId="39315376" w14:textId="77777777" w:rsidR="001D4932" w:rsidRPr="00316837" w:rsidRDefault="001D4932" w:rsidP="0074334B">
      <w:pPr>
        <w:widowControl w:val="0"/>
      </w:pPr>
      <w:r w:rsidRPr="00316837">
        <w:lastRenderedPageBreak/>
        <w:t xml:space="preserve">ELTAM </w:t>
      </w:r>
      <w:r w:rsidRPr="00316837">
        <w:tab/>
        <w:t xml:space="preserve">Egypt-Libya-Tunisia-Algeria-Morocco </w:t>
      </w:r>
    </w:p>
    <w:p w14:paraId="345BB0FB" w14:textId="77777777" w:rsidR="001D4932" w:rsidRPr="00316837" w:rsidRDefault="001D4932" w:rsidP="00A21496">
      <w:pPr>
        <w:rPr>
          <w:lang w:eastAsia="en-ZA"/>
        </w:rPr>
      </w:pPr>
      <w:r w:rsidRPr="00316837">
        <w:rPr>
          <w:lang w:eastAsia="en-ZA"/>
        </w:rPr>
        <w:t>EMS</w:t>
      </w:r>
      <w:r w:rsidRPr="00316837">
        <w:rPr>
          <w:lang w:eastAsia="en-ZA"/>
        </w:rPr>
        <w:tab/>
      </w:r>
      <w:r w:rsidRPr="00316837">
        <w:rPr>
          <w:lang w:eastAsia="en-ZA"/>
        </w:rPr>
        <w:tab/>
        <w:t xml:space="preserve">Energy Management System </w:t>
      </w:r>
    </w:p>
    <w:p w14:paraId="3CA1623A" w14:textId="77777777" w:rsidR="001D4932" w:rsidRPr="00316837" w:rsidRDefault="001D4932" w:rsidP="00A21496">
      <w:pPr>
        <w:rPr>
          <w:lang w:eastAsia="en-ZA"/>
        </w:rPr>
      </w:pPr>
      <w:r w:rsidRPr="00316837">
        <w:rPr>
          <w:lang w:eastAsia="en-ZA"/>
        </w:rPr>
        <w:t xml:space="preserve">ERERA </w:t>
      </w:r>
      <w:r w:rsidRPr="00316837">
        <w:rPr>
          <w:lang w:eastAsia="en-ZA"/>
        </w:rPr>
        <w:tab/>
        <w:t xml:space="preserve">ECOWAS Regional Electricity Regulatory Authority </w:t>
      </w:r>
    </w:p>
    <w:p w14:paraId="16422B22" w14:textId="77777777" w:rsidR="001D4932" w:rsidRPr="00316837" w:rsidRDefault="001D4932" w:rsidP="00A21496">
      <w:pPr>
        <w:rPr>
          <w:lang w:eastAsia="en-ZA"/>
        </w:rPr>
      </w:pPr>
      <w:r w:rsidRPr="00316837">
        <w:rPr>
          <w:lang w:eastAsia="en-ZA"/>
        </w:rPr>
        <w:t xml:space="preserve">EU </w:t>
      </w:r>
      <w:r w:rsidRPr="00316837">
        <w:rPr>
          <w:lang w:eastAsia="en-ZA"/>
        </w:rPr>
        <w:tab/>
      </w:r>
      <w:r w:rsidRPr="00316837">
        <w:rPr>
          <w:lang w:eastAsia="en-ZA"/>
        </w:rPr>
        <w:tab/>
      </w:r>
      <w:r w:rsidRPr="00316837">
        <w:rPr>
          <w:lang w:eastAsia="en-ZA"/>
        </w:rPr>
        <w:tab/>
        <w:t xml:space="preserve">European Union </w:t>
      </w:r>
    </w:p>
    <w:p w14:paraId="037D6596" w14:textId="77777777" w:rsidR="001D4932" w:rsidRPr="00316837" w:rsidRDefault="001D4932" w:rsidP="0074334B">
      <w:pPr>
        <w:widowControl w:val="0"/>
      </w:pPr>
      <w:r w:rsidRPr="00316837">
        <w:t>EURELECTRIC</w:t>
      </w:r>
      <w:r w:rsidRPr="00316837">
        <w:tab/>
      </w:r>
      <w:r w:rsidRPr="00316837">
        <w:tab/>
        <w:t>Association of the Electricity Industry in Europe</w:t>
      </w:r>
    </w:p>
    <w:p w14:paraId="7CAEE1BD" w14:textId="77777777" w:rsidR="001D4932" w:rsidRPr="00316837" w:rsidRDefault="001D4932" w:rsidP="00A21496">
      <w:pPr>
        <w:rPr>
          <w:lang w:eastAsia="en-ZA"/>
        </w:rPr>
      </w:pPr>
      <w:r w:rsidRPr="00316837">
        <w:rPr>
          <w:lang w:eastAsia="en-ZA"/>
        </w:rPr>
        <w:t>FPM</w:t>
      </w:r>
      <w:r w:rsidRPr="00316837">
        <w:rPr>
          <w:lang w:eastAsia="en-ZA"/>
        </w:rPr>
        <w:tab/>
      </w:r>
      <w:r w:rsidRPr="00316837">
        <w:rPr>
          <w:lang w:eastAsia="en-ZA"/>
        </w:rPr>
        <w:tab/>
        <w:t xml:space="preserve">Forward Physical Market </w:t>
      </w:r>
    </w:p>
    <w:p w14:paraId="5C16FCFB" w14:textId="77777777" w:rsidR="001D4932" w:rsidRPr="00316837" w:rsidRDefault="001D4932" w:rsidP="00A21496">
      <w:pPr>
        <w:rPr>
          <w:lang w:eastAsia="en-ZA"/>
        </w:rPr>
      </w:pPr>
      <w:r w:rsidRPr="00316837">
        <w:rPr>
          <w:lang w:eastAsia="en-ZA"/>
        </w:rPr>
        <w:t>HPP</w:t>
      </w:r>
      <w:r w:rsidRPr="00316837">
        <w:rPr>
          <w:lang w:eastAsia="en-ZA"/>
        </w:rPr>
        <w:tab/>
      </w:r>
      <w:r w:rsidRPr="00316837">
        <w:rPr>
          <w:lang w:eastAsia="en-ZA"/>
        </w:rPr>
        <w:tab/>
        <w:t xml:space="preserve">Hydro Power Plant </w:t>
      </w:r>
    </w:p>
    <w:p w14:paraId="78F4039E" w14:textId="77777777" w:rsidR="001D4932" w:rsidRPr="00316837" w:rsidRDefault="001D4932" w:rsidP="00A21496">
      <w:pPr>
        <w:rPr>
          <w:lang w:eastAsia="en-ZA"/>
        </w:rPr>
      </w:pPr>
      <w:r w:rsidRPr="00316837">
        <w:rPr>
          <w:lang w:eastAsia="en-ZA"/>
        </w:rPr>
        <w:t>HVAC</w:t>
      </w:r>
      <w:r w:rsidRPr="00316837">
        <w:rPr>
          <w:lang w:eastAsia="en-ZA"/>
        </w:rPr>
        <w:tab/>
      </w:r>
      <w:r w:rsidRPr="00316837">
        <w:rPr>
          <w:lang w:eastAsia="en-ZA"/>
        </w:rPr>
        <w:tab/>
        <w:t xml:space="preserve">High-Voltage Alternate Current </w:t>
      </w:r>
    </w:p>
    <w:p w14:paraId="443BCDD1" w14:textId="77777777" w:rsidR="001D4932" w:rsidRPr="00316837" w:rsidRDefault="001D4932" w:rsidP="00A21496">
      <w:pPr>
        <w:rPr>
          <w:lang w:eastAsia="en-ZA"/>
        </w:rPr>
      </w:pPr>
      <w:r w:rsidRPr="00316837">
        <w:rPr>
          <w:lang w:eastAsia="en-ZA"/>
        </w:rPr>
        <w:t>HVDC</w:t>
      </w:r>
      <w:r w:rsidRPr="00316837">
        <w:rPr>
          <w:lang w:eastAsia="en-ZA"/>
        </w:rPr>
        <w:tab/>
      </w:r>
      <w:r w:rsidRPr="00316837">
        <w:rPr>
          <w:lang w:eastAsia="en-ZA"/>
        </w:rPr>
        <w:tab/>
        <w:t xml:space="preserve">High-Voltage Direct Current </w:t>
      </w:r>
    </w:p>
    <w:p w14:paraId="4553A9DC" w14:textId="77777777" w:rsidR="001D4932" w:rsidRPr="00316837" w:rsidRDefault="001D4932" w:rsidP="0074334B">
      <w:pPr>
        <w:widowControl w:val="0"/>
      </w:pPr>
      <w:r w:rsidRPr="00316837">
        <w:t>IC</w:t>
      </w:r>
      <w:r w:rsidRPr="00316837">
        <w:tab/>
      </w:r>
      <w:r w:rsidRPr="00316837">
        <w:tab/>
      </w:r>
      <w:r w:rsidRPr="00316837">
        <w:tab/>
        <w:t xml:space="preserve">Information and Communication </w:t>
      </w:r>
    </w:p>
    <w:p w14:paraId="35A83C15" w14:textId="77777777" w:rsidR="001D4932" w:rsidRPr="00316837" w:rsidRDefault="001D4932" w:rsidP="0074334B">
      <w:pPr>
        <w:widowControl w:val="0"/>
      </w:pPr>
      <w:r w:rsidRPr="00316837">
        <w:t>ICC</w:t>
      </w:r>
      <w:r w:rsidRPr="00316837">
        <w:tab/>
      </w:r>
      <w:r w:rsidRPr="00316837">
        <w:tab/>
      </w:r>
      <w:r w:rsidRPr="00316837">
        <w:tab/>
        <w:t xml:space="preserve">Information and Coordination Centre </w:t>
      </w:r>
    </w:p>
    <w:p w14:paraId="1215BF55" w14:textId="77777777" w:rsidR="001D4932" w:rsidRPr="00316837" w:rsidRDefault="001D4932" w:rsidP="00A21496">
      <w:pPr>
        <w:rPr>
          <w:lang w:eastAsia="en-ZA"/>
        </w:rPr>
      </w:pPr>
      <w:r w:rsidRPr="00316837">
        <w:rPr>
          <w:lang w:eastAsia="en-ZA"/>
        </w:rPr>
        <w:t>ICT</w:t>
      </w:r>
      <w:r w:rsidRPr="00316837">
        <w:rPr>
          <w:lang w:eastAsia="en-ZA"/>
        </w:rPr>
        <w:tab/>
      </w:r>
      <w:r w:rsidRPr="00316837">
        <w:rPr>
          <w:lang w:eastAsia="en-ZA"/>
        </w:rPr>
        <w:tab/>
      </w:r>
      <w:r w:rsidRPr="00316837">
        <w:rPr>
          <w:lang w:eastAsia="en-ZA"/>
        </w:rPr>
        <w:tab/>
        <w:t xml:space="preserve">Information and Communication Technology </w:t>
      </w:r>
    </w:p>
    <w:p w14:paraId="6759E137" w14:textId="77777777" w:rsidR="001D4932" w:rsidRPr="00316837" w:rsidRDefault="001D4932" w:rsidP="0074334B">
      <w:pPr>
        <w:widowControl w:val="0"/>
      </w:pPr>
      <w:r w:rsidRPr="00316837">
        <w:t>IDA</w:t>
      </w:r>
      <w:r w:rsidRPr="00316837">
        <w:tab/>
      </w:r>
      <w:r w:rsidRPr="00316837">
        <w:tab/>
      </w:r>
      <w:r w:rsidRPr="00316837">
        <w:tab/>
        <w:t xml:space="preserve">International Development Association </w:t>
      </w:r>
    </w:p>
    <w:p w14:paraId="7E21E3CD" w14:textId="77777777" w:rsidR="001D4932" w:rsidRPr="00316837" w:rsidRDefault="001D4932" w:rsidP="00A21496">
      <w:pPr>
        <w:rPr>
          <w:lang w:eastAsia="en-ZA"/>
        </w:rPr>
      </w:pPr>
      <w:r w:rsidRPr="00316837">
        <w:rPr>
          <w:lang w:eastAsia="en-ZA"/>
        </w:rPr>
        <w:t>IDM</w:t>
      </w:r>
      <w:r w:rsidRPr="00316837">
        <w:rPr>
          <w:lang w:eastAsia="en-ZA"/>
        </w:rPr>
        <w:tab/>
      </w:r>
      <w:r w:rsidRPr="00316837">
        <w:rPr>
          <w:lang w:eastAsia="en-ZA"/>
        </w:rPr>
        <w:tab/>
        <w:t xml:space="preserve">Intraday Market </w:t>
      </w:r>
    </w:p>
    <w:p w14:paraId="752D3418" w14:textId="77777777" w:rsidR="001D4932" w:rsidRPr="00316837" w:rsidRDefault="001D4932" w:rsidP="0074334B">
      <w:pPr>
        <w:widowControl w:val="0"/>
      </w:pPr>
      <w:r w:rsidRPr="00316837">
        <w:t>IEC</w:t>
      </w:r>
      <w:r w:rsidRPr="00316837">
        <w:tab/>
      </w:r>
      <w:r w:rsidRPr="00316837">
        <w:tab/>
      </w:r>
      <w:r w:rsidRPr="00316837">
        <w:tab/>
        <w:t xml:space="preserve">International Electrotechnical Commission </w:t>
      </w:r>
    </w:p>
    <w:p w14:paraId="62346A0A" w14:textId="77777777" w:rsidR="001D4932" w:rsidRPr="00316837" w:rsidRDefault="001D4932" w:rsidP="0074334B">
      <w:pPr>
        <w:widowControl w:val="0"/>
      </w:pPr>
      <w:r w:rsidRPr="00316837">
        <w:t>IEEE</w:t>
      </w:r>
      <w:r w:rsidRPr="00316837">
        <w:tab/>
      </w:r>
      <w:r w:rsidRPr="00316837">
        <w:tab/>
        <w:t xml:space="preserve">Institute of Electrical and Electronics Engineers </w:t>
      </w:r>
    </w:p>
    <w:p w14:paraId="0FD4DC13" w14:textId="77777777" w:rsidR="001D4932" w:rsidRPr="00316837" w:rsidRDefault="001D4932" w:rsidP="00A21496">
      <w:pPr>
        <w:rPr>
          <w:lang w:eastAsia="en-ZA"/>
        </w:rPr>
      </w:pPr>
      <w:r w:rsidRPr="00316837">
        <w:rPr>
          <w:lang w:eastAsia="en-ZA"/>
        </w:rPr>
        <w:t>IPP</w:t>
      </w:r>
      <w:r w:rsidRPr="00316837">
        <w:rPr>
          <w:lang w:eastAsia="en-ZA"/>
        </w:rPr>
        <w:tab/>
      </w:r>
      <w:r w:rsidRPr="00316837">
        <w:rPr>
          <w:lang w:eastAsia="en-ZA"/>
        </w:rPr>
        <w:tab/>
      </w:r>
      <w:r w:rsidRPr="00316837">
        <w:rPr>
          <w:lang w:eastAsia="en-ZA"/>
        </w:rPr>
        <w:tab/>
        <w:t xml:space="preserve">Independent Power Producer </w:t>
      </w:r>
    </w:p>
    <w:p w14:paraId="740B8197" w14:textId="77777777" w:rsidR="001D4932" w:rsidRPr="00316837" w:rsidRDefault="001D4932" w:rsidP="0074334B">
      <w:pPr>
        <w:widowControl w:val="0"/>
      </w:pPr>
      <w:r w:rsidRPr="00316837">
        <w:t>IRB</w:t>
      </w:r>
      <w:r w:rsidRPr="00316837">
        <w:tab/>
      </w:r>
      <w:r w:rsidRPr="00316837">
        <w:tab/>
      </w:r>
      <w:r w:rsidRPr="00316837">
        <w:tab/>
        <w:t xml:space="preserve">Independent Regulatory Board </w:t>
      </w:r>
    </w:p>
    <w:p w14:paraId="78778300" w14:textId="77777777" w:rsidR="001D4932" w:rsidRPr="00316837" w:rsidRDefault="001D4932" w:rsidP="0074334B">
      <w:pPr>
        <w:widowControl w:val="0"/>
      </w:pPr>
      <w:r w:rsidRPr="00316837">
        <w:t>IRENA</w:t>
      </w:r>
      <w:r w:rsidRPr="00316837">
        <w:tab/>
      </w:r>
      <w:r w:rsidRPr="00316837">
        <w:tab/>
        <w:t xml:space="preserve">International Renewable Energy Agency </w:t>
      </w:r>
    </w:p>
    <w:p w14:paraId="1BE98EAA" w14:textId="77777777" w:rsidR="001D4932" w:rsidRPr="00316837" w:rsidRDefault="001D4932" w:rsidP="0074334B">
      <w:pPr>
        <w:widowControl w:val="0"/>
      </w:pPr>
      <w:r w:rsidRPr="00316837">
        <w:t>ISO</w:t>
      </w:r>
      <w:r w:rsidRPr="00316837">
        <w:tab/>
      </w:r>
      <w:r w:rsidRPr="00316837">
        <w:tab/>
      </w:r>
      <w:r w:rsidRPr="00316837">
        <w:tab/>
        <w:t xml:space="preserve">Independent System Operator </w:t>
      </w:r>
    </w:p>
    <w:p w14:paraId="6A12C661" w14:textId="77777777" w:rsidR="001D4932" w:rsidRPr="00316837" w:rsidRDefault="001D4932" w:rsidP="0074334B">
      <w:pPr>
        <w:widowControl w:val="0"/>
      </w:pPr>
      <w:r w:rsidRPr="00316837">
        <w:t>ITO</w:t>
      </w:r>
      <w:r w:rsidRPr="00316837">
        <w:tab/>
      </w:r>
      <w:r w:rsidRPr="00316837">
        <w:tab/>
      </w:r>
      <w:r w:rsidRPr="00316837">
        <w:tab/>
        <w:t xml:space="preserve">Independent Transmission Operator </w:t>
      </w:r>
    </w:p>
    <w:p w14:paraId="6D516109" w14:textId="77777777" w:rsidR="001D4932" w:rsidRPr="00316837" w:rsidRDefault="001D4932" w:rsidP="0074334B">
      <w:pPr>
        <w:widowControl w:val="0"/>
      </w:pPr>
      <w:r w:rsidRPr="00316837">
        <w:t>LTN</w:t>
      </w:r>
      <w:r w:rsidRPr="00316837">
        <w:tab/>
      </w:r>
      <w:r w:rsidRPr="00316837">
        <w:tab/>
        <w:t>Long-Term Nominations</w:t>
      </w:r>
    </w:p>
    <w:p w14:paraId="66048264" w14:textId="77777777" w:rsidR="001D4932" w:rsidRPr="00316837" w:rsidRDefault="001D4932" w:rsidP="0074334B">
      <w:pPr>
        <w:widowControl w:val="0"/>
      </w:pPr>
      <w:r w:rsidRPr="00316837">
        <w:t>MEDELEC</w:t>
      </w:r>
      <w:r w:rsidRPr="00316837">
        <w:tab/>
        <w:t xml:space="preserve">Liaison Committee between associations of electricity companies </w:t>
      </w:r>
    </w:p>
    <w:p w14:paraId="560B145D" w14:textId="77777777" w:rsidR="001D4932" w:rsidRPr="00316837" w:rsidRDefault="001D4932" w:rsidP="0074334B">
      <w:pPr>
        <w:widowControl w:val="0"/>
      </w:pPr>
      <w:r w:rsidRPr="00316837">
        <w:t>MEDREG</w:t>
      </w:r>
      <w:r w:rsidRPr="00316837">
        <w:tab/>
        <w:t xml:space="preserve">Mediterranean Regulators Organisation </w:t>
      </w:r>
    </w:p>
    <w:p w14:paraId="02190C0E" w14:textId="77777777" w:rsidR="001D4932" w:rsidRPr="00316837" w:rsidRDefault="001D4932" w:rsidP="0074334B">
      <w:pPr>
        <w:widowControl w:val="0"/>
      </w:pPr>
      <w:r w:rsidRPr="00316837">
        <w:t>Med-TSO</w:t>
      </w:r>
      <w:r w:rsidRPr="00316837">
        <w:tab/>
        <w:t xml:space="preserve">Mediterranean TSO Organisation </w:t>
      </w:r>
    </w:p>
    <w:p w14:paraId="15F02784" w14:textId="77777777" w:rsidR="001D4932" w:rsidRPr="00316837" w:rsidRDefault="001D4932" w:rsidP="00A21496">
      <w:pPr>
        <w:rPr>
          <w:lang w:eastAsia="en-ZA"/>
        </w:rPr>
      </w:pPr>
      <w:r w:rsidRPr="00316837">
        <w:rPr>
          <w:lang w:eastAsia="en-ZA"/>
        </w:rPr>
        <w:t>MMS</w:t>
      </w:r>
      <w:r w:rsidRPr="00316837">
        <w:rPr>
          <w:lang w:eastAsia="en-ZA"/>
        </w:rPr>
        <w:tab/>
      </w:r>
      <w:r w:rsidRPr="00316837">
        <w:rPr>
          <w:lang w:eastAsia="en-ZA"/>
        </w:rPr>
        <w:tab/>
        <w:t xml:space="preserve">Market Management System </w:t>
      </w:r>
    </w:p>
    <w:p w14:paraId="3928AFCC" w14:textId="77777777" w:rsidR="001D4932" w:rsidRPr="00316837" w:rsidRDefault="001D4932" w:rsidP="0074334B">
      <w:pPr>
        <w:widowControl w:val="0"/>
      </w:pPr>
      <w:r w:rsidRPr="00316837">
        <w:t>NEPAD</w:t>
      </w:r>
      <w:r w:rsidRPr="00316837">
        <w:tab/>
      </w:r>
      <w:r w:rsidRPr="00316837">
        <w:tab/>
        <w:t xml:space="preserve">New Partnership for Africa's Development </w:t>
      </w:r>
    </w:p>
    <w:p w14:paraId="68ED0278" w14:textId="77777777" w:rsidR="001D4932" w:rsidRPr="00316837" w:rsidRDefault="001D4932" w:rsidP="0074334B">
      <w:pPr>
        <w:widowControl w:val="0"/>
      </w:pPr>
      <w:r w:rsidRPr="00316837">
        <w:t>NERC</w:t>
      </w:r>
      <w:r w:rsidRPr="00316837">
        <w:tab/>
      </w:r>
      <w:r w:rsidRPr="00316837">
        <w:tab/>
        <w:t xml:space="preserve">Nigerian Electricity Regulatory Commission </w:t>
      </w:r>
    </w:p>
    <w:p w14:paraId="67849BDE" w14:textId="77777777" w:rsidR="001D4932" w:rsidRPr="00316837" w:rsidRDefault="001D4932" w:rsidP="00A21496">
      <w:pPr>
        <w:rPr>
          <w:lang w:eastAsia="en-ZA"/>
        </w:rPr>
      </w:pPr>
      <w:r w:rsidRPr="00316837">
        <w:rPr>
          <w:lang w:eastAsia="en-ZA"/>
        </w:rPr>
        <w:t>NKE</w:t>
      </w:r>
      <w:r w:rsidRPr="00316837">
        <w:rPr>
          <w:lang w:eastAsia="en-ZA"/>
        </w:rPr>
        <w:tab/>
      </w:r>
      <w:r w:rsidRPr="00316837">
        <w:rPr>
          <w:lang w:eastAsia="en-ZA"/>
        </w:rPr>
        <w:tab/>
        <w:t xml:space="preserve">Non-Key Expert </w:t>
      </w:r>
    </w:p>
    <w:p w14:paraId="655C9187" w14:textId="77777777" w:rsidR="001D4932" w:rsidRPr="00316837" w:rsidRDefault="001D4932" w:rsidP="0074334B">
      <w:pPr>
        <w:widowControl w:val="0"/>
      </w:pPr>
      <w:r w:rsidRPr="00316837">
        <w:t>NORAD</w:t>
      </w:r>
      <w:r w:rsidRPr="00316837">
        <w:tab/>
        <w:t xml:space="preserve">Norwegian Agency for Development Cooperation </w:t>
      </w:r>
    </w:p>
    <w:p w14:paraId="2B47C7E1" w14:textId="77777777" w:rsidR="001D4932" w:rsidRPr="00316837" w:rsidRDefault="001D4932" w:rsidP="0074334B">
      <w:pPr>
        <w:widowControl w:val="0"/>
      </w:pPr>
      <w:r w:rsidRPr="00316837">
        <w:t>NTC</w:t>
      </w:r>
      <w:r w:rsidRPr="00316837">
        <w:tab/>
      </w:r>
      <w:r w:rsidRPr="00316837">
        <w:tab/>
        <w:t xml:space="preserve">Net Transfer Capacity </w:t>
      </w:r>
    </w:p>
    <w:p w14:paraId="7BCBC26D" w14:textId="77777777" w:rsidR="001D4932" w:rsidRPr="00316837" w:rsidRDefault="001D4932" w:rsidP="0074334B">
      <w:pPr>
        <w:widowControl w:val="0"/>
      </w:pPr>
      <w:r w:rsidRPr="00316837">
        <w:t>OPEX</w:t>
      </w:r>
      <w:r w:rsidRPr="00316837">
        <w:tab/>
      </w:r>
      <w:r w:rsidRPr="00316837">
        <w:tab/>
        <w:t xml:space="preserve">Operating Expense </w:t>
      </w:r>
    </w:p>
    <w:p w14:paraId="52EEB892" w14:textId="77777777" w:rsidR="001D4932" w:rsidRPr="00316837" w:rsidRDefault="001D4932" w:rsidP="00A21496">
      <w:pPr>
        <w:rPr>
          <w:lang w:eastAsia="en-ZA"/>
        </w:rPr>
      </w:pPr>
      <w:r w:rsidRPr="00316837">
        <w:rPr>
          <w:lang w:eastAsia="en-ZA"/>
        </w:rPr>
        <w:lastRenderedPageBreak/>
        <w:t>OTC</w:t>
      </w:r>
      <w:r w:rsidRPr="00316837">
        <w:rPr>
          <w:lang w:eastAsia="en-ZA"/>
        </w:rPr>
        <w:tab/>
      </w:r>
      <w:r w:rsidRPr="00316837">
        <w:rPr>
          <w:lang w:eastAsia="en-ZA"/>
        </w:rPr>
        <w:tab/>
        <w:t xml:space="preserve">Over-The-Counter </w:t>
      </w:r>
    </w:p>
    <w:p w14:paraId="2B2BA550" w14:textId="77777777" w:rsidR="001D4932" w:rsidRPr="00316837" w:rsidRDefault="001D4932" w:rsidP="00A21496">
      <w:pPr>
        <w:rPr>
          <w:lang w:eastAsia="en-ZA"/>
        </w:rPr>
      </w:pPr>
      <w:r w:rsidRPr="00316837">
        <w:rPr>
          <w:lang w:eastAsia="en-ZA"/>
        </w:rPr>
        <w:t>PMU</w:t>
      </w:r>
      <w:r w:rsidRPr="00316837">
        <w:rPr>
          <w:lang w:eastAsia="en-ZA"/>
        </w:rPr>
        <w:tab/>
      </w:r>
      <w:r w:rsidRPr="00316837">
        <w:rPr>
          <w:lang w:eastAsia="en-ZA"/>
        </w:rPr>
        <w:tab/>
        <w:t xml:space="preserve">Phasor Measurement Unit </w:t>
      </w:r>
    </w:p>
    <w:p w14:paraId="4471B399" w14:textId="77777777" w:rsidR="001D4932" w:rsidRPr="00316837" w:rsidRDefault="001D4932" w:rsidP="00A21496">
      <w:pPr>
        <w:rPr>
          <w:lang w:eastAsia="en-ZA"/>
        </w:rPr>
      </w:pPr>
      <w:r w:rsidRPr="00316837">
        <w:rPr>
          <w:lang w:eastAsia="en-ZA"/>
        </w:rPr>
        <w:t>PPA</w:t>
      </w:r>
      <w:r w:rsidRPr="00316837">
        <w:rPr>
          <w:lang w:eastAsia="en-ZA"/>
        </w:rPr>
        <w:tab/>
      </w:r>
      <w:r w:rsidRPr="00316837">
        <w:rPr>
          <w:lang w:eastAsia="en-ZA"/>
        </w:rPr>
        <w:tab/>
        <w:t xml:space="preserve">Power Purchase Agreement </w:t>
      </w:r>
    </w:p>
    <w:p w14:paraId="5903BDA3" w14:textId="77777777" w:rsidR="001D4932" w:rsidRPr="00316837" w:rsidRDefault="001D4932" w:rsidP="0074334B">
      <w:pPr>
        <w:widowControl w:val="0"/>
      </w:pPr>
      <w:r w:rsidRPr="00316837">
        <w:t>PV</w:t>
      </w:r>
      <w:r w:rsidRPr="00316837">
        <w:tab/>
      </w:r>
      <w:r w:rsidRPr="00316837">
        <w:tab/>
      </w:r>
      <w:r w:rsidRPr="00316837">
        <w:tab/>
        <w:t xml:space="preserve">Photovoltaics </w:t>
      </w:r>
    </w:p>
    <w:p w14:paraId="7F8EF3DF" w14:textId="77777777" w:rsidR="001D4932" w:rsidRPr="00316837" w:rsidRDefault="001D4932" w:rsidP="0074334B">
      <w:pPr>
        <w:widowControl w:val="0"/>
      </w:pPr>
      <w:r w:rsidRPr="00316837">
        <w:t>RAB</w:t>
      </w:r>
      <w:r w:rsidRPr="00316837">
        <w:tab/>
      </w:r>
      <w:r w:rsidRPr="00316837">
        <w:tab/>
        <w:t xml:space="preserve">Regulatory Asset Base </w:t>
      </w:r>
    </w:p>
    <w:p w14:paraId="2A2EB42A" w14:textId="77777777" w:rsidR="001D4932" w:rsidRPr="00316837" w:rsidRDefault="001D4932" w:rsidP="00A21496">
      <w:pPr>
        <w:rPr>
          <w:lang w:eastAsia="en-ZA"/>
        </w:rPr>
      </w:pPr>
      <w:r w:rsidRPr="00316837">
        <w:rPr>
          <w:lang w:eastAsia="en-ZA"/>
        </w:rPr>
        <w:t>RE</w:t>
      </w:r>
      <w:r w:rsidRPr="00316837">
        <w:rPr>
          <w:lang w:eastAsia="en-ZA"/>
        </w:rPr>
        <w:tab/>
      </w:r>
      <w:r w:rsidRPr="00316837">
        <w:rPr>
          <w:lang w:eastAsia="en-ZA"/>
        </w:rPr>
        <w:tab/>
      </w:r>
      <w:r w:rsidRPr="00316837">
        <w:rPr>
          <w:lang w:eastAsia="en-ZA"/>
        </w:rPr>
        <w:tab/>
        <w:t xml:space="preserve">Renewable Energy </w:t>
      </w:r>
    </w:p>
    <w:p w14:paraId="5CC2765D" w14:textId="77777777" w:rsidR="001D4932" w:rsidRPr="00316837" w:rsidRDefault="001D4932" w:rsidP="0074334B">
      <w:pPr>
        <w:widowControl w:val="0"/>
      </w:pPr>
      <w:r w:rsidRPr="00316837">
        <w:t>REA</w:t>
      </w:r>
      <w:r w:rsidRPr="00316837">
        <w:tab/>
      </w:r>
      <w:r w:rsidRPr="00316837">
        <w:tab/>
        <w:t xml:space="preserve">Rural Electrification Agency </w:t>
      </w:r>
    </w:p>
    <w:p w14:paraId="2B43B616" w14:textId="77777777" w:rsidR="001D4932" w:rsidRPr="00316837" w:rsidRDefault="001D4932" w:rsidP="0074334B">
      <w:pPr>
        <w:widowControl w:val="0"/>
      </w:pPr>
      <w:r w:rsidRPr="00316837">
        <w:t>REC</w:t>
      </w:r>
      <w:r w:rsidRPr="00316837">
        <w:tab/>
      </w:r>
      <w:r w:rsidRPr="00316837">
        <w:tab/>
        <w:t xml:space="preserve">Regional Economic Community </w:t>
      </w:r>
    </w:p>
    <w:p w14:paraId="5FAD3DD6" w14:textId="77777777" w:rsidR="001D4932" w:rsidRPr="00316837" w:rsidRDefault="001D4932" w:rsidP="00A21496">
      <w:pPr>
        <w:rPr>
          <w:lang w:eastAsia="en-ZA"/>
        </w:rPr>
      </w:pPr>
      <w:r w:rsidRPr="00316837">
        <w:rPr>
          <w:lang w:eastAsia="en-ZA"/>
        </w:rPr>
        <w:t>RES</w:t>
      </w:r>
      <w:r w:rsidRPr="00316837">
        <w:rPr>
          <w:lang w:eastAsia="en-ZA"/>
        </w:rPr>
        <w:tab/>
      </w:r>
      <w:r w:rsidRPr="00316837">
        <w:rPr>
          <w:lang w:eastAsia="en-ZA"/>
        </w:rPr>
        <w:tab/>
        <w:t xml:space="preserve">Renewable Energy Sources </w:t>
      </w:r>
    </w:p>
    <w:p w14:paraId="142A1E66" w14:textId="77777777" w:rsidR="001D4932" w:rsidRPr="00316837" w:rsidRDefault="001D4932" w:rsidP="0074334B">
      <w:pPr>
        <w:widowControl w:val="0"/>
      </w:pPr>
      <w:r w:rsidRPr="00316837">
        <w:t>RR</w:t>
      </w:r>
      <w:r w:rsidRPr="00316837">
        <w:tab/>
      </w:r>
      <w:r w:rsidRPr="00316837">
        <w:tab/>
      </w:r>
      <w:r w:rsidRPr="00316837">
        <w:tab/>
        <w:t xml:space="preserve">Regional Regulator </w:t>
      </w:r>
    </w:p>
    <w:p w14:paraId="2EDCF8DC" w14:textId="77777777" w:rsidR="001D4932" w:rsidRPr="00316837" w:rsidRDefault="001D4932" w:rsidP="00A21496">
      <w:pPr>
        <w:rPr>
          <w:lang w:eastAsia="en-ZA"/>
        </w:rPr>
      </w:pPr>
      <w:r w:rsidRPr="00316837">
        <w:rPr>
          <w:lang w:eastAsia="en-ZA"/>
        </w:rPr>
        <w:t xml:space="preserve">RSMO </w:t>
      </w:r>
      <w:r w:rsidRPr="00316837">
        <w:rPr>
          <w:lang w:eastAsia="en-ZA"/>
        </w:rPr>
        <w:tab/>
      </w:r>
      <w:r w:rsidRPr="00316837">
        <w:rPr>
          <w:lang w:eastAsia="en-ZA"/>
        </w:rPr>
        <w:tab/>
        <w:t xml:space="preserve">Regional System Market Operator </w:t>
      </w:r>
    </w:p>
    <w:p w14:paraId="6E43E689" w14:textId="77777777" w:rsidR="001D4932" w:rsidRPr="00316837" w:rsidRDefault="001D4932" w:rsidP="0074334B">
      <w:pPr>
        <w:widowControl w:val="0"/>
      </w:pPr>
      <w:r w:rsidRPr="00316837">
        <w:t xml:space="preserve">RURA </w:t>
      </w:r>
      <w:r w:rsidRPr="00316837">
        <w:tab/>
      </w:r>
      <w:r w:rsidRPr="00316837">
        <w:tab/>
        <w:t xml:space="preserve">Rwanda Utilities Regulatory Authority </w:t>
      </w:r>
    </w:p>
    <w:p w14:paraId="3DF01513" w14:textId="77777777" w:rsidR="001D4932" w:rsidRPr="00316837" w:rsidRDefault="001D4932" w:rsidP="00A21496">
      <w:pPr>
        <w:rPr>
          <w:lang w:eastAsia="en-ZA"/>
        </w:rPr>
      </w:pPr>
      <w:r w:rsidRPr="00316837">
        <w:rPr>
          <w:lang w:eastAsia="en-ZA"/>
        </w:rPr>
        <w:t>SADC</w:t>
      </w:r>
      <w:r w:rsidRPr="00316837">
        <w:rPr>
          <w:lang w:eastAsia="en-ZA"/>
        </w:rPr>
        <w:tab/>
      </w:r>
      <w:r w:rsidRPr="00316837">
        <w:rPr>
          <w:lang w:eastAsia="en-ZA"/>
        </w:rPr>
        <w:tab/>
        <w:t xml:space="preserve">Southern African Development Community </w:t>
      </w:r>
    </w:p>
    <w:p w14:paraId="3E6544C2" w14:textId="77777777" w:rsidR="001D4932" w:rsidRPr="00316837" w:rsidRDefault="001D4932" w:rsidP="00A21496">
      <w:pPr>
        <w:rPr>
          <w:lang w:eastAsia="en-ZA"/>
        </w:rPr>
      </w:pPr>
      <w:r w:rsidRPr="00316837">
        <w:rPr>
          <w:lang w:eastAsia="en-ZA"/>
        </w:rPr>
        <w:t xml:space="preserve">SAPP </w:t>
      </w:r>
      <w:r w:rsidRPr="00316837">
        <w:rPr>
          <w:lang w:eastAsia="en-ZA"/>
        </w:rPr>
        <w:tab/>
      </w:r>
      <w:r w:rsidRPr="00316837">
        <w:rPr>
          <w:lang w:eastAsia="en-ZA"/>
        </w:rPr>
        <w:tab/>
        <w:t xml:space="preserve">Southern African Power Pool </w:t>
      </w:r>
    </w:p>
    <w:p w14:paraId="4E0B8B8F" w14:textId="77777777" w:rsidR="001D4932" w:rsidRPr="00316837" w:rsidRDefault="001D4932" w:rsidP="00A21496">
      <w:pPr>
        <w:rPr>
          <w:lang w:eastAsia="en-ZA"/>
        </w:rPr>
      </w:pPr>
      <w:r w:rsidRPr="00316837">
        <w:rPr>
          <w:lang w:eastAsia="en-ZA"/>
        </w:rPr>
        <w:t>SCADA</w:t>
      </w:r>
      <w:r w:rsidRPr="00316837">
        <w:rPr>
          <w:lang w:eastAsia="en-ZA"/>
        </w:rPr>
        <w:tab/>
      </w:r>
      <w:r w:rsidRPr="00316837">
        <w:rPr>
          <w:lang w:eastAsia="en-ZA"/>
        </w:rPr>
        <w:tab/>
        <w:t xml:space="preserve">Supervisory Control and Data Acquisition </w:t>
      </w:r>
    </w:p>
    <w:p w14:paraId="2BF5D8EC" w14:textId="77777777" w:rsidR="001D4932" w:rsidRPr="00316837" w:rsidRDefault="001D4932" w:rsidP="0074334B">
      <w:pPr>
        <w:widowControl w:val="0"/>
      </w:pPr>
      <w:r w:rsidRPr="00316837">
        <w:t>SIDA</w:t>
      </w:r>
      <w:r w:rsidRPr="00316837">
        <w:tab/>
      </w:r>
      <w:r w:rsidRPr="00316837">
        <w:tab/>
        <w:t xml:space="preserve">Swedish International Development Agency </w:t>
      </w:r>
    </w:p>
    <w:p w14:paraId="118FA5C3" w14:textId="77777777" w:rsidR="001D4932" w:rsidRPr="00316837" w:rsidRDefault="001D4932" w:rsidP="0074334B">
      <w:pPr>
        <w:widowControl w:val="0"/>
      </w:pPr>
      <w:r w:rsidRPr="00316837">
        <w:t>SPD</w:t>
      </w:r>
      <w:r w:rsidRPr="00316837">
        <w:tab/>
      </w:r>
      <w:r w:rsidRPr="00316837">
        <w:tab/>
        <w:t xml:space="preserve">Small Power Distributor </w:t>
      </w:r>
    </w:p>
    <w:p w14:paraId="4ED6DD04" w14:textId="77777777" w:rsidR="001D4932" w:rsidRPr="00316837" w:rsidRDefault="001D4932" w:rsidP="0074334B">
      <w:pPr>
        <w:widowControl w:val="0"/>
      </w:pPr>
      <w:r w:rsidRPr="00316837">
        <w:t>SPP</w:t>
      </w:r>
      <w:r w:rsidRPr="00316837">
        <w:tab/>
      </w:r>
      <w:r w:rsidRPr="00316837">
        <w:tab/>
        <w:t xml:space="preserve">Small Power Producer </w:t>
      </w:r>
    </w:p>
    <w:p w14:paraId="23E9BE9E" w14:textId="77777777" w:rsidR="001D4932" w:rsidRPr="00316837" w:rsidRDefault="001D4932" w:rsidP="00A21496">
      <w:pPr>
        <w:rPr>
          <w:lang w:eastAsia="en-ZA"/>
        </w:rPr>
      </w:pPr>
      <w:r w:rsidRPr="00316837">
        <w:rPr>
          <w:lang w:eastAsia="en-ZA"/>
        </w:rPr>
        <w:t xml:space="preserve">TAF </w:t>
      </w:r>
      <w:r w:rsidRPr="00316837">
        <w:rPr>
          <w:lang w:eastAsia="en-ZA"/>
        </w:rPr>
        <w:tab/>
      </w:r>
      <w:r w:rsidRPr="00316837">
        <w:rPr>
          <w:lang w:eastAsia="en-ZA"/>
        </w:rPr>
        <w:tab/>
        <w:t xml:space="preserve">Technical Assistance Facility </w:t>
      </w:r>
    </w:p>
    <w:p w14:paraId="594276E8" w14:textId="77777777" w:rsidR="001D4932" w:rsidRPr="00316837" w:rsidRDefault="001D4932" w:rsidP="0074334B">
      <w:pPr>
        <w:widowControl w:val="0"/>
      </w:pPr>
      <w:r w:rsidRPr="00316837">
        <w:t>TANESCO</w:t>
      </w:r>
      <w:r w:rsidRPr="00316837">
        <w:tab/>
        <w:t xml:space="preserve">Tanzania Electric Supply Company </w:t>
      </w:r>
    </w:p>
    <w:p w14:paraId="65D8955E" w14:textId="77777777" w:rsidR="001D4932" w:rsidRPr="00316837" w:rsidRDefault="001D4932" w:rsidP="0074334B">
      <w:pPr>
        <w:widowControl w:val="0"/>
      </w:pPr>
      <w:r w:rsidRPr="00316837">
        <w:t>TRM</w:t>
      </w:r>
      <w:r w:rsidRPr="00316837">
        <w:tab/>
      </w:r>
      <w:r w:rsidRPr="00316837">
        <w:tab/>
        <w:t xml:space="preserve">Transmission Reliability Margin </w:t>
      </w:r>
    </w:p>
    <w:p w14:paraId="40E7375A" w14:textId="77777777" w:rsidR="001D4932" w:rsidRPr="00316837" w:rsidRDefault="001D4932" w:rsidP="00A21496">
      <w:pPr>
        <w:rPr>
          <w:lang w:eastAsia="en-ZA"/>
        </w:rPr>
      </w:pPr>
      <w:r w:rsidRPr="00316837">
        <w:rPr>
          <w:lang w:eastAsia="en-ZA"/>
        </w:rPr>
        <w:t>TSO</w:t>
      </w:r>
      <w:r w:rsidRPr="00316837">
        <w:rPr>
          <w:lang w:eastAsia="en-ZA"/>
        </w:rPr>
        <w:tab/>
      </w:r>
      <w:r w:rsidRPr="00316837">
        <w:rPr>
          <w:lang w:eastAsia="en-ZA"/>
        </w:rPr>
        <w:tab/>
        <w:t xml:space="preserve">Transmission System Operators </w:t>
      </w:r>
    </w:p>
    <w:p w14:paraId="0143495F" w14:textId="77777777" w:rsidR="001D4932" w:rsidRPr="00316837" w:rsidRDefault="001D4932" w:rsidP="0074334B">
      <w:pPr>
        <w:widowControl w:val="0"/>
      </w:pPr>
      <w:r w:rsidRPr="00316837">
        <w:t>TTC</w:t>
      </w:r>
      <w:r w:rsidRPr="00316837">
        <w:tab/>
      </w:r>
      <w:r w:rsidRPr="00316837">
        <w:tab/>
        <w:t xml:space="preserve">Total Transfer Capacity </w:t>
      </w:r>
    </w:p>
    <w:p w14:paraId="0D62748B" w14:textId="77777777" w:rsidR="001D4932" w:rsidRPr="00316837" w:rsidRDefault="001D4932" w:rsidP="00A21496">
      <w:pPr>
        <w:rPr>
          <w:lang w:eastAsia="en-ZA"/>
        </w:rPr>
      </w:pPr>
      <w:r w:rsidRPr="00316837">
        <w:rPr>
          <w:lang w:eastAsia="en-ZA"/>
        </w:rPr>
        <w:t>TYTNDP</w:t>
      </w:r>
      <w:r w:rsidRPr="00316837">
        <w:rPr>
          <w:lang w:eastAsia="en-ZA"/>
        </w:rPr>
        <w:tab/>
        <w:t xml:space="preserve">Ten-Year Transmission Network Development Plan </w:t>
      </w:r>
    </w:p>
    <w:p w14:paraId="151DA05D" w14:textId="77777777" w:rsidR="001D4932" w:rsidRPr="00316837" w:rsidRDefault="001D4932" w:rsidP="0074334B">
      <w:pPr>
        <w:widowControl w:val="0"/>
      </w:pPr>
      <w:r w:rsidRPr="00316837">
        <w:t xml:space="preserve">UAE </w:t>
      </w:r>
      <w:r w:rsidRPr="00316837">
        <w:tab/>
      </w:r>
      <w:r w:rsidRPr="00316837">
        <w:tab/>
        <w:t>Arab Electricity Union</w:t>
      </w:r>
    </w:p>
    <w:p w14:paraId="2C9DC0AD" w14:textId="77777777" w:rsidR="001D4932" w:rsidRPr="00316837" w:rsidRDefault="001D4932" w:rsidP="0074334B">
      <w:pPr>
        <w:widowControl w:val="0"/>
      </w:pPr>
      <w:r w:rsidRPr="00316837">
        <w:t>USAID</w:t>
      </w:r>
      <w:r w:rsidRPr="00316837">
        <w:tab/>
      </w:r>
      <w:r w:rsidRPr="00316837">
        <w:tab/>
        <w:t xml:space="preserve">United States Agency for International Development </w:t>
      </w:r>
    </w:p>
    <w:p w14:paraId="3AF58779" w14:textId="77777777" w:rsidR="001D4932" w:rsidRPr="00316837" w:rsidRDefault="001D4932" w:rsidP="0074334B">
      <w:pPr>
        <w:widowControl w:val="0"/>
      </w:pPr>
      <w:r w:rsidRPr="00316837">
        <w:t>WACC</w:t>
      </w:r>
      <w:r w:rsidRPr="00316837">
        <w:tab/>
      </w:r>
      <w:r w:rsidRPr="00316837">
        <w:tab/>
        <w:t xml:space="preserve">Weighted Average Cost of Capital </w:t>
      </w:r>
    </w:p>
    <w:p w14:paraId="785B0E40" w14:textId="77777777" w:rsidR="001D4932" w:rsidRPr="00316837" w:rsidRDefault="001D4932" w:rsidP="00A21496">
      <w:pPr>
        <w:rPr>
          <w:lang w:eastAsia="en-ZA"/>
        </w:rPr>
      </w:pPr>
      <w:r w:rsidRPr="00316837">
        <w:rPr>
          <w:lang w:eastAsia="en-ZA"/>
        </w:rPr>
        <w:t>WAMS</w:t>
      </w:r>
      <w:r w:rsidRPr="00316837">
        <w:rPr>
          <w:lang w:eastAsia="en-ZA"/>
        </w:rPr>
        <w:tab/>
      </w:r>
      <w:r w:rsidRPr="00316837">
        <w:rPr>
          <w:lang w:eastAsia="en-ZA"/>
        </w:rPr>
        <w:tab/>
        <w:t xml:space="preserve">Wide Area Measurement System </w:t>
      </w:r>
    </w:p>
    <w:p w14:paraId="583E94F3" w14:textId="77777777" w:rsidR="001D4932" w:rsidRPr="00316837" w:rsidRDefault="001D4932" w:rsidP="00A21496">
      <w:pPr>
        <w:rPr>
          <w:lang w:eastAsia="en-ZA"/>
        </w:rPr>
      </w:pPr>
      <w:r w:rsidRPr="00316837">
        <w:rPr>
          <w:lang w:eastAsia="en-ZA"/>
        </w:rPr>
        <w:t>WAPP</w:t>
      </w:r>
      <w:r w:rsidRPr="00316837">
        <w:rPr>
          <w:lang w:eastAsia="en-ZA"/>
        </w:rPr>
        <w:tab/>
      </w:r>
      <w:r w:rsidRPr="00316837">
        <w:rPr>
          <w:lang w:eastAsia="en-ZA"/>
        </w:rPr>
        <w:tab/>
        <w:t xml:space="preserve">West African Power Pool </w:t>
      </w:r>
    </w:p>
    <w:p w14:paraId="02AAC7DD" w14:textId="77777777" w:rsidR="00533C25" w:rsidRPr="00316837" w:rsidRDefault="00533C25" w:rsidP="0074334B">
      <w:pPr>
        <w:widowControl w:val="0"/>
      </w:pPr>
    </w:p>
    <w:p w14:paraId="3E972D24" w14:textId="31B20C16" w:rsidR="008001BE" w:rsidRPr="00316837" w:rsidRDefault="008001BE" w:rsidP="0074334B">
      <w:pPr>
        <w:widowControl w:val="0"/>
        <w:sectPr w:rsidR="008001BE" w:rsidRPr="00316837" w:rsidSect="00A3058D">
          <w:pgSz w:w="11906" w:h="16838" w:code="9"/>
          <w:pgMar w:top="1560" w:right="1134" w:bottom="1276" w:left="1560" w:header="720" w:footer="567" w:gutter="0"/>
          <w:pgNumType w:fmt="lowerRoman"/>
          <w:cols w:sep="1" w:space="709"/>
        </w:sectPr>
      </w:pPr>
    </w:p>
    <w:p w14:paraId="65DF4851" w14:textId="4B47D11A" w:rsidR="002141D1" w:rsidRPr="00316837" w:rsidRDefault="00E6585F" w:rsidP="0074334B">
      <w:pPr>
        <w:pStyle w:val="Heading1"/>
        <w:numPr>
          <w:ilvl w:val="0"/>
          <w:numId w:val="0"/>
        </w:numPr>
      </w:pPr>
      <w:bookmarkStart w:id="17" w:name="_Toc56533353"/>
      <w:bookmarkStart w:id="18" w:name="_Toc95936205"/>
      <w:bookmarkStart w:id="19" w:name="_Toc77260281"/>
      <w:bookmarkEnd w:id="13"/>
      <w:bookmarkEnd w:id="14"/>
      <w:bookmarkEnd w:id="15"/>
      <w:r w:rsidRPr="00C632F6">
        <w:rPr>
          <w:caps w:val="0"/>
        </w:rPr>
        <w:lastRenderedPageBreak/>
        <w:t>EXECUTIVE SUMMARY</w:t>
      </w:r>
      <w:bookmarkEnd w:id="17"/>
      <w:bookmarkEnd w:id="19"/>
    </w:p>
    <w:p w14:paraId="256ABC50" w14:textId="4FB69221" w:rsidR="005276A4" w:rsidRPr="00316837" w:rsidRDefault="00F153E5" w:rsidP="006273BD">
      <w:pPr>
        <w:pStyle w:val="Heading2"/>
        <w:numPr>
          <w:ilvl w:val="0"/>
          <w:numId w:val="0"/>
        </w:numPr>
        <w:ind w:left="576" w:hanging="576"/>
      </w:pPr>
      <w:bookmarkStart w:id="20" w:name="_Toc74046594"/>
      <w:bookmarkStart w:id="21" w:name="_Toc77260282"/>
      <w:r w:rsidRPr="00316837">
        <w:t xml:space="preserve">E.1 </w:t>
      </w:r>
      <w:r w:rsidR="00C632F6" w:rsidRPr="00316837">
        <w:t>Introduction</w:t>
      </w:r>
      <w:bookmarkEnd w:id="20"/>
      <w:bookmarkEnd w:id="21"/>
      <w:r w:rsidRPr="00316837">
        <w:t xml:space="preserve"> </w:t>
      </w:r>
    </w:p>
    <w:p w14:paraId="5F7CA892" w14:textId="33484306" w:rsidR="004A07F8" w:rsidRPr="006273BD" w:rsidRDefault="004A07F8" w:rsidP="004A07F8">
      <w:r w:rsidRPr="006273BD">
        <w:t xml:space="preserve">The need to achieve a harmonised and </w:t>
      </w:r>
      <w:r w:rsidR="00681DAA">
        <w:t>c</w:t>
      </w:r>
      <w:r w:rsidRPr="006273BD">
        <w:t xml:space="preserve">ontinental African </w:t>
      </w:r>
      <w:r w:rsidR="00681DAA">
        <w:t>e</w:t>
      </w:r>
      <w:r w:rsidRPr="006273BD">
        <w:t>l</w:t>
      </w:r>
      <w:r w:rsidR="00F05985" w:rsidRPr="006273BD">
        <w:t xml:space="preserve">ectricity </w:t>
      </w:r>
      <w:r w:rsidR="00681DAA">
        <w:t>m</w:t>
      </w:r>
      <w:r w:rsidR="00F05985" w:rsidRPr="006273BD">
        <w:t>arket was driven</w:t>
      </w:r>
      <w:r w:rsidRPr="006273BD">
        <w:t xml:space="preserve"> by the collaboration between the AUC and EU</w:t>
      </w:r>
      <w:r w:rsidR="00681DAA">
        <w:t>,</w:t>
      </w:r>
      <w:r w:rsidRPr="006273BD">
        <w:t xml:space="preserve"> which commenced in 2015 and was implemented under </w:t>
      </w:r>
      <w:r w:rsidR="00681DAA">
        <w:t xml:space="preserve">the </w:t>
      </w:r>
      <w:r w:rsidRPr="006273BD">
        <w:t xml:space="preserve">EU TAF. This was done through the provision of support and expertise to </w:t>
      </w:r>
      <w:r w:rsidR="00681DAA">
        <w:t>ED of AUC-DIE</w:t>
      </w:r>
      <w:r w:rsidRPr="006273BD">
        <w:t xml:space="preserve">. This collaboration was implemented in four </w:t>
      </w:r>
      <w:r w:rsidR="00681DAA">
        <w:t>phases</w:t>
      </w:r>
      <w:r w:rsidRPr="006273BD">
        <w:t xml:space="preserve">, with the fourth </w:t>
      </w:r>
      <w:r w:rsidR="00681DAA">
        <w:t>one</w:t>
      </w:r>
      <w:r w:rsidRPr="006273BD">
        <w:t xml:space="preserve"> spanning the period 2019 to 2021. The fourth phase comprised 7 lots which included the Lot 9.5 on “Strategic Planning, Action Plan and Guidelines for the African Single Electricity Market (AfSEM)”, of which the current </w:t>
      </w:r>
      <w:r w:rsidR="00B6415C" w:rsidRPr="006273BD">
        <w:t xml:space="preserve">deliverable, </w:t>
      </w:r>
      <w:r w:rsidR="00681DAA">
        <w:t xml:space="preserve">the </w:t>
      </w:r>
      <w:r w:rsidRPr="006273BD">
        <w:t>Technical and Operational</w:t>
      </w:r>
      <w:r w:rsidR="00B6415C" w:rsidRPr="006273BD">
        <w:t xml:space="preserve"> Readiness </w:t>
      </w:r>
      <w:r w:rsidRPr="006273BD">
        <w:t>(Guidelines and Action Plan)</w:t>
      </w:r>
      <w:r w:rsidR="00F05985" w:rsidRPr="006273BD">
        <w:t>,</w:t>
      </w:r>
      <w:r w:rsidRPr="006273BD">
        <w:t xml:space="preserve"> is one of the key components for </w:t>
      </w:r>
      <w:r w:rsidR="00681DAA">
        <w:t xml:space="preserve">the </w:t>
      </w:r>
      <w:r w:rsidRPr="006273BD">
        <w:t xml:space="preserve">implementation of AfSEM. </w:t>
      </w:r>
    </w:p>
    <w:p w14:paraId="1370B4B9" w14:textId="6480D276" w:rsidR="000E031B" w:rsidRPr="006273BD" w:rsidRDefault="004A07F8" w:rsidP="004A07F8">
      <w:r w:rsidRPr="006273BD">
        <w:t xml:space="preserve">The implementation of Lot 9.5 is a continuation of </w:t>
      </w:r>
      <w:r w:rsidR="00681DAA">
        <w:t xml:space="preserve">the </w:t>
      </w:r>
      <w:r w:rsidRPr="006273BD">
        <w:t xml:space="preserve">AUC’s </w:t>
      </w:r>
      <w:r w:rsidR="00681DAA" w:rsidRPr="00681DAA">
        <w:t>Strategy and Action Plan for the development of a Harmonised Regulatory Framework for the Electricity Market in Africa</w:t>
      </w:r>
      <w:r w:rsidRPr="006273BD">
        <w:t>, which was adopted by the Heads of State</w:t>
      </w:r>
      <w:r w:rsidR="00681DAA">
        <w:t xml:space="preserve"> and Government</w:t>
      </w:r>
      <w:r w:rsidRPr="006273BD">
        <w:t xml:space="preserve"> of the AU in 2017. AfSEM</w:t>
      </w:r>
      <w:r w:rsidR="00681DAA">
        <w:t>,</w:t>
      </w:r>
      <w:r w:rsidRPr="006273BD">
        <w:t xml:space="preserve"> as an overall electricity initiative of the AU, will cover strategic policy and planning aspects of the whole electricity value chain that relate to generation, transmission, distribution and end-use, at the national, regional and continental levels. </w:t>
      </w:r>
    </w:p>
    <w:p w14:paraId="449E8057" w14:textId="3D16E79D" w:rsidR="00A21496" w:rsidRPr="006273BD" w:rsidRDefault="00B6415C" w:rsidP="00777B8C">
      <w:r w:rsidRPr="006273BD">
        <w:t xml:space="preserve">To achieve the single and integrated electricity market in Africa, it is imperative that the </w:t>
      </w:r>
      <w:r w:rsidR="00681DAA">
        <w:t xml:space="preserve">African </w:t>
      </w:r>
      <w:r w:rsidRPr="006273BD">
        <w:t>interconnected power system is technical</w:t>
      </w:r>
      <w:r w:rsidR="00F05985" w:rsidRPr="006273BD">
        <w:t>ly</w:t>
      </w:r>
      <w:r w:rsidRPr="006273BD">
        <w:t xml:space="preserve"> and operationally ready such that all the necessary preconditions for </w:t>
      </w:r>
      <w:r w:rsidR="00681DAA">
        <w:t xml:space="preserve">the </w:t>
      </w:r>
      <w:r w:rsidRPr="006273BD">
        <w:t>interconnection of an</w:t>
      </w:r>
      <w:r w:rsidR="00F05985" w:rsidRPr="006273BD">
        <w:t xml:space="preserve">y two or more </w:t>
      </w:r>
      <w:r w:rsidR="00681DAA">
        <w:t xml:space="preserve">national and regional </w:t>
      </w:r>
      <w:r w:rsidR="00F05985" w:rsidRPr="006273BD">
        <w:t>power systems are</w:t>
      </w:r>
      <w:r w:rsidRPr="006273BD">
        <w:t xml:space="preserve"> fulfilled, for </w:t>
      </w:r>
      <w:r w:rsidR="00F05985" w:rsidRPr="006273BD">
        <w:t xml:space="preserve">electricity trading to </w:t>
      </w:r>
      <w:r w:rsidRPr="006273BD">
        <w:t xml:space="preserve">take place in a safe, secured and reliable manner. In addition, it is important that </w:t>
      </w:r>
      <w:r w:rsidR="00681DAA">
        <w:t>African</w:t>
      </w:r>
      <w:r w:rsidRPr="006273BD">
        <w:t xml:space="preserve"> Power Pools and their member utilities/TSOs possess the necessary capabilities </w:t>
      </w:r>
      <w:r w:rsidR="00D41DE3" w:rsidRPr="006273BD">
        <w:t xml:space="preserve">and tools as well as </w:t>
      </w:r>
      <w:r w:rsidRPr="006273BD">
        <w:t>human resources for the operation and management of the interconnected power systems.</w:t>
      </w:r>
    </w:p>
    <w:p w14:paraId="3AAA9399" w14:textId="3A7C94EF" w:rsidR="00B6415C" w:rsidRPr="006273BD" w:rsidRDefault="00F153E5" w:rsidP="006273BD">
      <w:pPr>
        <w:pStyle w:val="Heading2"/>
        <w:numPr>
          <w:ilvl w:val="0"/>
          <w:numId w:val="0"/>
        </w:numPr>
        <w:ind w:left="576" w:hanging="576"/>
        <w:rPr>
          <w:b w:val="0"/>
          <w:smallCaps w:val="0"/>
        </w:rPr>
      </w:pPr>
      <w:bookmarkStart w:id="22" w:name="_Toc74046595"/>
      <w:bookmarkStart w:id="23" w:name="_Toc77260283"/>
      <w:r w:rsidRPr="006273BD">
        <w:t xml:space="preserve">E.2 </w:t>
      </w:r>
      <w:r w:rsidR="00C632F6" w:rsidRPr="00C632F6">
        <w:t>Primary Objective</w:t>
      </w:r>
      <w:bookmarkEnd w:id="22"/>
      <w:bookmarkEnd w:id="23"/>
      <w:r w:rsidR="00681DAA">
        <w:t xml:space="preserve"> </w:t>
      </w:r>
    </w:p>
    <w:p w14:paraId="2D8A0854" w14:textId="1127DF6C" w:rsidR="00F153E5" w:rsidRPr="006273BD" w:rsidRDefault="00D41DE3" w:rsidP="006273BD">
      <w:r w:rsidRPr="006273BD">
        <w:t>The primary objective of the Technical and Operational Readiness Deliverable</w:t>
      </w:r>
      <w:r w:rsidR="00F05985" w:rsidRPr="006273BD">
        <w:t>,</w:t>
      </w:r>
      <w:r w:rsidRPr="006273BD">
        <w:t xml:space="preserve"> is to </w:t>
      </w:r>
      <w:r w:rsidR="00F153E5" w:rsidRPr="006273BD">
        <w:t xml:space="preserve">first </w:t>
      </w:r>
      <w:r w:rsidR="00F05985" w:rsidRPr="006273BD">
        <w:t>assess</w:t>
      </w:r>
      <w:r w:rsidR="00F153E5" w:rsidRPr="006273BD">
        <w:t xml:space="preserve"> the current state of technical and operational readiness</w:t>
      </w:r>
      <w:r w:rsidRPr="006273BD">
        <w:t xml:space="preserve"> </w:t>
      </w:r>
      <w:r w:rsidR="00F05985" w:rsidRPr="006273BD">
        <w:t xml:space="preserve">of </w:t>
      </w:r>
      <w:r w:rsidR="00681DAA">
        <w:t>P</w:t>
      </w:r>
      <w:r w:rsidR="00F05985" w:rsidRPr="006273BD">
        <w:t xml:space="preserve">ower </w:t>
      </w:r>
      <w:r w:rsidR="00681DAA">
        <w:t>P</w:t>
      </w:r>
      <w:r w:rsidR="00F05985" w:rsidRPr="006273BD">
        <w:t>ool</w:t>
      </w:r>
      <w:r w:rsidR="00681DAA">
        <w:t>s</w:t>
      </w:r>
      <w:r w:rsidR="00F05985" w:rsidRPr="006273BD">
        <w:t xml:space="preserve"> </w:t>
      </w:r>
      <w:r w:rsidRPr="006273BD">
        <w:t>and on that basis</w:t>
      </w:r>
      <w:r w:rsidR="00F05985" w:rsidRPr="006273BD">
        <w:t>,</w:t>
      </w:r>
      <w:r w:rsidRPr="006273BD">
        <w:t xml:space="preserve"> develop the Guidelines and Action Plan for </w:t>
      </w:r>
      <w:r w:rsidR="00F05985" w:rsidRPr="006273BD">
        <w:t xml:space="preserve">achieving </w:t>
      </w:r>
      <w:r w:rsidR="00681DAA">
        <w:t xml:space="preserve">the </w:t>
      </w:r>
      <w:r w:rsidRPr="006273BD">
        <w:t>Technical and Operational Readiness fo</w:t>
      </w:r>
      <w:r w:rsidR="00F05985" w:rsidRPr="006273BD">
        <w:t>r implementing AfSEM. This also includes</w:t>
      </w:r>
      <w:r w:rsidR="00F153E5" w:rsidRPr="006273BD">
        <w:t xml:space="preserve"> proposing solutions to potential technical challenges </w:t>
      </w:r>
      <w:r w:rsidR="00F05985" w:rsidRPr="006273BD">
        <w:t xml:space="preserve">that could emerge </w:t>
      </w:r>
      <w:r w:rsidR="00F153E5" w:rsidRPr="006273BD">
        <w:t>due to interconnections of both intra- and inter-regional transmission networks</w:t>
      </w:r>
      <w:r w:rsidR="00681DAA">
        <w:t xml:space="preserve">. </w:t>
      </w:r>
      <w:bookmarkStart w:id="24" w:name="_Toc74046596"/>
    </w:p>
    <w:p w14:paraId="4A032150" w14:textId="7A894414" w:rsidR="00F153E5" w:rsidRPr="006273BD" w:rsidRDefault="00F153E5" w:rsidP="006273BD">
      <w:pPr>
        <w:pStyle w:val="Heading2"/>
        <w:numPr>
          <w:ilvl w:val="0"/>
          <w:numId w:val="0"/>
        </w:numPr>
        <w:ind w:left="576" w:hanging="576"/>
        <w:rPr>
          <w:b w:val="0"/>
          <w:smallCaps w:val="0"/>
        </w:rPr>
      </w:pPr>
      <w:bookmarkStart w:id="25" w:name="_Toc77260284"/>
      <w:r w:rsidRPr="006273BD">
        <w:t xml:space="preserve">E.3 </w:t>
      </w:r>
      <w:r w:rsidR="00C632F6" w:rsidRPr="00C632F6">
        <w:t xml:space="preserve">Technical </w:t>
      </w:r>
      <w:r w:rsidR="00C632F6" w:rsidRPr="00654753">
        <w:t>a</w:t>
      </w:r>
      <w:r w:rsidR="00C632F6" w:rsidRPr="00316837">
        <w:t>nd Operational Readine</w:t>
      </w:r>
      <w:r w:rsidR="006273BD">
        <w:t>s</w:t>
      </w:r>
      <w:r w:rsidR="00C632F6" w:rsidRPr="00316837">
        <w:t>s Guidelines – Key Elements</w:t>
      </w:r>
      <w:bookmarkEnd w:id="24"/>
      <w:bookmarkEnd w:id="25"/>
      <w:r w:rsidR="00681DAA">
        <w:t xml:space="preserve"> </w:t>
      </w:r>
    </w:p>
    <w:p w14:paraId="1B499F41" w14:textId="067187B3" w:rsidR="00F153E5" w:rsidRPr="006273BD" w:rsidRDefault="00F153E5" w:rsidP="00F153E5">
      <w:pPr>
        <w:rPr>
          <w:szCs w:val="20"/>
        </w:rPr>
      </w:pPr>
      <w:r w:rsidRPr="006273BD">
        <w:t xml:space="preserve">The Guidelines have been developed to assist </w:t>
      </w:r>
      <w:r w:rsidR="00681DAA">
        <w:t>African</w:t>
      </w:r>
      <w:r w:rsidR="00F05985" w:rsidRPr="006273BD">
        <w:t xml:space="preserve"> </w:t>
      </w:r>
      <w:r w:rsidRPr="006273BD">
        <w:t xml:space="preserve">Power Pools and </w:t>
      </w:r>
      <w:r w:rsidR="00681DAA">
        <w:t xml:space="preserve">the </w:t>
      </w:r>
      <w:r w:rsidRPr="006273BD">
        <w:t>regional regulatory authorities</w:t>
      </w:r>
      <w:r w:rsidR="00681DAA">
        <w:t>/associations</w:t>
      </w:r>
      <w:r w:rsidRPr="006273BD">
        <w:t xml:space="preserve"> regarding the technical and operational decisions for proposed cross-border transactions. This report therefore provides a detailed explanation of the purpose of each Guideline, and highlights the major issues that </w:t>
      </w:r>
      <w:r w:rsidR="00681DAA">
        <w:t>P</w:t>
      </w:r>
      <w:r w:rsidR="00F05985" w:rsidRPr="006273BD">
        <w:t xml:space="preserve">ower </w:t>
      </w:r>
      <w:r w:rsidR="00681DAA">
        <w:t>P</w:t>
      </w:r>
      <w:r w:rsidR="00F05985" w:rsidRPr="006273BD">
        <w:t xml:space="preserve">ools and </w:t>
      </w:r>
      <w:r w:rsidR="00681DAA">
        <w:t xml:space="preserve">the </w:t>
      </w:r>
      <w:r w:rsidR="00F05985" w:rsidRPr="006273BD">
        <w:t xml:space="preserve">regional </w:t>
      </w:r>
      <w:r w:rsidRPr="006273BD">
        <w:t>regulator</w:t>
      </w:r>
      <w:r w:rsidR="00681DAA">
        <w:t>y authorities/association</w:t>
      </w:r>
      <w:r w:rsidRPr="006273BD">
        <w:t xml:space="preserve">s need to take </w:t>
      </w:r>
      <w:r w:rsidRPr="006273BD">
        <w:rPr>
          <w:szCs w:val="20"/>
        </w:rPr>
        <w:t>into account in the implementation of the Guide</w:t>
      </w:r>
      <w:r w:rsidR="00F05985" w:rsidRPr="006273BD">
        <w:rPr>
          <w:szCs w:val="20"/>
        </w:rPr>
        <w:t>lines</w:t>
      </w:r>
      <w:r w:rsidR="00681DAA" w:rsidRPr="00316837">
        <w:rPr>
          <w:szCs w:val="20"/>
        </w:rPr>
        <w:t xml:space="preserve"> (see </w:t>
      </w:r>
      <w:r w:rsidR="00681DAA" w:rsidRPr="00681DAA">
        <w:rPr>
          <w:szCs w:val="20"/>
        </w:rPr>
        <w:fldChar w:fldCharType="begin"/>
      </w:r>
      <w:r w:rsidR="00681DAA" w:rsidRPr="00316837">
        <w:rPr>
          <w:szCs w:val="20"/>
        </w:rPr>
        <w:instrText xml:space="preserve"> REF _Ref77243276 \h </w:instrText>
      </w:r>
      <w:r w:rsidR="00681DAA">
        <w:rPr>
          <w:szCs w:val="20"/>
        </w:rPr>
        <w:instrText xml:space="preserve"> \* MERGEFORMAT </w:instrText>
      </w:r>
      <w:r w:rsidR="00681DAA" w:rsidRPr="00681DAA">
        <w:rPr>
          <w:szCs w:val="20"/>
        </w:rPr>
      </w:r>
      <w:r w:rsidR="00681DAA" w:rsidRPr="00681DAA">
        <w:rPr>
          <w:szCs w:val="20"/>
        </w:rPr>
        <w:fldChar w:fldCharType="separate"/>
      </w:r>
      <w:r w:rsidR="00681DAA" w:rsidRPr="006273BD">
        <w:rPr>
          <w:rFonts w:eastAsia="Calibri" w:cs="Arial"/>
          <w:bCs/>
          <w:szCs w:val="20"/>
        </w:rPr>
        <w:t>Table E</w:t>
      </w:r>
      <w:r w:rsidR="00681DAA" w:rsidRPr="006273BD">
        <w:rPr>
          <w:rFonts w:eastAsia="Calibri" w:cs="Arial"/>
          <w:bCs/>
          <w:szCs w:val="20"/>
        </w:rPr>
        <w:noBreakHyphen/>
      </w:r>
      <w:r w:rsidR="00681DAA" w:rsidRPr="006273BD">
        <w:rPr>
          <w:rFonts w:eastAsia="Calibri" w:cs="Arial"/>
          <w:bCs/>
          <w:noProof/>
          <w:szCs w:val="20"/>
        </w:rPr>
        <w:t>1</w:t>
      </w:r>
      <w:r w:rsidR="00681DAA" w:rsidRPr="00681DAA">
        <w:rPr>
          <w:szCs w:val="20"/>
        </w:rPr>
        <w:fldChar w:fldCharType="end"/>
      </w:r>
      <w:r w:rsidR="00681DAA" w:rsidRPr="00681DAA">
        <w:rPr>
          <w:szCs w:val="20"/>
        </w:rPr>
        <w:t>)</w:t>
      </w:r>
      <w:r w:rsidR="00F05985" w:rsidRPr="006273BD">
        <w:rPr>
          <w:szCs w:val="20"/>
        </w:rPr>
        <w:t>.</w:t>
      </w:r>
      <w:r w:rsidR="00681DAA" w:rsidRPr="00316837">
        <w:rPr>
          <w:szCs w:val="20"/>
        </w:rPr>
        <w:t xml:space="preserve"> </w:t>
      </w:r>
    </w:p>
    <w:p w14:paraId="2F93BED5" w14:textId="6D92C607" w:rsidR="00681DAA" w:rsidRPr="00654753" w:rsidRDefault="00681DAA" w:rsidP="00681DAA">
      <w:pPr>
        <w:spacing w:before="120"/>
        <w:rPr>
          <w:rFonts w:eastAsia="Calibri" w:cs="Arial"/>
          <w:bCs/>
          <w:sz w:val="18"/>
          <w:szCs w:val="18"/>
        </w:rPr>
      </w:pPr>
      <w:bookmarkStart w:id="26" w:name="_Ref77243276"/>
      <w:bookmarkStart w:id="27" w:name="_Hlk77243882"/>
      <w:bookmarkStart w:id="28" w:name="_Toc77260233"/>
      <w:r w:rsidRPr="00681DAA">
        <w:rPr>
          <w:rFonts w:eastAsia="Calibri" w:cs="Arial"/>
          <w:bCs/>
          <w:sz w:val="18"/>
          <w:szCs w:val="18"/>
        </w:rPr>
        <w:t xml:space="preserve">Table </w:t>
      </w:r>
      <w:r>
        <w:rPr>
          <w:rFonts w:eastAsia="Calibri" w:cs="Arial"/>
          <w:bCs/>
          <w:sz w:val="18"/>
          <w:szCs w:val="18"/>
        </w:rPr>
        <w:t>E</w:t>
      </w:r>
      <w:r w:rsidRPr="00C632F6">
        <w:rPr>
          <w:rFonts w:eastAsia="Calibri" w:cs="Arial"/>
          <w:bCs/>
          <w:sz w:val="18"/>
          <w:szCs w:val="18"/>
        </w:rPr>
        <w:noBreakHyphen/>
      </w:r>
      <w:r w:rsidRPr="00654753">
        <w:rPr>
          <w:rFonts w:eastAsia="Calibri" w:cs="Arial"/>
          <w:bCs/>
          <w:sz w:val="18"/>
          <w:szCs w:val="18"/>
        </w:rPr>
        <w:fldChar w:fldCharType="begin"/>
      </w:r>
      <w:r w:rsidRPr="00A40D3F">
        <w:rPr>
          <w:rFonts w:eastAsia="Calibri" w:cs="Arial"/>
          <w:bCs/>
          <w:sz w:val="18"/>
          <w:szCs w:val="18"/>
        </w:rPr>
        <w:instrText xml:space="preserve"> SEQ Table \* ARABIC \s 1 </w:instrText>
      </w:r>
      <w:r w:rsidRPr="00654753">
        <w:rPr>
          <w:rFonts w:eastAsia="Calibri" w:cs="Arial"/>
          <w:bCs/>
          <w:sz w:val="18"/>
          <w:szCs w:val="18"/>
        </w:rPr>
        <w:fldChar w:fldCharType="separate"/>
      </w:r>
      <w:r>
        <w:rPr>
          <w:rFonts w:eastAsia="Calibri" w:cs="Arial"/>
          <w:bCs/>
          <w:noProof/>
          <w:sz w:val="18"/>
          <w:szCs w:val="18"/>
        </w:rPr>
        <w:t>1</w:t>
      </w:r>
      <w:r w:rsidRPr="00654753">
        <w:rPr>
          <w:rFonts w:eastAsia="Calibri" w:cs="Arial"/>
          <w:bCs/>
          <w:sz w:val="18"/>
          <w:szCs w:val="18"/>
        </w:rPr>
        <w:fldChar w:fldCharType="end"/>
      </w:r>
      <w:bookmarkEnd w:id="26"/>
      <w:r w:rsidRPr="00C632F6">
        <w:rPr>
          <w:rFonts w:eastAsia="Calibri" w:cs="Arial"/>
          <w:bCs/>
          <w:sz w:val="18"/>
          <w:szCs w:val="18"/>
        </w:rPr>
        <w:t xml:space="preserve">: </w:t>
      </w:r>
      <w:r>
        <w:rPr>
          <w:rFonts w:eastAsia="Calibri" w:cs="Arial"/>
          <w:bCs/>
          <w:sz w:val="18"/>
          <w:szCs w:val="18"/>
        </w:rPr>
        <w:t>T</w:t>
      </w:r>
      <w:r w:rsidRPr="00C632F6">
        <w:rPr>
          <w:rFonts w:eastAsia="Calibri" w:cs="Arial"/>
          <w:bCs/>
          <w:sz w:val="18"/>
          <w:szCs w:val="18"/>
        </w:rPr>
        <w:t xml:space="preserve">he Guidelines </w:t>
      </w:r>
      <w:r>
        <w:rPr>
          <w:rFonts w:eastAsia="Calibri" w:cs="Arial"/>
          <w:bCs/>
          <w:sz w:val="18"/>
          <w:szCs w:val="18"/>
        </w:rPr>
        <w:t>and areas covered under the Technical and Operational Readiness</w:t>
      </w:r>
      <w:bookmarkEnd w:id="28"/>
      <w:r>
        <w:rPr>
          <w:rFonts w:eastAsia="Calibri" w:cs="Arial"/>
          <w:bCs/>
          <w:sz w:val="18"/>
          <w:szCs w:val="18"/>
        </w:rPr>
        <w:t xml:space="preserve"> </w:t>
      </w:r>
    </w:p>
    <w:tbl>
      <w:tblPr>
        <w:tblStyle w:val="TableGrid"/>
        <w:tblW w:w="5000" w:type="pct"/>
        <w:tblLook w:val="04A0" w:firstRow="1" w:lastRow="0" w:firstColumn="1" w:lastColumn="0" w:noHBand="0" w:noVBand="1"/>
      </w:tblPr>
      <w:tblGrid>
        <w:gridCol w:w="647"/>
        <w:gridCol w:w="8982"/>
      </w:tblGrid>
      <w:tr w:rsidR="00F153E5" w:rsidRPr="00681DAA" w14:paraId="6FD267E7" w14:textId="77777777" w:rsidTr="006273BD">
        <w:tc>
          <w:tcPr>
            <w:tcW w:w="336" w:type="pct"/>
            <w:shd w:val="clear" w:color="auto" w:fill="F2F2F2" w:themeFill="background1" w:themeFillShade="F2"/>
          </w:tcPr>
          <w:bookmarkEnd w:id="27"/>
          <w:p w14:paraId="51549010" w14:textId="77777777" w:rsidR="00F153E5" w:rsidRPr="006273BD" w:rsidRDefault="00F153E5" w:rsidP="008A6925">
            <w:pPr>
              <w:spacing w:before="120" w:after="120"/>
              <w:jc w:val="left"/>
              <w:rPr>
                <w:b/>
                <w:sz w:val="18"/>
                <w:szCs w:val="18"/>
              </w:rPr>
            </w:pPr>
            <w:r w:rsidRPr="006273BD">
              <w:rPr>
                <w:b/>
                <w:sz w:val="18"/>
                <w:szCs w:val="18"/>
              </w:rPr>
              <w:t>No.</w:t>
            </w:r>
          </w:p>
        </w:tc>
        <w:tc>
          <w:tcPr>
            <w:tcW w:w="4664" w:type="pct"/>
            <w:shd w:val="clear" w:color="auto" w:fill="F2F2F2" w:themeFill="background1" w:themeFillShade="F2"/>
          </w:tcPr>
          <w:p w14:paraId="3427A42F" w14:textId="3FC271FD" w:rsidR="00F153E5" w:rsidRPr="006273BD" w:rsidRDefault="00F153E5" w:rsidP="008A6925">
            <w:pPr>
              <w:spacing w:before="120" w:after="120"/>
              <w:jc w:val="left"/>
              <w:rPr>
                <w:b/>
                <w:sz w:val="18"/>
                <w:szCs w:val="18"/>
              </w:rPr>
            </w:pPr>
            <w:r w:rsidRPr="006273BD">
              <w:rPr>
                <w:b/>
                <w:sz w:val="18"/>
                <w:szCs w:val="18"/>
              </w:rPr>
              <w:t>Guidelines</w:t>
            </w:r>
            <w:r w:rsidR="00F05985" w:rsidRPr="006273BD">
              <w:rPr>
                <w:b/>
                <w:sz w:val="18"/>
                <w:szCs w:val="18"/>
              </w:rPr>
              <w:t xml:space="preserve"> and </w:t>
            </w:r>
            <w:r w:rsidR="00507C15">
              <w:rPr>
                <w:b/>
                <w:sz w:val="18"/>
                <w:szCs w:val="18"/>
              </w:rPr>
              <w:t>a</w:t>
            </w:r>
            <w:r w:rsidR="00F05985" w:rsidRPr="006273BD">
              <w:rPr>
                <w:b/>
                <w:sz w:val="18"/>
                <w:szCs w:val="18"/>
              </w:rPr>
              <w:t xml:space="preserve">reas </w:t>
            </w:r>
            <w:r w:rsidR="00507C15">
              <w:rPr>
                <w:b/>
                <w:sz w:val="18"/>
                <w:szCs w:val="18"/>
              </w:rPr>
              <w:t>c</w:t>
            </w:r>
            <w:r w:rsidR="00F05985" w:rsidRPr="006273BD">
              <w:rPr>
                <w:b/>
                <w:sz w:val="18"/>
                <w:szCs w:val="18"/>
              </w:rPr>
              <w:t>overed</w:t>
            </w:r>
          </w:p>
        </w:tc>
      </w:tr>
      <w:tr w:rsidR="00F153E5" w:rsidRPr="00C632F6" w14:paraId="27F62A17" w14:textId="77777777" w:rsidTr="006273BD">
        <w:tc>
          <w:tcPr>
            <w:tcW w:w="336" w:type="pct"/>
          </w:tcPr>
          <w:p w14:paraId="75E8F809" w14:textId="77777777" w:rsidR="00F153E5" w:rsidRPr="00654753" w:rsidRDefault="00F153E5" w:rsidP="008A6925">
            <w:pPr>
              <w:spacing w:before="120" w:after="120"/>
              <w:jc w:val="left"/>
              <w:rPr>
                <w:sz w:val="18"/>
                <w:szCs w:val="18"/>
              </w:rPr>
            </w:pPr>
            <w:r w:rsidRPr="00C632F6">
              <w:rPr>
                <w:sz w:val="18"/>
                <w:szCs w:val="18"/>
              </w:rPr>
              <w:t>1</w:t>
            </w:r>
          </w:p>
        </w:tc>
        <w:tc>
          <w:tcPr>
            <w:tcW w:w="4664" w:type="pct"/>
          </w:tcPr>
          <w:p w14:paraId="05805980" w14:textId="72F75829" w:rsidR="00F153E5" w:rsidRPr="00681DAA" w:rsidRDefault="00F153E5" w:rsidP="008A6925">
            <w:pPr>
              <w:spacing w:before="120" w:after="120"/>
              <w:jc w:val="left"/>
              <w:rPr>
                <w:sz w:val="18"/>
                <w:szCs w:val="18"/>
              </w:rPr>
            </w:pPr>
            <w:r w:rsidRPr="00681DAA">
              <w:rPr>
                <w:sz w:val="18"/>
                <w:szCs w:val="18"/>
              </w:rPr>
              <w:t xml:space="preserve">Roles of </w:t>
            </w:r>
            <w:r w:rsidRPr="00316837">
              <w:rPr>
                <w:sz w:val="18"/>
                <w:szCs w:val="18"/>
              </w:rPr>
              <w:t xml:space="preserve">System Operators </w:t>
            </w:r>
            <w:r w:rsidR="00681DAA">
              <w:rPr>
                <w:sz w:val="18"/>
                <w:szCs w:val="18"/>
              </w:rPr>
              <w:t>(National TSOs, Control Area Operators, and RSMOs)</w:t>
            </w:r>
          </w:p>
        </w:tc>
      </w:tr>
      <w:tr w:rsidR="00F153E5" w:rsidRPr="00C632F6" w14:paraId="49B7BB9B" w14:textId="77777777" w:rsidTr="006273BD">
        <w:tc>
          <w:tcPr>
            <w:tcW w:w="336" w:type="pct"/>
          </w:tcPr>
          <w:p w14:paraId="29B97CBD" w14:textId="77777777" w:rsidR="00F153E5" w:rsidRPr="00654753" w:rsidRDefault="00F153E5" w:rsidP="008A6925">
            <w:pPr>
              <w:spacing w:before="120" w:after="120"/>
              <w:jc w:val="left"/>
              <w:rPr>
                <w:sz w:val="18"/>
                <w:szCs w:val="18"/>
              </w:rPr>
            </w:pPr>
            <w:r w:rsidRPr="00C632F6">
              <w:rPr>
                <w:sz w:val="18"/>
                <w:szCs w:val="18"/>
              </w:rPr>
              <w:t>2</w:t>
            </w:r>
          </w:p>
        </w:tc>
        <w:tc>
          <w:tcPr>
            <w:tcW w:w="4664" w:type="pct"/>
          </w:tcPr>
          <w:p w14:paraId="4BF323F8" w14:textId="77777777" w:rsidR="00F153E5" w:rsidRPr="00316837" w:rsidRDefault="00F153E5" w:rsidP="008A6925">
            <w:pPr>
              <w:spacing w:before="120" w:after="120"/>
              <w:jc w:val="left"/>
              <w:rPr>
                <w:sz w:val="18"/>
                <w:szCs w:val="18"/>
              </w:rPr>
            </w:pPr>
            <w:r w:rsidRPr="00316837">
              <w:rPr>
                <w:sz w:val="18"/>
                <w:szCs w:val="18"/>
              </w:rPr>
              <w:t xml:space="preserve">Dispatch, System Operations, and ICT </w:t>
            </w:r>
          </w:p>
        </w:tc>
      </w:tr>
      <w:tr w:rsidR="00F153E5" w:rsidRPr="00C632F6" w14:paraId="357A6C18" w14:textId="77777777" w:rsidTr="006273BD">
        <w:tc>
          <w:tcPr>
            <w:tcW w:w="336" w:type="pct"/>
          </w:tcPr>
          <w:p w14:paraId="28A51355" w14:textId="77777777" w:rsidR="00F153E5" w:rsidRPr="00654753" w:rsidRDefault="00F153E5" w:rsidP="008A6925">
            <w:pPr>
              <w:spacing w:before="120" w:after="120"/>
              <w:jc w:val="left"/>
              <w:rPr>
                <w:sz w:val="18"/>
                <w:szCs w:val="18"/>
              </w:rPr>
            </w:pPr>
            <w:r w:rsidRPr="00C632F6">
              <w:rPr>
                <w:sz w:val="18"/>
                <w:szCs w:val="18"/>
              </w:rPr>
              <w:t>3</w:t>
            </w:r>
          </w:p>
        </w:tc>
        <w:tc>
          <w:tcPr>
            <w:tcW w:w="4664" w:type="pct"/>
          </w:tcPr>
          <w:p w14:paraId="5FE37E8A" w14:textId="15FE02BA" w:rsidR="00F153E5" w:rsidRPr="00681DAA" w:rsidRDefault="00681DAA" w:rsidP="008A6925">
            <w:pPr>
              <w:spacing w:before="120" w:after="120"/>
              <w:jc w:val="left"/>
              <w:rPr>
                <w:sz w:val="18"/>
                <w:szCs w:val="18"/>
              </w:rPr>
            </w:pPr>
            <w:r>
              <w:rPr>
                <w:sz w:val="18"/>
                <w:szCs w:val="18"/>
              </w:rPr>
              <w:t>Power (</w:t>
            </w:r>
            <w:r w:rsidR="00F153E5" w:rsidRPr="00681DAA">
              <w:rPr>
                <w:sz w:val="18"/>
                <w:szCs w:val="18"/>
              </w:rPr>
              <w:t>Generation and Transmission</w:t>
            </w:r>
            <w:r>
              <w:rPr>
                <w:sz w:val="18"/>
                <w:szCs w:val="18"/>
              </w:rPr>
              <w:t>)</w:t>
            </w:r>
            <w:r w:rsidR="00F153E5" w:rsidRPr="00681DAA">
              <w:rPr>
                <w:sz w:val="18"/>
                <w:szCs w:val="18"/>
              </w:rPr>
              <w:t xml:space="preserve"> System Adequacy, </w:t>
            </w:r>
            <w:r>
              <w:rPr>
                <w:sz w:val="18"/>
                <w:szCs w:val="18"/>
              </w:rPr>
              <w:t>Capability and Robustness (</w:t>
            </w:r>
            <w:r w:rsidR="00F153E5" w:rsidRPr="00681DAA">
              <w:rPr>
                <w:sz w:val="18"/>
                <w:szCs w:val="18"/>
              </w:rPr>
              <w:t>Capacity Readiness</w:t>
            </w:r>
            <w:r>
              <w:rPr>
                <w:sz w:val="18"/>
                <w:szCs w:val="18"/>
              </w:rPr>
              <w:t>)</w:t>
            </w:r>
          </w:p>
        </w:tc>
      </w:tr>
      <w:tr w:rsidR="00F153E5" w:rsidRPr="00C632F6" w14:paraId="0C8C3AFB" w14:textId="77777777" w:rsidTr="006273BD">
        <w:tc>
          <w:tcPr>
            <w:tcW w:w="336" w:type="pct"/>
          </w:tcPr>
          <w:p w14:paraId="3491A724" w14:textId="77777777" w:rsidR="00F153E5" w:rsidRPr="00654753" w:rsidRDefault="00F153E5" w:rsidP="008A6925">
            <w:pPr>
              <w:spacing w:before="120" w:after="120"/>
              <w:jc w:val="left"/>
              <w:rPr>
                <w:sz w:val="18"/>
                <w:szCs w:val="18"/>
              </w:rPr>
            </w:pPr>
            <w:r w:rsidRPr="00C632F6">
              <w:rPr>
                <w:sz w:val="18"/>
                <w:szCs w:val="18"/>
              </w:rPr>
              <w:t>4</w:t>
            </w:r>
          </w:p>
        </w:tc>
        <w:tc>
          <w:tcPr>
            <w:tcW w:w="4664" w:type="pct"/>
          </w:tcPr>
          <w:p w14:paraId="52C5E26C" w14:textId="77777777" w:rsidR="00F153E5" w:rsidRPr="00316837" w:rsidRDefault="00F153E5" w:rsidP="008A6925">
            <w:pPr>
              <w:spacing w:before="120" w:after="120"/>
              <w:jc w:val="left"/>
              <w:rPr>
                <w:sz w:val="18"/>
                <w:szCs w:val="18"/>
              </w:rPr>
            </w:pPr>
            <w:r w:rsidRPr="00316837">
              <w:rPr>
                <w:sz w:val="18"/>
                <w:szCs w:val="18"/>
              </w:rPr>
              <w:t xml:space="preserve">Market Compatibility for Trading </w:t>
            </w:r>
          </w:p>
        </w:tc>
      </w:tr>
      <w:tr w:rsidR="00F153E5" w:rsidRPr="00C632F6" w14:paraId="7911B3A7" w14:textId="77777777" w:rsidTr="006273BD">
        <w:tc>
          <w:tcPr>
            <w:tcW w:w="336" w:type="pct"/>
          </w:tcPr>
          <w:p w14:paraId="7ABF5851" w14:textId="77777777" w:rsidR="00F153E5" w:rsidRPr="00C632F6" w:rsidRDefault="00F153E5" w:rsidP="008A6925">
            <w:pPr>
              <w:spacing w:before="120" w:after="120"/>
              <w:jc w:val="left"/>
              <w:rPr>
                <w:sz w:val="18"/>
                <w:szCs w:val="18"/>
              </w:rPr>
            </w:pPr>
            <w:r w:rsidRPr="00C632F6">
              <w:rPr>
                <w:sz w:val="18"/>
                <w:szCs w:val="18"/>
              </w:rPr>
              <w:lastRenderedPageBreak/>
              <w:t>5</w:t>
            </w:r>
          </w:p>
        </w:tc>
        <w:tc>
          <w:tcPr>
            <w:tcW w:w="4664" w:type="pct"/>
          </w:tcPr>
          <w:p w14:paraId="56B47EF8" w14:textId="47AD20DC" w:rsidR="00E76609" w:rsidRPr="00681DAA" w:rsidRDefault="00F153E5" w:rsidP="008A6925">
            <w:pPr>
              <w:spacing w:before="120" w:after="120"/>
              <w:jc w:val="left"/>
              <w:rPr>
                <w:sz w:val="18"/>
                <w:szCs w:val="18"/>
              </w:rPr>
            </w:pPr>
            <w:r w:rsidRPr="00681DAA">
              <w:rPr>
                <w:sz w:val="18"/>
                <w:szCs w:val="18"/>
              </w:rPr>
              <w:t>System Operators and Coordinated Planning</w:t>
            </w:r>
            <w:r w:rsidR="00E76609" w:rsidRPr="00681DAA">
              <w:rPr>
                <w:sz w:val="18"/>
                <w:szCs w:val="18"/>
              </w:rPr>
              <w:t xml:space="preserve">. </w:t>
            </w:r>
            <w:r w:rsidR="00681DAA">
              <w:rPr>
                <w:sz w:val="18"/>
                <w:szCs w:val="18"/>
              </w:rPr>
              <w:t>Which c</w:t>
            </w:r>
            <w:r w:rsidR="00E76609" w:rsidRPr="00681DAA">
              <w:rPr>
                <w:sz w:val="18"/>
                <w:szCs w:val="18"/>
              </w:rPr>
              <w:t>overs the following sub-Guidelines</w:t>
            </w:r>
            <w:r w:rsidR="00681DAA">
              <w:rPr>
                <w:sz w:val="18"/>
                <w:szCs w:val="18"/>
              </w:rPr>
              <w:t xml:space="preserve">: </w:t>
            </w:r>
          </w:p>
          <w:p w14:paraId="5A3F6829" w14:textId="6577C5BC" w:rsidR="00E76609" w:rsidRPr="00316837" w:rsidRDefault="00E76609" w:rsidP="00C632F6">
            <w:pPr>
              <w:spacing w:before="120" w:after="120"/>
              <w:jc w:val="left"/>
              <w:rPr>
                <w:sz w:val="18"/>
                <w:szCs w:val="18"/>
              </w:rPr>
            </w:pPr>
            <w:r w:rsidRPr="00316837">
              <w:rPr>
                <w:sz w:val="18"/>
                <w:szCs w:val="18"/>
              </w:rPr>
              <w:t xml:space="preserve">5.1: Synchronising Procedures; </w:t>
            </w:r>
          </w:p>
          <w:p w14:paraId="4D8BDF03" w14:textId="77777777" w:rsidR="00E76609" w:rsidRPr="00316837" w:rsidRDefault="00E76609" w:rsidP="00316837">
            <w:pPr>
              <w:spacing w:before="120" w:after="120"/>
              <w:jc w:val="left"/>
              <w:rPr>
                <w:sz w:val="18"/>
                <w:szCs w:val="18"/>
              </w:rPr>
            </w:pPr>
            <w:r w:rsidRPr="00316837">
              <w:rPr>
                <w:sz w:val="18"/>
                <w:szCs w:val="18"/>
              </w:rPr>
              <w:t xml:space="preserve">5.2: Operational Data; </w:t>
            </w:r>
          </w:p>
          <w:p w14:paraId="09F74212" w14:textId="77777777" w:rsidR="00E76609" w:rsidRPr="00316837" w:rsidRDefault="00E76609" w:rsidP="00316837">
            <w:pPr>
              <w:spacing w:before="120" w:after="120"/>
              <w:jc w:val="left"/>
              <w:rPr>
                <w:sz w:val="18"/>
                <w:szCs w:val="18"/>
              </w:rPr>
            </w:pPr>
            <w:r w:rsidRPr="00316837">
              <w:rPr>
                <w:sz w:val="18"/>
                <w:szCs w:val="18"/>
              </w:rPr>
              <w:t xml:space="preserve">5.3: Transmission Capacity Allocation; and </w:t>
            </w:r>
          </w:p>
          <w:p w14:paraId="19AC10EA" w14:textId="7ACB60E7" w:rsidR="00F153E5" w:rsidRPr="00681DAA" w:rsidRDefault="00E76609" w:rsidP="00316837">
            <w:pPr>
              <w:spacing w:before="120" w:after="120"/>
              <w:jc w:val="left"/>
              <w:rPr>
                <w:sz w:val="18"/>
                <w:szCs w:val="18"/>
              </w:rPr>
            </w:pPr>
            <w:r w:rsidRPr="00316837">
              <w:rPr>
                <w:sz w:val="18"/>
                <w:szCs w:val="18"/>
              </w:rPr>
              <w:t>5.4: Ancillary Services Provision</w:t>
            </w:r>
            <w:r w:rsidR="00681DAA">
              <w:rPr>
                <w:sz w:val="18"/>
                <w:szCs w:val="18"/>
              </w:rPr>
              <w:t xml:space="preserve"> </w:t>
            </w:r>
          </w:p>
        </w:tc>
      </w:tr>
      <w:tr w:rsidR="00F153E5" w:rsidRPr="00C632F6" w14:paraId="7DC2161C" w14:textId="77777777" w:rsidTr="006273BD">
        <w:tc>
          <w:tcPr>
            <w:tcW w:w="336" w:type="pct"/>
          </w:tcPr>
          <w:p w14:paraId="3725F4EC" w14:textId="77777777" w:rsidR="00F153E5" w:rsidRPr="00C632F6" w:rsidRDefault="00F153E5" w:rsidP="008A6925">
            <w:pPr>
              <w:spacing w:before="120" w:after="120"/>
              <w:jc w:val="left"/>
              <w:rPr>
                <w:sz w:val="18"/>
                <w:szCs w:val="18"/>
              </w:rPr>
            </w:pPr>
            <w:r w:rsidRPr="00C632F6">
              <w:rPr>
                <w:sz w:val="18"/>
                <w:szCs w:val="18"/>
              </w:rPr>
              <w:t>6</w:t>
            </w:r>
          </w:p>
        </w:tc>
        <w:tc>
          <w:tcPr>
            <w:tcW w:w="4664" w:type="pct"/>
          </w:tcPr>
          <w:p w14:paraId="6098214B" w14:textId="57D2779B" w:rsidR="00B87D4E" w:rsidRPr="00681DAA" w:rsidRDefault="00F153E5" w:rsidP="008A6925">
            <w:pPr>
              <w:spacing w:before="120" w:after="120"/>
              <w:jc w:val="left"/>
              <w:rPr>
                <w:sz w:val="18"/>
                <w:szCs w:val="18"/>
              </w:rPr>
            </w:pPr>
            <w:r w:rsidRPr="00681DAA">
              <w:rPr>
                <w:sz w:val="18"/>
                <w:szCs w:val="18"/>
              </w:rPr>
              <w:t>Interconnection of Off-grid Mini-grids</w:t>
            </w:r>
            <w:r w:rsidR="00B87D4E" w:rsidRPr="00681DAA">
              <w:rPr>
                <w:sz w:val="18"/>
                <w:szCs w:val="18"/>
              </w:rPr>
              <w:t xml:space="preserve">. </w:t>
            </w:r>
            <w:r w:rsidR="00681DAA">
              <w:rPr>
                <w:sz w:val="18"/>
                <w:szCs w:val="18"/>
              </w:rPr>
              <w:t>Which c</w:t>
            </w:r>
            <w:r w:rsidR="00B87D4E" w:rsidRPr="00681DAA">
              <w:rPr>
                <w:sz w:val="18"/>
                <w:szCs w:val="18"/>
              </w:rPr>
              <w:t>overs the following sub-Guidelines:</w:t>
            </w:r>
            <w:r w:rsidR="00681DAA">
              <w:rPr>
                <w:sz w:val="18"/>
                <w:szCs w:val="18"/>
              </w:rPr>
              <w:t xml:space="preserve"> </w:t>
            </w:r>
          </w:p>
          <w:p w14:paraId="26E7463B" w14:textId="5CBB8B07" w:rsidR="00B87D4E" w:rsidRPr="00681DAA" w:rsidRDefault="00B87D4E" w:rsidP="00C632F6">
            <w:pPr>
              <w:spacing w:before="120" w:after="120"/>
              <w:jc w:val="left"/>
              <w:rPr>
                <w:sz w:val="18"/>
                <w:szCs w:val="18"/>
              </w:rPr>
            </w:pPr>
            <w:r w:rsidRPr="00681DAA">
              <w:rPr>
                <w:sz w:val="18"/>
                <w:szCs w:val="18"/>
              </w:rPr>
              <w:t xml:space="preserve">6.1: Technical </w:t>
            </w:r>
            <w:r w:rsidR="00681DAA">
              <w:rPr>
                <w:sz w:val="18"/>
                <w:szCs w:val="18"/>
              </w:rPr>
              <w:t>M</w:t>
            </w:r>
            <w:r w:rsidRPr="00681DAA">
              <w:rPr>
                <w:sz w:val="18"/>
                <w:szCs w:val="18"/>
              </w:rPr>
              <w:t xml:space="preserve">odalities for </w:t>
            </w:r>
            <w:r w:rsidR="00681DAA">
              <w:rPr>
                <w:sz w:val="18"/>
                <w:szCs w:val="18"/>
              </w:rPr>
              <w:t>M</w:t>
            </w:r>
            <w:r w:rsidRPr="00681DAA">
              <w:rPr>
                <w:sz w:val="18"/>
                <w:szCs w:val="18"/>
              </w:rPr>
              <w:t xml:space="preserve">ain </w:t>
            </w:r>
            <w:r w:rsidR="00681DAA">
              <w:rPr>
                <w:sz w:val="18"/>
                <w:szCs w:val="18"/>
              </w:rPr>
              <w:t>G</w:t>
            </w:r>
            <w:r w:rsidRPr="00681DAA">
              <w:rPr>
                <w:sz w:val="18"/>
                <w:szCs w:val="18"/>
              </w:rPr>
              <w:t xml:space="preserve">rid </w:t>
            </w:r>
            <w:r w:rsidR="00681DAA">
              <w:rPr>
                <w:sz w:val="18"/>
                <w:szCs w:val="18"/>
              </w:rPr>
              <w:t>C</w:t>
            </w:r>
            <w:r w:rsidRPr="00681DAA">
              <w:rPr>
                <w:sz w:val="18"/>
                <w:szCs w:val="18"/>
              </w:rPr>
              <w:t xml:space="preserve">onnection of </w:t>
            </w:r>
            <w:r w:rsidR="00681DAA">
              <w:rPr>
                <w:sz w:val="18"/>
                <w:szCs w:val="18"/>
              </w:rPr>
              <w:t>O</w:t>
            </w:r>
            <w:r w:rsidRPr="00681DAA">
              <w:rPr>
                <w:sz w:val="18"/>
                <w:szCs w:val="18"/>
              </w:rPr>
              <w:t>ff-</w:t>
            </w:r>
            <w:r w:rsidR="00681DAA">
              <w:rPr>
                <w:sz w:val="18"/>
                <w:szCs w:val="18"/>
              </w:rPr>
              <w:t>G</w:t>
            </w:r>
            <w:r w:rsidRPr="00681DAA">
              <w:rPr>
                <w:sz w:val="18"/>
                <w:szCs w:val="18"/>
              </w:rPr>
              <w:t xml:space="preserve">rid </w:t>
            </w:r>
            <w:r w:rsidR="00681DAA">
              <w:rPr>
                <w:sz w:val="18"/>
                <w:szCs w:val="18"/>
              </w:rPr>
              <w:t>M</w:t>
            </w:r>
            <w:r w:rsidRPr="00681DAA">
              <w:rPr>
                <w:sz w:val="18"/>
                <w:szCs w:val="18"/>
              </w:rPr>
              <w:t>ini-</w:t>
            </w:r>
            <w:r w:rsidR="00681DAA">
              <w:rPr>
                <w:sz w:val="18"/>
                <w:szCs w:val="18"/>
              </w:rPr>
              <w:t>G</w:t>
            </w:r>
            <w:r w:rsidRPr="00681DAA">
              <w:rPr>
                <w:sz w:val="18"/>
                <w:szCs w:val="18"/>
              </w:rPr>
              <w:t xml:space="preserve">rids; and </w:t>
            </w:r>
          </w:p>
          <w:p w14:paraId="4631C0E6" w14:textId="7EB28204" w:rsidR="00F153E5" w:rsidRPr="00681DAA" w:rsidRDefault="00B87D4E" w:rsidP="00681DAA">
            <w:pPr>
              <w:spacing w:before="120" w:after="120"/>
              <w:jc w:val="left"/>
              <w:rPr>
                <w:sz w:val="18"/>
                <w:szCs w:val="18"/>
              </w:rPr>
            </w:pPr>
            <w:r w:rsidRPr="00681DAA">
              <w:rPr>
                <w:sz w:val="18"/>
                <w:szCs w:val="18"/>
              </w:rPr>
              <w:t xml:space="preserve">6.2: Regulatory </w:t>
            </w:r>
            <w:r w:rsidR="00681DAA">
              <w:rPr>
                <w:sz w:val="18"/>
                <w:szCs w:val="18"/>
              </w:rPr>
              <w:t>F</w:t>
            </w:r>
            <w:r w:rsidRPr="00681DAA">
              <w:rPr>
                <w:sz w:val="18"/>
                <w:szCs w:val="18"/>
              </w:rPr>
              <w:t xml:space="preserve">rameworks for </w:t>
            </w:r>
            <w:r w:rsidR="00681DAA">
              <w:rPr>
                <w:sz w:val="18"/>
                <w:szCs w:val="18"/>
              </w:rPr>
              <w:t>M</w:t>
            </w:r>
            <w:r w:rsidRPr="00681DAA">
              <w:rPr>
                <w:sz w:val="18"/>
                <w:szCs w:val="18"/>
              </w:rPr>
              <w:t xml:space="preserve">ain </w:t>
            </w:r>
            <w:r w:rsidR="00681DAA">
              <w:rPr>
                <w:sz w:val="18"/>
                <w:szCs w:val="18"/>
              </w:rPr>
              <w:t>G</w:t>
            </w:r>
            <w:r w:rsidRPr="00681DAA">
              <w:rPr>
                <w:sz w:val="18"/>
                <w:szCs w:val="18"/>
              </w:rPr>
              <w:t xml:space="preserve">rid </w:t>
            </w:r>
            <w:r w:rsidR="00681DAA">
              <w:rPr>
                <w:sz w:val="18"/>
                <w:szCs w:val="18"/>
              </w:rPr>
              <w:t>C</w:t>
            </w:r>
            <w:r w:rsidRPr="00681DAA">
              <w:rPr>
                <w:sz w:val="18"/>
                <w:szCs w:val="18"/>
              </w:rPr>
              <w:t xml:space="preserve">onnection of </w:t>
            </w:r>
            <w:r w:rsidR="00681DAA">
              <w:rPr>
                <w:sz w:val="18"/>
                <w:szCs w:val="18"/>
              </w:rPr>
              <w:t>O</w:t>
            </w:r>
            <w:r w:rsidRPr="00681DAA">
              <w:rPr>
                <w:sz w:val="18"/>
                <w:szCs w:val="18"/>
              </w:rPr>
              <w:t>ff-</w:t>
            </w:r>
            <w:r w:rsidR="00681DAA">
              <w:rPr>
                <w:sz w:val="18"/>
                <w:szCs w:val="18"/>
              </w:rPr>
              <w:t>G</w:t>
            </w:r>
            <w:r w:rsidRPr="00681DAA">
              <w:rPr>
                <w:sz w:val="18"/>
                <w:szCs w:val="18"/>
              </w:rPr>
              <w:t xml:space="preserve">rid </w:t>
            </w:r>
            <w:r w:rsidR="00681DAA">
              <w:rPr>
                <w:sz w:val="18"/>
                <w:szCs w:val="18"/>
              </w:rPr>
              <w:t>M</w:t>
            </w:r>
            <w:r w:rsidRPr="00681DAA">
              <w:rPr>
                <w:sz w:val="18"/>
                <w:szCs w:val="18"/>
              </w:rPr>
              <w:t>ini-</w:t>
            </w:r>
            <w:r w:rsidR="00681DAA">
              <w:rPr>
                <w:sz w:val="18"/>
                <w:szCs w:val="18"/>
              </w:rPr>
              <w:t>G</w:t>
            </w:r>
            <w:r w:rsidRPr="00681DAA">
              <w:rPr>
                <w:sz w:val="18"/>
                <w:szCs w:val="18"/>
              </w:rPr>
              <w:t xml:space="preserve">rids and </w:t>
            </w:r>
            <w:r w:rsidR="00681DAA">
              <w:rPr>
                <w:sz w:val="18"/>
                <w:szCs w:val="18"/>
              </w:rPr>
              <w:t>M</w:t>
            </w:r>
            <w:r w:rsidRPr="00681DAA">
              <w:rPr>
                <w:sz w:val="18"/>
                <w:szCs w:val="18"/>
              </w:rPr>
              <w:t>icro-DSOs.</w:t>
            </w:r>
            <w:r w:rsidR="00681DAA">
              <w:rPr>
                <w:sz w:val="18"/>
                <w:szCs w:val="18"/>
              </w:rPr>
              <w:t xml:space="preserve"> </w:t>
            </w:r>
          </w:p>
        </w:tc>
      </w:tr>
    </w:tbl>
    <w:p w14:paraId="699240FD" w14:textId="405979AA" w:rsidR="00B87D4E" w:rsidRPr="006273BD" w:rsidRDefault="00B87D4E" w:rsidP="006273BD">
      <w:pPr>
        <w:pStyle w:val="Heading2"/>
        <w:numPr>
          <w:ilvl w:val="0"/>
          <w:numId w:val="0"/>
        </w:numPr>
        <w:ind w:left="576" w:hanging="576"/>
        <w:rPr>
          <w:b w:val="0"/>
          <w:smallCaps w:val="0"/>
        </w:rPr>
      </w:pPr>
      <w:bookmarkStart w:id="29" w:name="_Toc74046597"/>
      <w:bookmarkStart w:id="30" w:name="_Toc77260285"/>
      <w:r w:rsidRPr="006273BD">
        <w:t xml:space="preserve">E.4 </w:t>
      </w:r>
      <w:r w:rsidR="00C632F6" w:rsidRPr="00C632F6">
        <w:t>Recommendations f</w:t>
      </w:r>
      <w:r w:rsidR="00C632F6" w:rsidRPr="00316837">
        <w:t xml:space="preserve">or the AfSEM Policy </w:t>
      </w:r>
      <w:r w:rsidR="006273BD">
        <w:t>a</w:t>
      </w:r>
      <w:r w:rsidR="00C632F6" w:rsidRPr="00316837">
        <w:t>nd Strategy</w:t>
      </w:r>
      <w:bookmarkEnd w:id="29"/>
      <w:bookmarkEnd w:id="30"/>
      <w:r w:rsidR="006273BD">
        <w:t xml:space="preserve"> </w:t>
      </w:r>
    </w:p>
    <w:p w14:paraId="551C60BE" w14:textId="5122CAA2" w:rsidR="00647C4A" w:rsidRPr="006273BD" w:rsidRDefault="00B87D4E" w:rsidP="00F153E5">
      <w:r w:rsidRPr="006273BD">
        <w:t xml:space="preserve">For policy and strategy purposes, the Technical and Operational Readiness (Guidelines and Action Plan) will provide </w:t>
      </w:r>
      <w:r w:rsidR="00681DAA">
        <w:t>African P</w:t>
      </w:r>
      <w:r w:rsidRPr="006273BD">
        <w:t xml:space="preserve">ower </w:t>
      </w:r>
      <w:r w:rsidR="00681DAA">
        <w:t>P</w:t>
      </w:r>
      <w:r w:rsidRPr="006273BD">
        <w:t xml:space="preserve">ools and their members/TSOs, </w:t>
      </w:r>
      <w:r w:rsidR="00681DAA">
        <w:t xml:space="preserve">the regional </w:t>
      </w:r>
      <w:r w:rsidRPr="006273BD">
        <w:t>regulatory authorities</w:t>
      </w:r>
      <w:r w:rsidR="00681DAA">
        <w:t>/associations</w:t>
      </w:r>
      <w:r w:rsidRPr="006273BD">
        <w:t xml:space="preserve"> and stakeholders, with a set of </w:t>
      </w:r>
      <w:r w:rsidR="00681DAA">
        <w:t>G</w:t>
      </w:r>
      <w:r w:rsidRPr="006273BD">
        <w:t>uide</w:t>
      </w:r>
      <w:r w:rsidR="00F05985" w:rsidRPr="006273BD">
        <w:t xml:space="preserve">lines </w:t>
      </w:r>
      <w:r w:rsidRPr="006273BD">
        <w:t xml:space="preserve">that will ensure that the integrated </w:t>
      </w:r>
      <w:r w:rsidR="00681DAA">
        <w:t xml:space="preserve">power </w:t>
      </w:r>
      <w:r w:rsidRPr="006273BD">
        <w:t>system is technical</w:t>
      </w:r>
      <w:r w:rsidR="00F05985" w:rsidRPr="006273BD">
        <w:t>ly</w:t>
      </w:r>
      <w:r w:rsidRPr="006273BD">
        <w:t xml:space="preserve"> and operationally ready for electricity trading to take place</w:t>
      </w:r>
      <w:r w:rsidR="00F05985" w:rsidRPr="006273BD">
        <w:t>,</w:t>
      </w:r>
      <w:r w:rsidRPr="006273BD">
        <w:t xml:space="preserve"> in a safe, secured and reliable manner. The report has recommended a</w:t>
      </w:r>
      <w:r w:rsidR="00C172B1" w:rsidRPr="006273BD">
        <w:t xml:space="preserve">n </w:t>
      </w:r>
      <w:r w:rsidRPr="006273BD">
        <w:t xml:space="preserve">Action Plan to be implemented in three phases over the following three time horizons: the short-term (2021-2025), medium-term (2026-2030) and long-term (2031-2040). The key activities which define </w:t>
      </w:r>
      <w:r w:rsidR="00A101BE" w:rsidRPr="006273BD">
        <w:rPr>
          <w:szCs w:val="20"/>
        </w:rPr>
        <w:t xml:space="preserve">each of the </w:t>
      </w:r>
      <w:r w:rsidRPr="006273BD">
        <w:rPr>
          <w:szCs w:val="20"/>
        </w:rPr>
        <w:t xml:space="preserve">three </w:t>
      </w:r>
      <w:r w:rsidR="00681DAA" w:rsidRPr="00316837">
        <w:rPr>
          <w:szCs w:val="20"/>
        </w:rPr>
        <w:t>phases</w:t>
      </w:r>
      <w:r w:rsidRPr="006273BD">
        <w:rPr>
          <w:szCs w:val="20"/>
        </w:rPr>
        <w:t xml:space="preserve"> </w:t>
      </w:r>
      <w:r w:rsidR="00681DAA" w:rsidRPr="00316837">
        <w:rPr>
          <w:szCs w:val="20"/>
        </w:rPr>
        <w:t xml:space="preserve">(see </w:t>
      </w:r>
      <w:r w:rsidR="00681DAA" w:rsidRPr="00681DAA">
        <w:rPr>
          <w:szCs w:val="20"/>
        </w:rPr>
        <w:fldChar w:fldCharType="begin"/>
      </w:r>
      <w:r w:rsidR="00681DAA" w:rsidRPr="00316837">
        <w:rPr>
          <w:szCs w:val="20"/>
        </w:rPr>
        <w:instrText xml:space="preserve"> REF _Ref77243942 \h </w:instrText>
      </w:r>
      <w:r w:rsidR="00681DAA">
        <w:rPr>
          <w:szCs w:val="20"/>
        </w:rPr>
        <w:instrText xml:space="preserve"> \* MERGEFORMAT </w:instrText>
      </w:r>
      <w:r w:rsidR="00681DAA" w:rsidRPr="00681DAA">
        <w:rPr>
          <w:szCs w:val="20"/>
        </w:rPr>
      </w:r>
      <w:r w:rsidR="00681DAA" w:rsidRPr="00681DAA">
        <w:rPr>
          <w:szCs w:val="20"/>
        </w:rPr>
        <w:fldChar w:fldCharType="separate"/>
      </w:r>
      <w:r w:rsidR="00681DAA" w:rsidRPr="006273BD">
        <w:rPr>
          <w:rFonts w:eastAsia="Calibri" w:cs="Arial"/>
          <w:bCs/>
          <w:szCs w:val="20"/>
        </w:rPr>
        <w:t>Table E</w:t>
      </w:r>
      <w:r w:rsidR="00681DAA" w:rsidRPr="006273BD">
        <w:rPr>
          <w:rFonts w:eastAsia="Calibri" w:cs="Arial"/>
          <w:bCs/>
          <w:szCs w:val="20"/>
        </w:rPr>
        <w:noBreakHyphen/>
      </w:r>
      <w:r w:rsidR="00681DAA" w:rsidRPr="006273BD">
        <w:rPr>
          <w:rFonts w:eastAsia="Calibri" w:cs="Arial"/>
          <w:bCs/>
          <w:noProof/>
          <w:szCs w:val="20"/>
        </w:rPr>
        <w:t>2</w:t>
      </w:r>
      <w:r w:rsidR="00681DAA" w:rsidRPr="00681DAA">
        <w:rPr>
          <w:szCs w:val="20"/>
        </w:rPr>
        <w:fldChar w:fldCharType="end"/>
      </w:r>
      <w:r w:rsidR="00681DAA" w:rsidRPr="00681DAA">
        <w:rPr>
          <w:szCs w:val="20"/>
        </w:rPr>
        <w:t xml:space="preserve">) are </w:t>
      </w:r>
      <w:r w:rsidR="00681DAA" w:rsidRPr="00316837">
        <w:rPr>
          <w:szCs w:val="20"/>
        </w:rPr>
        <w:t>elaborated in the report in d</w:t>
      </w:r>
      <w:r w:rsidR="00003C46" w:rsidRPr="006273BD">
        <w:rPr>
          <w:szCs w:val="20"/>
        </w:rPr>
        <w:t>etail</w:t>
      </w:r>
      <w:r w:rsidR="00681DAA" w:rsidRPr="00316837">
        <w:rPr>
          <w:szCs w:val="20"/>
        </w:rPr>
        <w:t xml:space="preserve"> </w:t>
      </w:r>
      <w:r w:rsidR="00003C46" w:rsidRPr="006273BD">
        <w:rPr>
          <w:szCs w:val="20"/>
        </w:rPr>
        <w:t>at the national, regional and</w:t>
      </w:r>
      <w:r w:rsidR="00003C46" w:rsidRPr="006273BD">
        <w:t xml:space="preserve"> continental levels</w:t>
      </w:r>
      <w:r w:rsidR="00681DAA">
        <w:t xml:space="preserve">. </w:t>
      </w:r>
    </w:p>
    <w:p w14:paraId="01967216" w14:textId="2EE0296D" w:rsidR="00681DAA" w:rsidRPr="00654753" w:rsidRDefault="00681DAA" w:rsidP="00681DAA">
      <w:pPr>
        <w:spacing w:before="120"/>
        <w:rPr>
          <w:rFonts w:eastAsia="Calibri" w:cs="Arial"/>
          <w:bCs/>
          <w:sz w:val="18"/>
          <w:szCs w:val="18"/>
        </w:rPr>
      </w:pPr>
      <w:bookmarkStart w:id="31" w:name="_Ref77243942"/>
      <w:bookmarkStart w:id="32" w:name="_Toc77260234"/>
      <w:r w:rsidRPr="00681DAA">
        <w:rPr>
          <w:rFonts w:eastAsia="Calibri" w:cs="Arial"/>
          <w:bCs/>
          <w:sz w:val="18"/>
          <w:szCs w:val="18"/>
        </w:rPr>
        <w:t xml:space="preserve">Table </w:t>
      </w:r>
      <w:r>
        <w:rPr>
          <w:rFonts w:eastAsia="Calibri" w:cs="Arial"/>
          <w:bCs/>
          <w:sz w:val="18"/>
          <w:szCs w:val="18"/>
        </w:rPr>
        <w:t>E</w:t>
      </w:r>
      <w:r w:rsidRPr="00C632F6">
        <w:rPr>
          <w:rFonts w:eastAsia="Calibri" w:cs="Arial"/>
          <w:bCs/>
          <w:sz w:val="18"/>
          <w:szCs w:val="18"/>
        </w:rPr>
        <w:noBreakHyphen/>
      </w:r>
      <w:r w:rsidRPr="00654753">
        <w:rPr>
          <w:rFonts w:eastAsia="Calibri" w:cs="Arial"/>
          <w:bCs/>
          <w:sz w:val="18"/>
          <w:szCs w:val="18"/>
        </w:rPr>
        <w:fldChar w:fldCharType="begin"/>
      </w:r>
      <w:r w:rsidRPr="00A40D3F">
        <w:rPr>
          <w:rFonts w:eastAsia="Calibri" w:cs="Arial"/>
          <w:bCs/>
          <w:sz w:val="18"/>
          <w:szCs w:val="18"/>
        </w:rPr>
        <w:instrText xml:space="preserve"> SEQ Table \* ARABIC \s 1 </w:instrText>
      </w:r>
      <w:r w:rsidRPr="00654753">
        <w:rPr>
          <w:rFonts w:eastAsia="Calibri" w:cs="Arial"/>
          <w:bCs/>
          <w:sz w:val="18"/>
          <w:szCs w:val="18"/>
        </w:rPr>
        <w:fldChar w:fldCharType="separate"/>
      </w:r>
      <w:r>
        <w:rPr>
          <w:rFonts w:eastAsia="Calibri" w:cs="Arial"/>
          <w:bCs/>
          <w:noProof/>
          <w:sz w:val="18"/>
          <w:szCs w:val="18"/>
        </w:rPr>
        <w:t>2</w:t>
      </w:r>
      <w:r w:rsidRPr="00654753">
        <w:rPr>
          <w:rFonts w:eastAsia="Calibri" w:cs="Arial"/>
          <w:bCs/>
          <w:sz w:val="18"/>
          <w:szCs w:val="18"/>
        </w:rPr>
        <w:fldChar w:fldCharType="end"/>
      </w:r>
      <w:bookmarkEnd w:id="31"/>
      <w:r w:rsidRPr="00C632F6">
        <w:rPr>
          <w:rFonts w:eastAsia="Calibri" w:cs="Arial"/>
          <w:bCs/>
          <w:sz w:val="18"/>
          <w:szCs w:val="18"/>
        </w:rPr>
        <w:t xml:space="preserve">: </w:t>
      </w:r>
      <w:r>
        <w:rPr>
          <w:rFonts w:eastAsia="Calibri" w:cs="Arial"/>
          <w:bCs/>
          <w:sz w:val="18"/>
          <w:szCs w:val="18"/>
        </w:rPr>
        <w:t>The key activities covered under the Technical and Operational Readiness</w:t>
      </w:r>
      <w:bookmarkEnd w:id="32"/>
      <w:r>
        <w:rPr>
          <w:rFonts w:eastAsia="Calibri" w:cs="Arial"/>
          <w:bCs/>
          <w:sz w:val="18"/>
          <w:szCs w:val="18"/>
        </w:rPr>
        <w:t xml:space="preserve"> </w:t>
      </w:r>
    </w:p>
    <w:tbl>
      <w:tblPr>
        <w:tblStyle w:val="TableGrid"/>
        <w:tblW w:w="5000" w:type="pct"/>
        <w:tblLook w:val="04A0" w:firstRow="1" w:lastRow="0" w:firstColumn="1" w:lastColumn="0" w:noHBand="0" w:noVBand="1"/>
      </w:tblPr>
      <w:tblGrid>
        <w:gridCol w:w="1512"/>
        <w:gridCol w:w="8117"/>
      </w:tblGrid>
      <w:tr w:rsidR="00647C4A" w:rsidRPr="00C632F6" w14:paraId="5EA77521" w14:textId="77777777" w:rsidTr="006273BD">
        <w:tc>
          <w:tcPr>
            <w:tcW w:w="785" w:type="pct"/>
            <w:shd w:val="clear" w:color="auto" w:fill="F2F2F2" w:themeFill="background1" w:themeFillShade="F2"/>
          </w:tcPr>
          <w:p w14:paraId="7F2D8A9F" w14:textId="68A218C8" w:rsidR="00647C4A" w:rsidRPr="006273BD" w:rsidRDefault="00647C4A" w:rsidP="006273BD">
            <w:pPr>
              <w:spacing w:before="120" w:after="120"/>
              <w:jc w:val="left"/>
              <w:rPr>
                <w:rFonts w:eastAsia="Calibri"/>
                <w:b/>
                <w:sz w:val="18"/>
                <w:szCs w:val="18"/>
              </w:rPr>
            </w:pPr>
            <w:r w:rsidRPr="006273BD">
              <w:rPr>
                <w:rFonts w:eastAsia="Calibri"/>
                <w:b/>
                <w:sz w:val="18"/>
                <w:szCs w:val="18"/>
              </w:rPr>
              <w:t xml:space="preserve">Time </w:t>
            </w:r>
            <w:r w:rsidR="00507C15">
              <w:rPr>
                <w:rFonts w:eastAsia="Calibri"/>
                <w:b/>
                <w:sz w:val="18"/>
                <w:szCs w:val="18"/>
              </w:rPr>
              <w:t>h</w:t>
            </w:r>
            <w:r w:rsidRPr="006273BD">
              <w:rPr>
                <w:rFonts w:eastAsia="Calibri"/>
                <w:b/>
                <w:sz w:val="18"/>
                <w:szCs w:val="18"/>
              </w:rPr>
              <w:t>orizon</w:t>
            </w:r>
          </w:p>
        </w:tc>
        <w:tc>
          <w:tcPr>
            <w:tcW w:w="4215" w:type="pct"/>
            <w:shd w:val="clear" w:color="auto" w:fill="F2F2F2" w:themeFill="background1" w:themeFillShade="F2"/>
          </w:tcPr>
          <w:p w14:paraId="112BF6CB" w14:textId="2D9D96DC" w:rsidR="00647C4A" w:rsidRPr="006273BD" w:rsidRDefault="00647C4A" w:rsidP="006273BD">
            <w:pPr>
              <w:spacing w:before="120" w:after="120"/>
              <w:jc w:val="left"/>
              <w:rPr>
                <w:rFonts w:eastAsia="Calibri"/>
                <w:b/>
                <w:sz w:val="18"/>
                <w:szCs w:val="18"/>
              </w:rPr>
            </w:pPr>
            <w:r w:rsidRPr="006273BD">
              <w:rPr>
                <w:rFonts w:eastAsia="Calibri"/>
                <w:b/>
                <w:sz w:val="18"/>
                <w:szCs w:val="18"/>
              </w:rPr>
              <w:t xml:space="preserve">Key </w:t>
            </w:r>
            <w:r w:rsidR="00507C15">
              <w:rPr>
                <w:rFonts w:eastAsia="Calibri"/>
                <w:b/>
                <w:sz w:val="18"/>
                <w:szCs w:val="18"/>
              </w:rPr>
              <w:t>a</w:t>
            </w:r>
            <w:r w:rsidRPr="006273BD">
              <w:rPr>
                <w:rFonts w:eastAsia="Calibri"/>
                <w:b/>
                <w:sz w:val="18"/>
                <w:szCs w:val="18"/>
              </w:rPr>
              <w:t>ctivities</w:t>
            </w:r>
          </w:p>
        </w:tc>
      </w:tr>
      <w:tr w:rsidR="00647C4A" w:rsidRPr="00C632F6" w14:paraId="07105FD2" w14:textId="77777777" w:rsidTr="006273BD">
        <w:tc>
          <w:tcPr>
            <w:tcW w:w="785" w:type="pct"/>
          </w:tcPr>
          <w:p w14:paraId="59455358" w14:textId="58E94D8C" w:rsidR="00647C4A" w:rsidRPr="006273BD" w:rsidRDefault="00647C4A" w:rsidP="006273BD">
            <w:pPr>
              <w:spacing w:before="120" w:after="120"/>
              <w:jc w:val="left"/>
              <w:rPr>
                <w:rFonts w:eastAsia="Calibri" w:cs="Arial"/>
                <w:sz w:val="18"/>
                <w:szCs w:val="18"/>
              </w:rPr>
            </w:pPr>
            <w:r w:rsidRPr="006273BD">
              <w:rPr>
                <w:rFonts w:eastAsia="Calibri" w:cs="Arial"/>
                <w:sz w:val="18"/>
                <w:szCs w:val="18"/>
              </w:rPr>
              <w:t>Short</w:t>
            </w:r>
            <w:r w:rsidR="00681DAA">
              <w:rPr>
                <w:rFonts w:eastAsia="Calibri" w:cs="Arial"/>
                <w:sz w:val="18"/>
                <w:szCs w:val="18"/>
              </w:rPr>
              <w:t>-</w:t>
            </w:r>
            <w:r w:rsidR="00507C15">
              <w:rPr>
                <w:rFonts w:eastAsia="Calibri" w:cs="Arial"/>
                <w:sz w:val="18"/>
                <w:szCs w:val="18"/>
              </w:rPr>
              <w:t>t</w:t>
            </w:r>
            <w:r w:rsidRPr="006273BD">
              <w:rPr>
                <w:rFonts w:eastAsia="Calibri" w:cs="Arial"/>
                <w:sz w:val="18"/>
                <w:szCs w:val="18"/>
              </w:rPr>
              <w:t>erm</w:t>
            </w:r>
          </w:p>
        </w:tc>
        <w:tc>
          <w:tcPr>
            <w:tcW w:w="4215" w:type="pct"/>
          </w:tcPr>
          <w:p w14:paraId="714D285F" w14:textId="77777777" w:rsidR="00003C46" w:rsidRPr="006273BD" w:rsidRDefault="00003C46" w:rsidP="006273BD">
            <w:pPr>
              <w:pStyle w:val="ListParagraph"/>
              <w:numPr>
                <w:ilvl w:val="0"/>
                <w:numId w:val="99"/>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Establishment of national and regional institutions/entities in charge of system operation </w:t>
            </w:r>
          </w:p>
          <w:p w14:paraId="3812BA60" w14:textId="77777777" w:rsidR="00003C46" w:rsidRPr="006273BD" w:rsidRDefault="00003C46" w:rsidP="006273BD">
            <w:pPr>
              <w:pStyle w:val="ListParagraph"/>
              <w:numPr>
                <w:ilvl w:val="0"/>
                <w:numId w:val="99"/>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Establishment of dispatch and system control centres with ICT capabilities in the national TSOs, the Control Area Operators, and the RSMOs </w:t>
            </w:r>
          </w:p>
          <w:p w14:paraId="4184C413" w14:textId="77777777" w:rsidR="00003C46" w:rsidRPr="006273BD" w:rsidRDefault="00003C46" w:rsidP="006273BD">
            <w:pPr>
              <w:pStyle w:val="ListParagraph"/>
              <w:numPr>
                <w:ilvl w:val="0"/>
                <w:numId w:val="99"/>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Generation and transmission system adequacy </w:t>
            </w:r>
          </w:p>
          <w:p w14:paraId="1D62E685" w14:textId="77777777" w:rsidR="00003C46" w:rsidRPr="006273BD" w:rsidRDefault="00003C46" w:rsidP="006273BD">
            <w:pPr>
              <w:pStyle w:val="ListParagraph"/>
              <w:numPr>
                <w:ilvl w:val="0"/>
                <w:numId w:val="99"/>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Transmission capacity readiness </w:t>
            </w:r>
          </w:p>
          <w:p w14:paraId="76323915" w14:textId="77777777" w:rsidR="00003C46" w:rsidRPr="006273BD" w:rsidRDefault="00003C46" w:rsidP="006273BD">
            <w:pPr>
              <w:pStyle w:val="ListParagraph"/>
              <w:numPr>
                <w:ilvl w:val="0"/>
                <w:numId w:val="99"/>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Generation capacity readiness</w:t>
            </w:r>
          </w:p>
          <w:p w14:paraId="7FC4C061" w14:textId="77777777" w:rsidR="00003C46" w:rsidRPr="006273BD" w:rsidRDefault="00003C46" w:rsidP="006273BD">
            <w:pPr>
              <w:pStyle w:val="ListParagraph"/>
              <w:numPr>
                <w:ilvl w:val="0"/>
                <w:numId w:val="99"/>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Development of harmonised Grid Codes for cross-border transactions </w:t>
            </w:r>
          </w:p>
          <w:p w14:paraId="3A153CDA" w14:textId="77777777" w:rsidR="00003C46" w:rsidRPr="006273BD" w:rsidRDefault="00003C46" w:rsidP="006273BD">
            <w:pPr>
              <w:pStyle w:val="ListParagraph"/>
              <w:numPr>
                <w:ilvl w:val="0"/>
                <w:numId w:val="99"/>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Market compatibility for trading </w:t>
            </w:r>
          </w:p>
          <w:p w14:paraId="5BCC5B86" w14:textId="77777777" w:rsidR="00003C46" w:rsidRPr="006273BD" w:rsidRDefault="00003C46" w:rsidP="006273BD">
            <w:pPr>
              <w:pStyle w:val="ListParagraph"/>
              <w:numPr>
                <w:ilvl w:val="0"/>
                <w:numId w:val="99"/>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Synchronising procedures </w:t>
            </w:r>
          </w:p>
          <w:p w14:paraId="49E005D6" w14:textId="77777777" w:rsidR="00003C46" w:rsidRPr="006273BD" w:rsidRDefault="00003C46" w:rsidP="006273BD">
            <w:pPr>
              <w:pStyle w:val="ListParagraph"/>
              <w:numPr>
                <w:ilvl w:val="0"/>
                <w:numId w:val="99"/>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Operational data </w:t>
            </w:r>
          </w:p>
          <w:p w14:paraId="324CBAA2" w14:textId="77777777" w:rsidR="00003C46" w:rsidRPr="006273BD" w:rsidRDefault="00003C46" w:rsidP="006273BD">
            <w:pPr>
              <w:pStyle w:val="ListParagraph"/>
              <w:numPr>
                <w:ilvl w:val="0"/>
                <w:numId w:val="99"/>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Transmission capacity allocation </w:t>
            </w:r>
          </w:p>
          <w:p w14:paraId="2FE53EE5" w14:textId="77777777" w:rsidR="00647C4A" w:rsidRPr="006273BD" w:rsidRDefault="00003C46" w:rsidP="006273BD">
            <w:pPr>
              <w:pStyle w:val="ListParagraph"/>
              <w:numPr>
                <w:ilvl w:val="0"/>
                <w:numId w:val="99"/>
              </w:numPr>
              <w:spacing w:before="120" w:line="288" w:lineRule="auto"/>
              <w:jc w:val="left"/>
              <w:rPr>
                <w:rFonts w:eastAsia="Calibri" w:cs="Arial"/>
                <w:sz w:val="18"/>
                <w:szCs w:val="18"/>
              </w:rPr>
            </w:pPr>
            <w:r w:rsidRPr="006273BD">
              <w:rPr>
                <w:rFonts w:ascii="Arial" w:eastAsia="Calibri" w:hAnsi="Arial" w:cs="Arial"/>
                <w:sz w:val="18"/>
                <w:szCs w:val="18"/>
                <w:lang w:val="en-GB"/>
              </w:rPr>
              <w:t>Ancillary services adequacy</w:t>
            </w:r>
          </w:p>
          <w:p w14:paraId="539B476F" w14:textId="2C5E9530" w:rsidR="00B3519F" w:rsidRPr="006273BD" w:rsidRDefault="00B3519F" w:rsidP="006273BD">
            <w:pPr>
              <w:pStyle w:val="ListParagraph"/>
              <w:numPr>
                <w:ilvl w:val="0"/>
                <w:numId w:val="99"/>
              </w:numPr>
              <w:spacing w:before="120" w:line="288" w:lineRule="auto"/>
              <w:jc w:val="left"/>
              <w:rPr>
                <w:rFonts w:eastAsia="Calibri" w:cs="Arial"/>
                <w:sz w:val="18"/>
                <w:szCs w:val="18"/>
              </w:rPr>
            </w:pPr>
            <w:r w:rsidRPr="006273BD">
              <w:rPr>
                <w:rFonts w:ascii="Arial" w:eastAsia="Calibri" w:hAnsi="Arial" w:cs="Arial"/>
                <w:sz w:val="18"/>
                <w:szCs w:val="18"/>
                <w:lang w:val="en-GB"/>
              </w:rPr>
              <w:t>Interconnection of off-grid and mini grid:</w:t>
            </w:r>
            <w:r w:rsidRPr="006273BD">
              <w:rPr>
                <w:sz w:val="18"/>
                <w:szCs w:val="18"/>
                <w:lang w:val="en-GB"/>
              </w:rPr>
              <w:t xml:space="preserve"> </w:t>
            </w:r>
            <w:r w:rsidRPr="006273BD">
              <w:rPr>
                <w:rFonts w:ascii="Arial" w:eastAsia="Calibri" w:hAnsi="Arial" w:cs="Arial"/>
                <w:sz w:val="18"/>
                <w:szCs w:val="18"/>
                <w:lang w:val="en-GB"/>
              </w:rPr>
              <w:t>Rural electrification standards and options when the main grid encompasses the mini-grid</w:t>
            </w:r>
          </w:p>
        </w:tc>
      </w:tr>
      <w:tr w:rsidR="00647C4A" w:rsidRPr="00C632F6" w14:paraId="0DC88222" w14:textId="77777777" w:rsidTr="006273BD">
        <w:tc>
          <w:tcPr>
            <w:tcW w:w="785" w:type="pct"/>
          </w:tcPr>
          <w:p w14:paraId="1A389D62" w14:textId="7DB64943" w:rsidR="00647C4A" w:rsidRPr="006273BD" w:rsidRDefault="00647C4A" w:rsidP="006273BD">
            <w:pPr>
              <w:spacing w:before="120" w:after="120"/>
              <w:jc w:val="left"/>
              <w:rPr>
                <w:rFonts w:eastAsia="Calibri"/>
                <w:sz w:val="18"/>
                <w:szCs w:val="18"/>
              </w:rPr>
            </w:pPr>
            <w:r w:rsidRPr="006273BD">
              <w:rPr>
                <w:rFonts w:eastAsia="Calibri"/>
                <w:sz w:val="18"/>
                <w:szCs w:val="18"/>
              </w:rPr>
              <w:t>Medium</w:t>
            </w:r>
            <w:r w:rsidR="00681DAA">
              <w:rPr>
                <w:rFonts w:eastAsia="Calibri"/>
                <w:sz w:val="18"/>
                <w:szCs w:val="18"/>
              </w:rPr>
              <w:t>-</w:t>
            </w:r>
            <w:r w:rsidR="00507C15">
              <w:rPr>
                <w:rFonts w:eastAsia="Calibri"/>
                <w:sz w:val="18"/>
                <w:szCs w:val="18"/>
              </w:rPr>
              <w:t>t</w:t>
            </w:r>
            <w:r w:rsidRPr="006273BD">
              <w:rPr>
                <w:rFonts w:eastAsia="Calibri"/>
                <w:sz w:val="18"/>
                <w:szCs w:val="18"/>
              </w:rPr>
              <w:t>erm</w:t>
            </w:r>
          </w:p>
        </w:tc>
        <w:tc>
          <w:tcPr>
            <w:tcW w:w="4215" w:type="pct"/>
          </w:tcPr>
          <w:p w14:paraId="61048BC3" w14:textId="77777777" w:rsidR="007E6062" w:rsidRPr="006273BD" w:rsidRDefault="007E6062" w:rsidP="006273BD">
            <w:pPr>
              <w:pStyle w:val="ListParagraph"/>
              <w:numPr>
                <w:ilvl w:val="0"/>
                <w:numId w:val="100"/>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Generation and transmission system adequacy </w:t>
            </w:r>
          </w:p>
          <w:p w14:paraId="0672A6F6" w14:textId="77777777" w:rsidR="007E6062" w:rsidRPr="006273BD" w:rsidRDefault="007E6062" w:rsidP="006273BD">
            <w:pPr>
              <w:pStyle w:val="ListParagraph"/>
              <w:numPr>
                <w:ilvl w:val="0"/>
                <w:numId w:val="100"/>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Transmission system capacity readiness </w:t>
            </w:r>
          </w:p>
          <w:p w14:paraId="777BED27" w14:textId="77777777" w:rsidR="007E6062" w:rsidRPr="006273BD" w:rsidRDefault="007E6062" w:rsidP="006273BD">
            <w:pPr>
              <w:pStyle w:val="ListParagraph"/>
              <w:numPr>
                <w:ilvl w:val="0"/>
                <w:numId w:val="100"/>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Generation system capacity readiness </w:t>
            </w:r>
          </w:p>
          <w:p w14:paraId="6845DD70" w14:textId="77777777" w:rsidR="007E6062" w:rsidRPr="006273BD" w:rsidRDefault="007E6062" w:rsidP="006273BD">
            <w:pPr>
              <w:pStyle w:val="ListParagraph"/>
              <w:numPr>
                <w:ilvl w:val="0"/>
                <w:numId w:val="100"/>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Market compatibility for trading </w:t>
            </w:r>
          </w:p>
          <w:p w14:paraId="5B4CFDA8" w14:textId="77777777" w:rsidR="007E6062" w:rsidRPr="006273BD" w:rsidRDefault="007E6062" w:rsidP="006273BD">
            <w:pPr>
              <w:pStyle w:val="ListParagraph"/>
              <w:numPr>
                <w:ilvl w:val="0"/>
                <w:numId w:val="100"/>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Synchronising procedures </w:t>
            </w:r>
          </w:p>
          <w:p w14:paraId="33AC0C6B" w14:textId="77777777" w:rsidR="007E6062" w:rsidRPr="006273BD" w:rsidRDefault="007E6062" w:rsidP="006273BD">
            <w:pPr>
              <w:pStyle w:val="ListParagraph"/>
              <w:numPr>
                <w:ilvl w:val="0"/>
                <w:numId w:val="100"/>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lastRenderedPageBreak/>
              <w:t xml:space="preserve">Operational data </w:t>
            </w:r>
          </w:p>
          <w:p w14:paraId="6A653E68" w14:textId="77777777" w:rsidR="007E6062" w:rsidRPr="006273BD" w:rsidRDefault="007E6062" w:rsidP="006273BD">
            <w:pPr>
              <w:pStyle w:val="ListParagraph"/>
              <w:numPr>
                <w:ilvl w:val="0"/>
                <w:numId w:val="100"/>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Transmission capacity allocation </w:t>
            </w:r>
          </w:p>
          <w:p w14:paraId="49181E4E" w14:textId="77777777" w:rsidR="007E6062" w:rsidRPr="006273BD" w:rsidRDefault="007E6062" w:rsidP="006273BD">
            <w:pPr>
              <w:pStyle w:val="ListParagraph"/>
              <w:numPr>
                <w:ilvl w:val="0"/>
                <w:numId w:val="100"/>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Ancillary services adequacy </w:t>
            </w:r>
          </w:p>
          <w:p w14:paraId="08FA84E2" w14:textId="3D4F8036" w:rsidR="00647C4A" w:rsidRPr="006273BD" w:rsidRDefault="007E6062" w:rsidP="006273BD">
            <w:pPr>
              <w:pStyle w:val="ListParagraph"/>
              <w:numPr>
                <w:ilvl w:val="0"/>
                <w:numId w:val="100"/>
              </w:numPr>
              <w:spacing w:before="120" w:line="288" w:lineRule="auto"/>
              <w:jc w:val="left"/>
              <w:rPr>
                <w:rFonts w:eastAsia="Calibri"/>
                <w:sz w:val="18"/>
                <w:szCs w:val="18"/>
              </w:rPr>
            </w:pPr>
            <w:r w:rsidRPr="006273BD">
              <w:rPr>
                <w:rFonts w:ascii="Arial" w:eastAsia="Calibri" w:hAnsi="Arial" w:cs="Arial"/>
                <w:sz w:val="18"/>
                <w:szCs w:val="18"/>
                <w:lang w:val="en-GB"/>
              </w:rPr>
              <w:t>Dispatch, System Operations, and ICT</w:t>
            </w:r>
          </w:p>
        </w:tc>
      </w:tr>
      <w:tr w:rsidR="00647C4A" w:rsidRPr="00C632F6" w14:paraId="34B90E2A" w14:textId="77777777" w:rsidTr="006273BD">
        <w:tc>
          <w:tcPr>
            <w:tcW w:w="785" w:type="pct"/>
          </w:tcPr>
          <w:p w14:paraId="60351663" w14:textId="1D179836" w:rsidR="00647C4A" w:rsidRPr="006273BD" w:rsidRDefault="00647C4A" w:rsidP="006273BD">
            <w:pPr>
              <w:spacing w:before="120" w:after="120"/>
              <w:jc w:val="left"/>
              <w:rPr>
                <w:rFonts w:eastAsia="Calibri"/>
                <w:sz w:val="18"/>
                <w:szCs w:val="18"/>
              </w:rPr>
            </w:pPr>
            <w:r w:rsidRPr="006273BD">
              <w:rPr>
                <w:rFonts w:eastAsia="Calibri"/>
                <w:sz w:val="18"/>
                <w:szCs w:val="18"/>
              </w:rPr>
              <w:lastRenderedPageBreak/>
              <w:t>Long</w:t>
            </w:r>
            <w:r w:rsidR="00681DAA">
              <w:rPr>
                <w:rFonts w:eastAsia="Calibri"/>
                <w:sz w:val="18"/>
                <w:szCs w:val="18"/>
              </w:rPr>
              <w:t>-</w:t>
            </w:r>
            <w:r w:rsidR="00507C15">
              <w:rPr>
                <w:rFonts w:eastAsia="Calibri"/>
                <w:sz w:val="18"/>
                <w:szCs w:val="18"/>
              </w:rPr>
              <w:t>t</w:t>
            </w:r>
            <w:r w:rsidRPr="006273BD">
              <w:rPr>
                <w:rFonts w:eastAsia="Calibri"/>
                <w:sz w:val="18"/>
                <w:szCs w:val="18"/>
              </w:rPr>
              <w:t>erm</w:t>
            </w:r>
          </w:p>
        </w:tc>
        <w:tc>
          <w:tcPr>
            <w:tcW w:w="4215" w:type="pct"/>
          </w:tcPr>
          <w:p w14:paraId="16AAD34F" w14:textId="77777777" w:rsidR="00012C1A" w:rsidRPr="006273BD" w:rsidRDefault="00012C1A" w:rsidP="006273BD">
            <w:pPr>
              <w:pStyle w:val="ListParagraph"/>
              <w:numPr>
                <w:ilvl w:val="0"/>
                <w:numId w:val="101"/>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Generation and transmission system adequacy</w:t>
            </w:r>
          </w:p>
          <w:p w14:paraId="32793021" w14:textId="77777777" w:rsidR="00012C1A" w:rsidRPr="006273BD" w:rsidRDefault="00012C1A" w:rsidP="006273BD">
            <w:pPr>
              <w:pStyle w:val="ListParagraph"/>
              <w:numPr>
                <w:ilvl w:val="0"/>
                <w:numId w:val="101"/>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Transmission system capacity readiness </w:t>
            </w:r>
          </w:p>
          <w:p w14:paraId="6E381ED4" w14:textId="77777777" w:rsidR="00012C1A" w:rsidRPr="006273BD" w:rsidRDefault="00012C1A" w:rsidP="006273BD">
            <w:pPr>
              <w:pStyle w:val="ListParagraph"/>
              <w:numPr>
                <w:ilvl w:val="0"/>
                <w:numId w:val="101"/>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Generation system capacity readiness </w:t>
            </w:r>
          </w:p>
          <w:p w14:paraId="7A0397BC" w14:textId="77777777" w:rsidR="00012C1A" w:rsidRPr="006273BD" w:rsidRDefault="00012C1A" w:rsidP="006273BD">
            <w:pPr>
              <w:pStyle w:val="ListParagraph"/>
              <w:numPr>
                <w:ilvl w:val="0"/>
                <w:numId w:val="101"/>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Market compatibility for trading </w:t>
            </w:r>
          </w:p>
          <w:p w14:paraId="76E0F6B6" w14:textId="77777777" w:rsidR="00012C1A" w:rsidRPr="006273BD" w:rsidRDefault="00012C1A" w:rsidP="006273BD">
            <w:pPr>
              <w:pStyle w:val="ListParagraph"/>
              <w:numPr>
                <w:ilvl w:val="0"/>
                <w:numId w:val="101"/>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Synchronising procedures </w:t>
            </w:r>
          </w:p>
          <w:p w14:paraId="2F65A838" w14:textId="77777777" w:rsidR="00012C1A" w:rsidRPr="006273BD" w:rsidRDefault="00012C1A" w:rsidP="006273BD">
            <w:pPr>
              <w:pStyle w:val="ListParagraph"/>
              <w:numPr>
                <w:ilvl w:val="0"/>
                <w:numId w:val="101"/>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Operational data </w:t>
            </w:r>
          </w:p>
          <w:p w14:paraId="69F328CF" w14:textId="77777777" w:rsidR="00012C1A" w:rsidRPr="006273BD" w:rsidRDefault="00012C1A" w:rsidP="006273BD">
            <w:pPr>
              <w:pStyle w:val="ListParagraph"/>
              <w:numPr>
                <w:ilvl w:val="0"/>
                <w:numId w:val="101"/>
              </w:numPr>
              <w:spacing w:before="120" w:line="288" w:lineRule="auto"/>
              <w:jc w:val="left"/>
              <w:rPr>
                <w:rFonts w:ascii="Arial" w:eastAsia="Calibri" w:hAnsi="Arial" w:cs="Arial"/>
                <w:sz w:val="18"/>
                <w:szCs w:val="18"/>
                <w:lang w:val="en-GB"/>
              </w:rPr>
            </w:pPr>
            <w:r w:rsidRPr="006273BD">
              <w:rPr>
                <w:rFonts w:ascii="Arial" w:eastAsia="Calibri" w:hAnsi="Arial" w:cs="Arial"/>
                <w:sz w:val="18"/>
                <w:szCs w:val="18"/>
                <w:lang w:val="en-GB"/>
              </w:rPr>
              <w:t xml:space="preserve">Transmission capacity allocation </w:t>
            </w:r>
          </w:p>
          <w:p w14:paraId="6FA8AB1B" w14:textId="30717D71" w:rsidR="00647C4A" w:rsidRPr="006273BD" w:rsidRDefault="00012C1A" w:rsidP="006273BD">
            <w:pPr>
              <w:pStyle w:val="ListParagraph"/>
              <w:numPr>
                <w:ilvl w:val="0"/>
                <w:numId w:val="101"/>
              </w:numPr>
              <w:spacing w:before="120" w:line="288" w:lineRule="auto"/>
              <w:jc w:val="left"/>
              <w:rPr>
                <w:rFonts w:eastAsia="Calibri"/>
                <w:sz w:val="18"/>
                <w:szCs w:val="18"/>
              </w:rPr>
            </w:pPr>
            <w:r w:rsidRPr="006273BD">
              <w:rPr>
                <w:rFonts w:ascii="Arial" w:eastAsia="Calibri" w:hAnsi="Arial" w:cs="Arial"/>
                <w:sz w:val="18"/>
                <w:szCs w:val="18"/>
                <w:lang w:val="en-GB"/>
              </w:rPr>
              <w:t>Ancillary services adequacy</w:t>
            </w:r>
          </w:p>
        </w:tc>
      </w:tr>
    </w:tbl>
    <w:p w14:paraId="7E24A346" w14:textId="439D4ED1" w:rsidR="00084DF6" w:rsidRPr="006273BD" w:rsidRDefault="00B3519F" w:rsidP="006273BD">
      <w:pPr>
        <w:pStyle w:val="Heading2"/>
        <w:numPr>
          <w:ilvl w:val="0"/>
          <w:numId w:val="0"/>
        </w:numPr>
        <w:ind w:left="576" w:hanging="576"/>
        <w:rPr>
          <w:b w:val="0"/>
          <w:smallCaps w:val="0"/>
        </w:rPr>
      </w:pPr>
      <w:bookmarkStart w:id="33" w:name="_Toc74046598"/>
      <w:bookmarkStart w:id="34" w:name="_Toc77260286"/>
      <w:r w:rsidRPr="006273BD">
        <w:t xml:space="preserve">E.5 </w:t>
      </w:r>
      <w:r w:rsidR="00C632F6" w:rsidRPr="00C632F6">
        <w:t>As</w:t>
      </w:r>
      <w:r w:rsidR="00C632F6" w:rsidRPr="00654753">
        <w:t>s</w:t>
      </w:r>
      <w:r w:rsidR="00C632F6" w:rsidRPr="00681DAA">
        <w:t>essing a</w:t>
      </w:r>
      <w:r w:rsidR="00C632F6" w:rsidRPr="00316837">
        <w:t>nd Quantifying the Technical and Operational Readiness</w:t>
      </w:r>
      <w:bookmarkEnd w:id="33"/>
      <w:bookmarkEnd w:id="34"/>
      <w:r w:rsidR="006273BD">
        <w:t xml:space="preserve"> </w:t>
      </w:r>
    </w:p>
    <w:p w14:paraId="032588FE" w14:textId="0DF0D5AC" w:rsidR="002538BD" w:rsidRPr="00316837" w:rsidRDefault="00084DF6" w:rsidP="006273BD">
      <w:r w:rsidRPr="00C632F6">
        <w:t xml:space="preserve">In order </w:t>
      </w:r>
      <w:r w:rsidRPr="00654753">
        <w:t>t</w:t>
      </w:r>
      <w:r w:rsidRPr="00681DAA">
        <w:t xml:space="preserve">o </w:t>
      </w:r>
      <w:r w:rsidR="00F81285" w:rsidRPr="00681DAA">
        <w:t xml:space="preserve">achieve </w:t>
      </w:r>
      <w:r w:rsidR="00316837">
        <w:t xml:space="preserve">the </w:t>
      </w:r>
      <w:r w:rsidR="00F81285" w:rsidRPr="00681DAA">
        <w:t>Technical and O</w:t>
      </w:r>
      <w:r w:rsidR="004D3003" w:rsidRPr="00681DAA">
        <w:t>perational</w:t>
      </w:r>
      <w:r w:rsidRPr="00681DAA">
        <w:t xml:space="preserve"> </w:t>
      </w:r>
      <w:r w:rsidR="00F81285" w:rsidRPr="00681DAA">
        <w:t>R</w:t>
      </w:r>
      <w:r w:rsidRPr="00681DAA">
        <w:t>eadiness for</w:t>
      </w:r>
      <w:r w:rsidR="00316837">
        <w:t xml:space="preserve"> the</w:t>
      </w:r>
      <w:r w:rsidRPr="00681DAA">
        <w:t xml:space="preserve"> </w:t>
      </w:r>
      <w:r w:rsidR="00F81285" w:rsidRPr="00681DAA">
        <w:t xml:space="preserve">implementation of </w:t>
      </w:r>
      <w:r w:rsidRPr="00681DAA">
        <w:t>AfSEM, it is imperative</w:t>
      </w:r>
      <w:r w:rsidR="004D3003" w:rsidRPr="00681DAA">
        <w:t xml:space="preserve"> </w:t>
      </w:r>
      <w:r w:rsidR="00A101BE" w:rsidRPr="00681DAA">
        <w:t>that the</w:t>
      </w:r>
      <w:r w:rsidR="00F81285" w:rsidRPr="00316837">
        <w:t xml:space="preserve"> </w:t>
      </w:r>
      <w:r w:rsidRPr="00316837">
        <w:t xml:space="preserve">Readiness </w:t>
      </w:r>
      <w:r w:rsidR="002538BD" w:rsidRPr="00316837">
        <w:t>is assessed and quantified</w:t>
      </w:r>
      <w:r w:rsidRPr="00316837">
        <w:t xml:space="preserve">. </w:t>
      </w:r>
      <w:r w:rsidR="004D3003" w:rsidRPr="00316837">
        <w:t>For policy and strategic purposes, t</w:t>
      </w:r>
      <w:r w:rsidRPr="00316837">
        <w:t xml:space="preserve">he </w:t>
      </w:r>
      <w:r w:rsidR="00A101BE" w:rsidRPr="00316837">
        <w:t>following indicators (both qualitative and quantitative)</w:t>
      </w:r>
      <w:r w:rsidR="00643C2C" w:rsidRPr="00316837">
        <w:t xml:space="preserve"> </w:t>
      </w:r>
      <w:r w:rsidR="002538BD" w:rsidRPr="00316837">
        <w:t xml:space="preserve">are proposed for </w:t>
      </w:r>
      <w:r w:rsidR="00643C2C" w:rsidRPr="00316837">
        <w:t>monitoring and ass</w:t>
      </w:r>
      <w:r w:rsidR="00A101BE" w:rsidRPr="00316837">
        <w:t xml:space="preserve">essing the technical and operational </w:t>
      </w:r>
      <w:r w:rsidR="00643C2C" w:rsidRPr="00316837">
        <w:t xml:space="preserve">capabilities of </w:t>
      </w:r>
      <w:r w:rsidR="00316837">
        <w:t>African P</w:t>
      </w:r>
      <w:r w:rsidR="00A101BE" w:rsidRPr="00316837">
        <w:t xml:space="preserve">ower </w:t>
      </w:r>
      <w:r w:rsidR="00316837">
        <w:t>P</w:t>
      </w:r>
      <w:r w:rsidR="00A101BE" w:rsidRPr="00316837">
        <w:t>ools, to undertake</w:t>
      </w:r>
      <w:r w:rsidR="00DC435C" w:rsidRPr="00316837">
        <w:t xml:space="preserve"> intra</w:t>
      </w:r>
      <w:r w:rsidR="00316837">
        <w:t>-</w:t>
      </w:r>
      <w:r w:rsidR="00DC435C" w:rsidRPr="00316837">
        <w:t xml:space="preserve"> </w:t>
      </w:r>
      <w:r w:rsidR="00643C2C" w:rsidRPr="00316837">
        <w:t>and i</w:t>
      </w:r>
      <w:r w:rsidR="00DC435C" w:rsidRPr="00316837">
        <w:t>nter</w:t>
      </w:r>
      <w:r w:rsidR="00316837">
        <w:t>-P</w:t>
      </w:r>
      <w:r w:rsidR="00643C2C" w:rsidRPr="00316837">
        <w:t xml:space="preserve">ower </w:t>
      </w:r>
      <w:r w:rsidR="00316837">
        <w:t>P</w:t>
      </w:r>
      <w:r w:rsidR="00643C2C" w:rsidRPr="00316837">
        <w:t>ool exchanges</w:t>
      </w:r>
      <w:r w:rsidR="00316837">
        <w:t xml:space="preserve">: </w:t>
      </w:r>
    </w:p>
    <w:p w14:paraId="52051DA9" w14:textId="56ED32E3" w:rsidR="002538BD" w:rsidRPr="006273BD" w:rsidRDefault="00B3519F" w:rsidP="006273BD">
      <w:pPr>
        <w:numPr>
          <w:ilvl w:val="0"/>
          <w:numId w:val="51"/>
        </w:numPr>
        <w:tabs>
          <w:tab w:val="num" w:pos="1417"/>
        </w:tabs>
        <w:ind w:left="720"/>
        <w:rPr>
          <w:rFonts w:eastAsia="Calibri"/>
          <w:szCs w:val="22"/>
        </w:rPr>
      </w:pPr>
      <w:r w:rsidRPr="006273BD">
        <w:rPr>
          <w:rFonts w:eastAsia="Calibri"/>
          <w:szCs w:val="22"/>
        </w:rPr>
        <w:t xml:space="preserve">Existence of a fully functional </w:t>
      </w:r>
      <w:r w:rsidR="00316837">
        <w:rPr>
          <w:rFonts w:eastAsia="Calibri"/>
          <w:szCs w:val="22"/>
        </w:rPr>
        <w:t xml:space="preserve">Power Pool’s </w:t>
      </w:r>
      <w:r w:rsidRPr="006273BD">
        <w:rPr>
          <w:rFonts w:eastAsia="Calibri"/>
          <w:szCs w:val="22"/>
        </w:rPr>
        <w:t>Inform</w:t>
      </w:r>
      <w:r w:rsidR="00F81285" w:rsidRPr="006273BD">
        <w:rPr>
          <w:rFonts w:eastAsia="Calibri"/>
          <w:szCs w:val="22"/>
        </w:rPr>
        <w:t xml:space="preserve">ation and Coordination </w:t>
      </w:r>
      <w:r w:rsidRPr="006273BD">
        <w:rPr>
          <w:rFonts w:eastAsia="Calibri"/>
          <w:szCs w:val="22"/>
        </w:rPr>
        <w:t>Centre (ICC);</w:t>
      </w:r>
      <w:r w:rsidR="00316837">
        <w:rPr>
          <w:rFonts w:eastAsia="Calibri"/>
          <w:szCs w:val="22"/>
        </w:rPr>
        <w:t xml:space="preserve"> </w:t>
      </w:r>
    </w:p>
    <w:p w14:paraId="59063A11" w14:textId="483441A8" w:rsidR="00B3519F" w:rsidRPr="006273BD" w:rsidRDefault="00F81285" w:rsidP="006273BD">
      <w:pPr>
        <w:numPr>
          <w:ilvl w:val="0"/>
          <w:numId w:val="51"/>
        </w:numPr>
        <w:tabs>
          <w:tab w:val="num" w:pos="1417"/>
        </w:tabs>
        <w:ind w:left="720"/>
        <w:rPr>
          <w:rFonts w:eastAsia="Calibri"/>
          <w:szCs w:val="22"/>
        </w:rPr>
      </w:pPr>
      <w:r w:rsidRPr="006273BD">
        <w:rPr>
          <w:rFonts w:eastAsia="Calibri"/>
          <w:szCs w:val="22"/>
        </w:rPr>
        <w:t xml:space="preserve">Establishment and </w:t>
      </w:r>
      <w:r w:rsidR="00DC435C" w:rsidRPr="006273BD">
        <w:rPr>
          <w:rFonts w:eastAsia="Calibri"/>
          <w:szCs w:val="22"/>
        </w:rPr>
        <w:t>o</w:t>
      </w:r>
      <w:r w:rsidRPr="006273BD">
        <w:rPr>
          <w:rFonts w:eastAsia="Calibri"/>
          <w:szCs w:val="22"/>
        </w:rPr>
        <w:t>perational</w:t>
      </w:r>
      <w:r w:rsidR="00B3519F" w:rsidRPr="006273BD">
        <w:rPr>
          <w:rFonts w:eastAsia="Calibri"/>
          <w:szCs w:val="22"/>
        </w:rPr>
        <w:t xml:space="preserve">isation of a fully functional </w:t>
      </w:r>
      <w:r w:rsidR="00316837">
        <w:rPr>
          <w:rFonts w:eastAsia="Calibri"/>
          <w:szCs w:val="22"/>
        </w:rPr>
        <w:t>R</w:t>
      </w:r>
      <w:r w:rsidR="00B3519F" w:rsidRPr="006273BD">
        <w:rPr>
          <w:rFonts w:eastAsia="Calibri"/>
          <w:szCs w:val="22"/>
        </w:rPr>
        <w:t xml:space="preserve">egional </w:t>
      </w:r>
      <w:r w:rsidR="00316837">
        <w:rPr>
          <w:rFonts w:eastAsia="Calibri"/>
          <w:szCs w:val="22"/>
        </w:rPr>
        <w:t>S</w:t>
      </w:r>
      <w:r w:rsidR="00B3519F" w:rsidRPr="006273BD">
        <w:rPr>
          <w:rFonts w:eastAsia="Calibri"/>
          <w:szCs w:val="22"/>
        </w:rPr>
        <w:t xml:space="preserve">ystem </w:t>
      </w:r>
      <w:r w:rsidR="00316837">
        <w:rPr>
          <w:rFonts w:eastAsia="Calibri"/>
          <w:szCs w:val="22"/>
        </w:rPr>
        <w:t>M</w:t>
      </w:r>
      <w:r w:rsidR="00B3519F" w:rsidRPr="006273BD">
        <w:rPr>
          <w:rFonts w:eastAsia="Calibri"/>
          <w:szCs w:val="22"/>
        </w:rPr>
        <w:t xml:space="preserve">arket </w:t>
      </w:r>
      <w:r w:rsidR="00316837">
        <w:rPr>
          <w:rFonts w:eastAsia="Calibri"/>
          <w:szCs w:val="22"/>
        </w:rPr>
        <w:t>O</w:t>
      </w:r>
      <w:r w:rsidR="00B3519F" w:rsidRPr="006273BD">
        <w:rPr>
          <w:rFonts w:eastAsia="Calibri"/>
          <w:szCs w:val="22"/>
        </w:rPr>
        <w:t>perator</w:t>
      </w:r>
      <w:r w:rsidR="00316837">
        <w:rPr>
          <w:rFonts w:eastAsia="Calibri"/>
          <w:szCs w:val="22"/>
        </w:rPr>
        <w:t xml:space="preserve"> with the Coordination Centre and a market trading platform</w:t>
      </w:r>
      <w:r w:rsidR="00B3519F" w:rsidRPr="006273BD">
        <w:rPr>
          <w:rFonts w:eastAsia="Calibri"/>
          <w:szCs w:val="22"/>
        </w:rPr>
        <w:t>;</w:t>
      </w:r>
      <w:r w:rsidR="00316837">
        <w:rPr>
          <w:rFonts w:eastAsia="Calibri"/>
          <w:szCs w:val="22"/>
        </w:rPr>
        <w:t xml:space="preserve"> </w:t>
      </w:r>
    </w:p>
    <w:p w14:paraId="3E1930EC" w14:textId="3AA72909" w:rsidR="00B3519F" w:rsidRDefault="00B3519F" w:rsidP="008A6925">
      <w:pPr>
        <w:numPr>
          <w:ilvl w:val="0"/>
          <w:numId w:val="51"/>
        </w:numPr>
        <w:tabs>
          <w:tab w:val="num" w:pos="1417"/>
        </w:tabs>
        <w:ind w:left="720"/>
        <w:rPr>
          <w:rFonts w:eastAsia="Calibri"/>
          <w:szCs w:val="22"/>
        </w:rPr>
      </w:pPr>
      <w:r w:rsidRPr="006273BD">
        <w:rPr>
          <w:rFonts w:eastAsia="Calibri"/>
          <w:szCs w:val="22"/>
        </w:rPr>
        <w:t>Existence of adequate and fully functional Area Control Centres</w:t>
      </w:r>
      <w:r w:rsidR="00316837">
        <w:rPr>
          <w:rFonts w:eastAsia="Calibri"/>
          <w:szCs w:val="22"/>
        </w:rPr>
        <w:t xml:space="preserve"> of the Control Area </w:t>
      </w:r>
      <w:r w:rsidRPr="006273BD">
        <w:rPr>
          <w:rFonts w:eastAsia="Calibri"/>
          <w:szCs w:val="22"/>
        </w:rPr>
        <w:t xml:space="preserve">Operators within </w:t>
      </w:r>
      <w:r w:rsidR="00316837">
        <w:rPr>
          <w:rFonts w:eastAsia="Calibri"/>
          <w:szCs w:val="22"/>
        </w:rPr>
        <w:t>each P</w:t>
      </w:r>
      <w:r w:rsidRPr="006273BD">
        <w:rPr>
          <w:rFonts w:eastAsia="Calibri"/>
          <w:szCs w:val="22"/>
        </w:rPr>
        <w:t xml:space="preserve">ower </w:t>
      </w:r>
      <w:r w:rsidR="00316837">
        <w:rPr>
          <w:rFonts w:eastAsia="Calibri"/>
          <w:szCs w:val="22"/>
        </w:rPr>
        <w:t>P</w:t>
      </w:r>
      <w:r w:rsidRPr="006273BD">
        <w:rPr>
          <w:rFonts w:eastAsia="Calibri"/>
          <w:szCs w:val="22"/>
        </w:rPr>
        <w:t>ool;</w:t>
      </w:r>
      <w:r w:rsidR="00316837">
        <w:rPr>
          <w:rFonts w:eastAsia="Calibri"/>
          <w:szCs w:val="22"/>
        </w:rPr>
        <w:t xml:space="preserve"> </w:t>
      </w:r>
    </w:p>
    <w:p w14:paraId="10488BA2" w14:textId="607B5C43" w:rsidR="00316837" w:rsidRPr="006273BD" w:rsidRDefault="00316837" w:rsidP="006273BD">
      <w:pPr>
        <w:numPr>
          <w:ilvl w:val="0"/>
          <w:numId w:val="51"/>
        </w:numPr>
        <w:tabs>
          <w:tab w:val="num" w:pos="1417"/>
        </w:tabs>
        <w:ind w:left="720"/>
        <w:rPr>
          <w:rFonts w:eastAsia="Calibri"/>
          <w:szCs w:val="22"/>
        </w:rPr>
      </w:pPr>
      <w:r>
        <w:rPr>
          <w:rFonts w:eastAsia="Calibri"/>
          <w:szCs w:val="22"/>
        </w:rPr>
        <w:t xml:space="preserve">Existence of adequate and fully functional National Dispatch Centres of the national TSOs within each Control Area; </w:t>
      </w:r>
    </w:p>
    <w:p w14:paraId="24C4037B" w14:textId="792C051F" w:rsidR="00B3519F" w:rsidRPr="006273BD" w:rsidRDefault="00F81285" w:rsidP="006273BD">
      <w:pPr>
        <w:numPr>
          <w:ilvl w:val="0"/>
          <w:numId w:val="51"/>
        </w:numPr>
        <w:tabs>
          <w:tab w:val="num" w:pos="1417"/>
        </w:tabs>
        <w:ind w:left="720"/>
        <w:rPr>
          <w:rFonts w:eastAsia="Calibri"/>
          <w:szCs w:val="22"/>
        </w:rPr>
      </w:pPr>
      <w:r w:rsidRPr="006273BD">
        <w:rPr>
          <w:rFonts w:eastAsia="Calibri"/>
          <w:szCs w:val="22"/>
        </w:rPr>
        <w:t xml:space="preserve">Implementation </w:t>
      </w:r>
      <w:r w:rsidR="00B3519F" w:rsidRPr="006273BD">
        <w:rPr>
          <w:rFonts w:eastAsia="Calibri"/>
          <w:szCs w:val="22"/>
        </w:rPr>
        <w:t>of a harm</w:t>
      </w:r>
      <w:r w:rsidRPr="006273BD">
        <w:rPr>
          <w:rFonts w:eastAsia="Calibri"/>
          <w:szCs w:val="22"/>
        </w:rPr>
        <w:t>o</w:t>
      </w:r>
      <w:r w:rsidR="00B3519F" w:rsidRPr="006273BD">
        <w:rPr>
          <w:rFonts w:eastAsia="Calibri"/>
          <w:szCs w:val="22"/>
        </w:rPr>
        <w:t xml:space="preserve">nised regional </w:t>
      </w:r>
      <w:r w:rsidR="00316837">
        <w:rPr>
          <w:rFonts w:eastAsia="Calibri"/>
          <w:szCs w:val="22"/>
        </w:rPr>
        <w:t>G</w:t>
      </w:r>
      <w:r w:rsidR="00B3519F" w:rsidRPr="006273BD">
        <w:rPr>
          <w:rFonts w:eastAsia="Calibri"/>
          <w:szCs w:val="22"/>
        </w:rPr>
        <w:t xml:space="preserve">rid </w:t>
      </w:r>
      <w:r w:rsidR="00316837">
        <w:rPr>
          <w:rFonts w:eastAsia="Calibri"/>
          <w:szCs w:val="22"/>
        </w:rPr>
        <w:t>C</w:t>
      </w:r>
      <w:r w:rsidR="00B3519F" w:rsidRPr="006273BD">
        <w:rPr>
          <w:rFonts w:eastAsia="Calibri"/>
          <w:szCs w:val="22"/>
        </w:rPr>
        <w:t>ode;</w:t>
      </w:r>
    </w:p>
    <w:p w14:paraId="3A8E2B3A" w14:textId="003F1BFA" w:rsidR="00B3519F" w:rsidRPr="006273BD" w:rsidRDefault="00316837" w:rsidP="006273BD">
      <w:pPr>
        <w:numPr>
          <w:ilvl w:val="0"/>
          <w:numId w:val="51"/>
        </w:numPr>
        <w:tabs>
          <w:tab w:val="num" w:pos="1417"/>
        </w:tabs>
        <w:ind w:left="720"/>
        <w:rPr>
          <w:rFonts w:eastAsia="Calibri"/>
          <w:szCs w:val="22"/>
        </w:rPr>
      </w:pPr>
      <w:r>
        <w:rPr>
          <w:rFonts w:eastAsia="Calibri"/>
          <w:szCs w:val="22"/>
        </w:rPr>
        <w:t>Improvement of c</w:t>
      </w:r>
      <w:r w:rsidR="00F81285" w:rsidRPr="006273BD">
        <w:rPr>
          <w:rFonts w:eastAsia="Calibri"/>
          <w:szCs w:val="22"/>
        </w:rPr>
        <w:t xml:space="preserve">apacity </w:t>
      </w:r>
      <w:r>
        <w:rPr>
          <w:rFonts w:eastAsia="Calibri"/>
          <w:szCs w:val="22"/>
        </w:rPr>
        <w:t>r</w:t>
      </w:r>
      <w:r w:rsidR="00F81285" w:rsidRPr="006273BD">
        <w:rPr>
          <w:rFonts w:eastAsia="Calibri"/>
          <w:szCs w:val="22"/>
        </w:rPr>
        <w:t xml:space="preserve">eadiness and </w:t>
      </w:r>
      <w:r>
        <w:rPr>
          <w:rFonts w:eastAsia="Calibri"/>
          <w:szCs w:val="22"/>
        </w:rPr>
        <w:t>a</w:t>
      </w:r>
      <w:r w:rsidR="00F81285" w:rsidRPr="006273BD">
        <w:rPr>
          <w:rFonts w:eastAsia="Calibri"/>
          <w:szCs w:val="22"/>
        </w:rPr>
        <w:t>dequacy</w:t>
      </w:r>
      <w:r>
        <w:rPr>
          <w:rFonts w:eastAsia="Calibri"/>
          <w:szCs w:val="22"/>
        </w:rPr>
        <w:t xml:space="preserve"> (p</w:t>
      </w:r>
      <w:r w:rsidR="00F81285" w:rsidRPr="006273BD">
        <w:rPr>
          <w:rFonts w:eastAsia="Calibri"/>
          <w:szCs w:val="22"/>
        </w:rPr>
        <w:t>ercentage of priority generation and transmission projects implemented</w:t>
      </w:r>
      <w:r>
        <w:rPr>
          <w:rFonts w:eastAsia="Calibri"/>
          <w:szCs w:val="22"/>
        </w:rPr>
        <w:t>,</w:t>
      </w:r>
      <w:r w:rsidR="00F81285" w:rsidRPr="006273BD">
        <w:rPr>
          <w:rFonts w:eastAsia="Calibri"/>
          <w:szCs w:val="22"/>
        </w:rPr>
        <w:t xml:space="preserve"> disaggregated ac</w:t>
      </w:r>
      <w:r w:rsidR="00A101BE" w:rsidRPr="006273BD">
        <w:rPr>
          <w:rFonts w:eastAsia="Calibri"/>
          <w:szCs w:val="22"/>
        </w:rPr>
        <w:t>c</w:t>
      </w:r>
      <w:r w:rsidR="00F81285" w:rsidRPr="006273BD">
        <w:rPr>
          <w:rFonts w:eastAsia="Calibri"/>
          <w:szCs w:val="22"/>
        </w:rPr>
        <w:t xml:space="preserve">ording to the </w:t>
      </w:r>
      <w:r>
        <w:rPr>
          <w:rFonts w:eastAsia="Calibri"/>
          <w:szCs w:val="22"/>
        </w:rPr>
        <w:t>s</w:t>
      </w:r>
      <w:r w:rsidR="00F81285" w:rsidRPr="006273BD">
        <w:rPr>
          <w:rFonts w:eastAsia="Calibri"/>
          <w:szCs w:val="22"/>
        </w:rPr>
        <w:t>hort</w:t>
      </w:r>
      <w:r>
        <w:rPr>
          <w:rFonts w:eastAsia="Calibri"/>
          <w:szCs w:val="22"/>
        </w:rPr>
        <w:t>-</w:t>
      </w:r>
      <w:r w:rsidR="00F81285" w:rsidRPr="006273BD">
        <w:rPr>
          <w:rFonts w:eastAsia="Calibri"/>
          <w:szCs w:val="22"/>
        </w:rPr>
        <w:t xml:space="preserve">, </w:t>
      </w:r>
      <w:r>
        <w:rPr>
          <w:rFonts w:eastAsia="Calibri"/>
          <w:szCs w:val="22"/>
        </w:rPr>
        <w:t>m</w:t>
      </w:r>
      <w:r w:rsidR="00F81285" w:rsidRPr="006273BD">
        <w:rPr>
          <w:rFonts w:eastAsia="Calibri"/>
          <w:szCs w:val="22"/>
        </w:rPr>
        <w:t>edium</w:t>
      </w:r>
      <w:r>
        <w:rPr>
          <w:rFonts w:eastAsia="Calibri"/>
          <w:szCs w:val="22"/>
        </w:rPr>
        <w:t>-</w:t>
      </w:r>
      <w:r w:rsidR="00DC435C" w:rsidRPr="006273BD">
        <w:rPr>
          <w:rFonts w:eastAsia="Calibri"/>
          <w:szCs w:val="22"/>
        </w:rPr>
        <w:t xml:space="preserve"> and </w:t>
      </w:r>
      <w:r>
        <w:rPr>
          <w:rFonts w:eastAsia="Calibri"/>
          <w:szCs w:val="22"/>
        </w:rPr>
        <w:t>l</w:t>
      </w:r>
      <w:r w:rsidR="00F81285" w:rsidRPr="006273BD">
        <w:rPr>
          <w:rFonts w:eastAsia="Calibri"/>
          <w:szCs w:val="22"/>
        </w:rPr>
        <w:t>ong</w:t>
      </w:r>
      <w:r>
        <w:rPr>
          <w:rFonts w:eastAsia="Calibri"/>
          <w:szCs w:val="22"/>
        </w:rPr>
        <w:t>-</w:t>
      </w:r>
      <w:r w:rsidR="00F81285" w:rsidRPr="006273BD">
        <w:rPr>
          <w:rFonts w:eastAsia="Calibri"/>
          <w:szCs w:val="22"/>
        </w:rPr>
        <w:t>terms);</w:t>
      </w:r>
      <w:r>
        <w:rPr>
          <w:rFonts w:eastAsia="Calibri"/>
          <w:szCs w:val="22"/>
        </w:rPr>
        <w:t xml:space="preserve"> </w:t>
      </w:r>
    </w:p>
    <w:p w14:paraId="36B87935" w14:textId="6031F8BE" w:rsidR="00316837" w:rsidRDefault="00316837" w:rsidP="008A6925">
      <w:pPr>
        <w:numPr>
          <w:ilvl w:val="0"/>
          <w:numId w:val="51"/>
        </w:numPr>
        <w:tabs>
          <w:tab w:val="num" w:pos="1417"/>
        </w:tabs>
        <w:ind w:left="720"/>
        <w:rPr>
          <w:rFonts w:eastAsia="Calibri"/>
          <w:szCs w:val="22"/>
        </w:rPr>
      </w:pPr>
      <w:r>
        <w:rPr>
          <w:rFonts w:eastAsia="Calibri"/>
          <w:szCs w:val="22"/>
        </w:rPr>
        <w:t xml:space="preserve">Implementation and use of the market trading platforms under each Power Pool/RSMO; </w:t>
      </w:r>
    </w:p>
    <w:p w14:paraId="78208024" w14:textId="7D041244" w:rsidR="00316837" w:rsidRDefault="00316837" w:rsidP="008A6925">
      <w:pPr>
        <w:numPr>
          <w:ilvl w:val="0"/>
          <w:numId w:val="51"/>
        </w:numPr>
        <w:tabs>
          <w:tab w:val="num" w:pos="1417"/>
        </w:tabs>
        <w:ind w:left="720"/>
        <w:rPr>
          <w:rFonts w:eastAsia="Calibri"/>
          <w:szCs w:val="22"/>
        </w:rPr>
      </w:pPr>
      <w:r>
        <w:rPr>
          <w:rFonts w:eastAsia="Calibri"/>
          <w:szCs w:val="22"/>
        </w:rPr>
        <w:t xml:space="preserve">Preparation of procedures for the synchronisation at the intra- and inter-Power Pool levels; </w:t>
      </w:r>
    </w:p>
    <w:p w14:paraId="203DA3D4" w14:textId="110B268C" w:rsidR="00316837" w:rsidRDefault="00316837" w:rsidP="008A6925">
      <w:pPr>
        <w:numPr>
          <w:ilvl w:val="0"/>
          <w:numId w:val="51"/>
        </w:numPr>
        <w:tabs>
          <w:tab w:val="num" w:pos="1417"/>
        </w:tabs>
        <w:ind w:left="720"/>
        <w:rPr>
          <w:rFonts w:eastAsia="Calibri"/>
          <w:szCs w:val="22"/>
        </w:rPr>
      </w:pPr>
      <w:r>
        <w:rPr>
          <w:rFonts w:eastAsia="Calibri"/>
          <w:szCs w:val="22"/>
        </w:rPr>
        <w:t xml:space="preserve">Preparation of the mechanism for exchange of operational data in the synchronised power system; </w:t>
      </w:r>
    </w:p>
    <w:p w14:paraId="73D27F54" w14:textId="3619DD4A" w:rsidR="00316837" w:rsidRDefault="00316837" w:rsidP="008A6925">
      <w:pPr>
        <w:numPr>
          <w:ilvl w:val="0"/>
          <w:numId w:val="51"/>
        </w:numPr>
        <w:tabs>
          <w:tab w:val="num" w:pos="1417"/>
        </w:tabs>
        <w:ind w:left="720"/>
        <w:rPr>
          <w:rFonts w:eastAsia="Calibri"/>
          <w:szCs w:val="22"/>
        </w:rPr>
      </w:pPr>
      <w:r>
        <w:rPr>
          <w:rFonts w:eastAsia="Calibri"/>
          <w:szCs w:val="22"/>
        </w:rPr>
        <w:t xml:space="preserve">Allocation of cross-border transmission capacity at varying levels; </w:t>
      </w:r>
    </w:p>
    <w:p w14:paraId="66EEA65D" w14:textId="029C06AB" w:rsidR="00F81285" w:rsidRPr="006273BD" w:rsidRDefault="00F81285" w:rsidP="006273BD">
      <w:pPr>
        <w:numPr>
          <w:ilvl w:val="0"/>
          <w:numId w:val="51"/>
        </w:numPr>
        <w:tabs>
          <w:tab w:val="num" w:pos="1417"/>
        </w:tabs>
        <w:ind w:left="720"/>
        <w:rPr>
          <w:rFonts w:eastAsia="Calibri"/>
          <w:szCs w:val="22"/>
        </w:rPr>
      </w:pPr>
      <w:r w:rsidRPr="006273BD">
        <w:rPr>
          <w:rFonts w:eastAsia="Calibri"/>
          <w:szCs w:val="22"/>
        </w:rPr>
        <w:t xml:space="preserve">Establishment and operationalisation </w:t>
      </w:r>
      <w:r w:rsidR="00DC435C" w:rsidRPr="006273BD">
        <w:rPr>
          <w:rFonts w:eastAsia="Calibri"/>
          <w:szCs w:val="22"/>
        </w:rPr>
        <w:t xml:space="preserve">of </w:t>
      </w:r>
      <w:r w:rsidR="00316837">
        <w:rPr>
          <w:rFonts w:eastAsia="Calibri"/>
          <w:szCs w:val="22"/>
        </w:rPr>
        <w:t xml:space="preserve">the </w:t>
      </w:r>
      <w:r w:rsidRPr="006273BD">
        <w:rPr>
          <w:rFonts w:eastAsia="Calibri"/>
          <w:szCs w:val="22"/>
        </w:rPr>
        <w:t>Ancil</w:t>
      </w:r>
      <w:r w:rsidR="00A101BE" w:rsidRPr="006273BD">
        <w:rPr>
          <w:rFonts w:eastAsia="Calibri"/>
          <w:szCs w:val="22"/>
        </w:rPr>
        <w:t>l</w:t>
      </w:r>
      <w:r w:rsidRPr="006273BD">
        <w:rPr>
          <w:rFonts w:eastAsia="Calibri"/>
          <w:szCs w:val="22"/>
        </w:rPr>
        <w:t>ary Services Market</w:t>
      </w:r>
      <w:r w:rsidR="00316837">
        <w:rPr>
          <w:rFonts w:eastAsia="Calibri"/>
          <w:szCs w:val="22"/>
        </w:rPr>
        <w:t>;</w:t>
      </w:r>
      <w:r w:rsidRPr="006273BD">
        <w:rPr>
          <w:rFonts w:eastAsia="Calibri"/>
          <w:szCs w:val="22"/>
        </w:rPr>
        <w:t xml:space="preserve"> </w:t>
      </w:r>
    </w:p>
    <w:p w14:paraId="382BBEDC" w14:textId="19F8F3F4" w:rsidR="00AF4633" w:rsidRPr="006273BD" w:rsidRDefault="00AF4633" w:rsidP="006273BD">
      <w:pPr>
        <w:numPr>
          <w:ilvl w:val="0"/>
          <w:numId w:val="51"/>
        </w:numPr>
        <w:tabs>
          <w:tab w:val="num" w:pos="1417"/>
        </w:tabs>
        <w:ind w:left="720"/>
        <w:rPr>
          <w:rFonts w:eastAsia="Calibri"/>
          <w:szCs w:val="22"/>
        </w:rPr>
      </w:pPr>
      <w:r w:rsidRPr="006273BD">
        <w:rPr>
          <w:rFonts w:eastAsia="Calibri"/>
          <w:szCs w:val="22"/>
        </w:rPr>
        <w:t>Provisions in the regulatory framework to allow the intentional islanding of interconnected mini-grids.</w:t>
      </w:r>
    </w:p>
    <w:p w14:paraId="75404676" w14:textId="77777777" w:rsidR="00084DF6" w:rsidRPr="006273BD" w:rsidRDefault="00084DF6" w:rsidP="008A6925"/>
    <w:p w14:paraId="5ABD3F3E" w14:textId="77777777" w:rsidR="00085CB0" w:rsidRPr="006273BD" w:rsidRDefault="00085CB0" w:rsidP="00316837">
      <w:pPr>
        <w:sectPr w:rsidR="00085CB0" w:rsidRPr="006273BD" w:rsidSect="00A3058D">
          <w:pgSz w:w="11907" w:h="16839" w:code="9"/>
          <w:pgMar w:top="510" w:right="1134" w:bottom="964" w:left="1134" w:header="720" w:footer="567" w:gutter="0"/>
          <w:pgNumType w:fmt="lowerRoman"/>
          <w:cols w:space="720"/>
          <w:formProt w:val="0"/>
          <w:docGrid w:linePitch="286"/>
        </w:sectPr>
      </w:pPr>
    </w:p>
    <w:p w14:paraId="48AB96F1" w14:textId="3C28F64A" w:rsidR="005C044F" w:rsidRPr="00316837" w:rsidRDefault="00A21496" w:rsidP="0055052F">
      <w:pPr>
        <w:pStyle w:val="Heading1"/>
        <w:numPr>
          <w:ilvl w:val="0"/>
          <w:numId w:val="16"/>
        </w:numPr>
      </w:pPr>
      <w:bookmarkStart w:id="35" w:name="_Toc77260287"/>
      <w:r w:rsidRPr="00C632F6">
        <w:lastRenderedPageBreak/>
        <w:t>INTRODUCTION</w:t>
      </w:r>
      <w:bookmarkEnd w:id="35"/>
      <w:r w:rsidR="005160A2" w:rsidRPr="00316837">
        <w:t xml:space="preserve"> </w:t>
      </w:r>
    </w:p>
    <w:p w14:paraId="65671A7E" w14:textId="003E64F3" w:rsidR="002141D1" w:rsidRPr="00316837" w:rsidRDefault="00A21496" w:rsidP="0074334B">
      <w:pPr>
        <w:pStyle w:val="Heading2"/>
      </w:pPr>
      <w:bookmarkStart w:id="36" w:name="_Toc77260288"/>
      <w:r w:rsidRPr="00316837">
        <w:t>Background</w:t>
      </w:r>
      <w:bookmarkEnd w:id="36"/>
      <w:r w:rsidRPr="00316837">
        <w:t xml:space="preserve"> </w:t>
      </w:r>
    </w:p>
    <w:p w14:paraId="3F1C8DE7" w14:textId="4701976A" w:rsidR="00A3058D" w:rsidRPr="00654753" w:rsidRDefault="00A3058D" w:rsidP="00A3058D">
      <w:pPr>
        <w:rPr>
          <w:szCs w:val="20"/>
        </w:rPr>
      </w:pPr>
      <w:r w:rsidRPr="00316837">
        <w:t xml:space="preserve">To achieve a harmonised continental electricity market, i.e. AfSEM, a collaboration between </w:t>
      </w:r>
      <w:r w:rsidR="000D52F1" w:rsidRPr="00316837">
        <w:t xml:space="preserve">the </w:t>
      </w:r>
      <w:r w:rsidRPr="00316837">
        <w:t xml:space="preserve">AUC and </w:t>
      </w:r>
      <w:r w:rsidR="000D52F1" w:rsidRPr="00316837">
        <w:t xml:space="preserve">the </w:t>
      </w:r>
      <w:r w:rsidRPr="00316837">
        <w:t xml:space="preserve">EU commenced in 2015. This </w:t>
      </w:r>
      <w:r w:rsidR="00330F18" w:rsidRPr="00316837">
        <w:t>has been</w:t>
      </w:r>
      <w:r w:rsidRPr="00316837">
        <w:t xml:space="preserve"> implemented under the EU TAF, through the provision of support and expertise to ED of AUC-DIE. The collaboration </w:t>
      </w:r>
      <w:r w:rsidR="00330F18" w:rsidRPr="00316837">
        <w:t>has been</w:t>
      </w:r>
      <w:r w:rsidRPr="00316837">
        <w:t xml:space="preserve"> implemented </w:t>
      </w:r>
      <w:r w:rsidRPr="00316837">
        <w:rPr>
          <w:szCs w:val="20"/>
        </w:rPr>
        <w:t xml:space="preserve">under the four successive phases (see </w:t>
      </w:r>
      <w:r w:rsidRPr="00654753">
        <w:rPr>
          <w:szCs w:val="20"/>
        </w:rPr>
        <w:fldChar w:fldCharType="begin"/>
      </w:r>
      <w:r w:rsidRPr="00316837">
        <w:rPr>
          <w:szCs w:val="20"/>
        </w:rPr>
        <w:instrText xml:space="preserve"> REF _Ref74920831 \h  \* MERGEFORMAT </w:instrText>
      </w:r>
      <w:r w:rsidRPr="00654753">
        <w:rPr>
          <w:szCs w:val="20"/>
        </w:rPr>
      </w:r>
      <w:r w:rsidRPr="00654753">
        <w:rPr>
          <w:szCs w:val="20"/>
        </w:rPr>
        <w:fldChar w:fldCharType="separate"/>
      </w:r>
      <w:r w:rsidRPr="00654753">
        <w:rPr>
          <w:rFonts w:eastAsia="Calibri" w:cs="Arial"/>
          <w:bCs/>
          <w:szCs w:val="20"/>
        </w:rPr>
        <w:t>Table 1</w:t>
      </w:r>
      <w:r w:rsidRPr="00654753">
        <w:rPr>
          <w:rFonts w:eastAsia="Calibri" w:cs="Arial"/>
          <w:bCs/>
          <w:szCs w:val="20"/>
        </w:rPr>
        <w:noBreakHyphen/>
        <w:t>1</w:t>
      </w:r>
      <w:r w:rsidRPr="00654753">
        <w:rPr>
          <w:szCs w:val="20"/>
        </w:rPr>
        <w:fldChar w:fldCharType="end"/>
      </w:r>
      <w:r w:rsidRPr="00C632F6">
        <w:rPr>
          <w:szCs w:val="20"/>
        </w:rPr>
        <w:t xml:space="preserve">). </w:t>
      </w:r>
    </w:p>
    <w:p w14:paraId="7F5A70E7" w14:textId="4F2E6F91" w:rsidR="00A3058D" w:rsidRPr="00654753" w:rsidRDefault="00A3058D" w:rsidP="00A3058D">
      <w:pPr>
        <w:spacing w:before="120"/>
        <w:rPr>
          <w:rFonts w:eastAsia="Calibri" w:cs="Arial"/>
          <w:bCs/>
          <w:sz w:val="18"/>
          <w:szCs w:val="18"/>
        </w:rPr>
      </w:pPr>
      <w:bookmarkStart w:id="37" w:name="_Ref74920831"/>
      <w:bookmarkStart w:id="38" w:name="_Toc75513999"/>
      <w:bookmarkStart w:id="39" w:name="_Hlk75877340"/>
      <w:bookmarkStart w:id="40" w:name="_Toc77260235"/>
      <w:r w:rsidRPr="00681DAA">
        <w:rPr>
          <w:rFonts w:eastAsia="Calibri" w:cs="Arial"/>
          <w:bCs/>
          <w:sz w:val="18"/>
          <w:szCs w:val="18"/>
        </w:rPr>
        <w:t xml:space="preserve">Table </w:t>
      </w:r>
      <w:r w:rsidRPr="00654753">
        <w:rPr>
          <w:rFonts w:eastAsia="Calibri" w:cs="Arial"/>
          <w:bCs/>
          <w:sz w:val="18"/>
          <w:szCs w:val="18"/>
        </w:rPr>
        <w:fldChar w:fldCharType="begin"/>
      </w:r>
      <w:r w:rsidRPr="00316837">
        <w:rPr>
          <w:rFonts w:eastAsia="Calibri" w:cs="Arial"/>
          <w:bCs/>
          <w:sz w:val="18"/>
          <w:szCs w:val="18"/>
        </w:rPr>
        <w:instrText xml:space="preserve"> STYLEREF 1 \s </w:instrText>
      </w:r>
      <w:r w:rsidRPr="00654753">
        <w:rPr>
          <w:rFonts w:eastAsia="Calibri" w:cs="Arial"/>
          <w:bCs/>
          <w:sz w:val="18"/>
          <w:szCs w:val="18"/>
        </w:rPr>
        <w:fldChar w:fldCharType="separate"/>
      </w:r>
      <w:r w:rsidRPr="00654753">
        <w:rPr>
          <w:rFonts w:eastAsia="Calibri" w:cs="Arial"/>
          <w:bCs/>
          <w:sz w:val="18"/>
          <w:szCs w:val="18"/>
        </w:rPr>
        <w:t>1</w:t>
      </w:r>
      <w:r w:rsidRPr="00654753">
        <w:rPr>
          <w:rFonts w:eastAsia="Calibri" w:cs="Arial"/>
          <w:bCs/>
          <w:sz w:val="18"/>
          <w:szCs w:val="18"/>
        </w:rPr>
        <w:fldChar w:fldCharType="end"/>
      </w:r>
      <w:r w:rsidRPr="00C632F6">
        <w:rPr>
          <w:rFonts w:eastAsia="Calibri" w:cs="Arial"/>
          <w:bCs/>
          <w:sz w:val="18"/>
          <w:szCs w:val="18"/>
        </w:rPr>
        <w:noBreakHyphen/>
      </w:r>
      <w:r w:rsidRPr="00654753">
        <w:rPr>
          <w:rFonts w:eastAsia="Calibri" w:cs="Arial"/>
          <w:bCs/>
          <w:sz w:val="18"/>
          <w:szCs w:val="18"/>
        </w:rPr>
        <w:fldChar w:fldCharType="begin"/>
      </w:r>
      <w:r w:rsidRPr="00316837">
        <w:rPr>
          <w:rFonts w:eastAsia="Calibri" w:cs="Arial"/>
          <w:bCs/>
          <w:sz w:val="18"/>
          <w:szCs w:val="18"/>
        </w:rPr>
        <w:instrText xml:space="preserve"> SEQ Table \* ARABIC \s 1 </w:instrText>
      </w:r>
      <w:r w:rsidRPr="00654753">
        <w:rPr>
          <w:rFonts w:eastAsia="Calibri" w:cs="Arial"/>
          <w:bCs/>
          <w:sz w:val="18"/>
          <w:szCs w:val="18"/>
        </w:rPr>
        <w:fldChar w:fldCharType="separate"/>
      </w:r>
      <w:r w:rsidRPr="00654753">
        <w:rPr>
          <w:rFonts w:eastAsia="Calibri" w:cs="Arial"/>
          <w:bCs/>
          <w:sz w:val="18"/>
          <w:szCs w:val="18"/>
        </w:rPr>
        <w:t>1</w:t>
      </w:r>
      <w:r w:rsidRPr="00654753">
        <w:rPr>
          <w:rFonts w:eastAsia="Calibri" w:cs="Arial"/>
          <w:bCs/>
          <w:sz w:val="18"/>
          <w:szCs w:val="18"/>
        </w:rPr>
        <w:fldChar w:fldCharType="end"/>
      </w:r>
      <w:bookmarkEnd w:id="37"/>
      <w:r w:rsidRPr="00C632F6">
        <w:rPr>
          <w:rFonts w:eastAsia="Calibri" w:cs="Arial"/>
          <w:bCs/>
          <w:sz w:val="18"/>
          <w:szCs w:val="18"/>
        </w:rPr>
        <w:t>: Implementation phases of the AUC-EU collaboration</w:t>
      </w:r>
      <w:bookmarkEnd w:id="40"/>
      <w:r w:rsidRPr="00C632F6">
        <w:rPr>
          <w:rFonts w:eastAsia="Calibri" w:cs="Arial"/>
          <w:bCs/>
          <w:sz w:val="18"/>
          <w:szCs w:val="18"/>
        </w:rPr>
        <w:t xml:space="preserve"> </w:t>
      </w:r>
      <w:bookmarkEnd w:id="38"/>
    </w:p>
    <w:tbl>
      <w:tblPr>
        <w:tblStyle w:val="TableGrid"/>
        <w:tblW w:w="0" w:type="auto"/>
        <w:tblLook w:val="04A0" w:firstRow="1" w:lastRow="0" w:firstColumn="1" w:lastColumn="0" w:noHBand="0" w:noVBand="1"/>
      </w:tblPr>
      <w:tblGrid>
        <w:gridCol w:w="747"/>
        <w:gridCol w:w="1251"/>
        <w:gridCol w:w="7631"/>
      </w:tblGrid>
      <w:tr w:rsidR="00A3058D" w:rsidRPr="00316837" w14:paraId="64A506FB" w14:textId="77777777" w:rsidTr="00A3058D">
        <w:tc>
          <w:tcPr>
            <w:tcW w:w="727" w:type="dxa"/>
            <w:shd w:val="clear" w:color="auto" w:fill="F2F2F2" w:themeFill="background1" w:themeFillShade="F2"/>
          </w:tcPr>
          <w:p w14:paraId="73B63C77" w14:textId="5BBDB1FD" w:rsidR="00A3058D" w:rsidRPr="006273BD" w:rsidRDefault="00A3058D" w:rsidP="000D339D">
            <w:pPr>
              <w:spacing w:before="120" w:after="120"/>
              <w:jc w:val="left"/>
              <w:rPr>
                <w:b/>
                <w:bCs/>
                <w:sz w:val="18"/>
                <w:szCs w:val="18"/>
              </w:rPr>
            </w:pPr>
            <w:r w:rsidRPr="006273BD">
              <w:rPr>
                <w:b/>
                <w:bCs/>
                <w:sz w:val="18"/>
                <w:szCs w:val="18"/>
              </w:rPr>
              <w:t>Phase</w:t>
            </w:r>
          </w:p>
        </w:tc>
        <w:tc>
          <w:tcPr>
            <w:tcW w:w="1253" w:type="dxa"/>
            <w:shd w:val="clear" w:color="auto" w:fill="F2F2F2" w:themeFill="background1" w:themeFillShade="F2"/>
          </w:tcPr>
          <w:p w14:paraId="313AA900" w14:textId="470B71B7" w:rsidR="00A3058D" w:rsidRPr="006273BD" w:rsidRDefault="00A3058D" w:rsidP="000D339D">
            <w:pPr>
              <w:spacing w:before="120" w:after="120"/>
              <w:jc w:val="left"/>
              <w:rPr>
                <w:b/>
                <w:bCs/>
                <w:sz w:val="18"/>
                <w:szCs w:val="18"/>
              </w:rPr>
            </w:pPr>
            <w:r w:rsidRPr="006273BD">
              <w:rPr>
                <w:b/>
                <w:bCs/>
                <w:sz w:val="18"/>
                <w:szCs w:val="18"/>
              </w:rPr>
              <w:t>Period</w:t>
            </w:r>
          </w:p>
        </w:tc>
        <w:tc>
          <w:tcPr>
            <w:tcW w:w="7649" w:type="dxa"/>
            <w:shd w:val="clear" w:color="auto" w:fill="F2F2F2" w:themeFill="background1" w:themeFillShade="F2"/>
          </w:tcPr>
          <w:p w14:paraId="327243EF" w14:textId="4FC8D749" w:rsidR="00A3058D" w:rsidRPr="006273BD" w:rsidRDefault="00A3058D" w:rsidP="000D339D">
            <w:pPr>
              <w:spacing w:before="120" w:after="120"/>
              <w:jc w:val="left"/>
              <w:rPr>
                <w:b/>
                <w:bCs/>
                <w:sz w:val="18"/>
                <w:szCs w:val="18"/>
              </w:rPr>
            </w:pPr>
            <w:r w:rsidRPr="006273BD">
              <w:rPr>
                <w:b/>
                <w:bCs/>
                <w:sz w:val="18"/>
                <w:szCs w:val="18"/>
              </w:rPr>
              <w:t>Characteristics</w:t>
            </w:r>
          </w:p>
        </w:tc>
      </w:tr>
      <w:tr w:rsidR="00A3058D" w:rsidRPr="00316837" w14:paraId="7F91CBAF" w14:textId="77777777" w:rsidTr="00A3058D">
        <w:tc>
          <w:tcPr>
            <w:tcW w:w="727" w:type="dxa"/>
          </w:tcPr>
          <w:p w14:paraId="2A09BF40" w14:textId="17622C8D" w:rsidR="00A3058D" w:rsidRPr="00316837" w:rsidRDefault="00A3058D" w:rsidP="000D339D">
            <w:pPr>
              <w:spacing w:before="120" w:after="120"/>
              <w:jc w:val="left"/>
              <w:rPr>
                <w:sz w:val="18"/>
                <w:szCs w:val="18"/>
              </w:rPr>
            </w:pPr>
            <w:r w:rsidRPr="00316837">
              <w:rPr>
                <w:sz w:val="18"/>
                <w:szCs w:val="18"/>
              </w:rPr>
              <w:t>1</w:t>
            </w:r>
          </w:p>
        </w:tc>
        <w:tc>
          <w:tcPr>
            <w:tcW w:w="1253" w:type="dxa"/>
          </w:tcPr>
          <w:p w14:paraId="52FABB96" w14:textId="4DE189B3" w:rsidR="00A3058D" w:rsidRPr="00316837" w:rsidRDefault="00A3058D" w:rsidP="000D339D">
            <w:pPr>
              <w:spacing w:before="120" w:after="120"/>
              <w:jc w:val="left"/>
              <w:rPr>
                <w:sz w:val="18"/>
                <w:szCs w:val="18"/>
              </w:rPr>
            </w:pPr>
            <w:r w:rsidRPr="00316837">
              <w:rPr>
                <w:sz w:val="18"/>
                <w:szCs w:val="18"/>
              </w:rPr>
              <w:t>2015-2016</w:t>
            </w:r>
          </w:p>
        </w:tc>
        <w:tc>
          <w:tcPr>
            <w:tcW w:w="7649" w:type="dxa"/>
          </w:tcPr>
          <w:p w14:paraId="77FB5250" w14:textId="65C5223E" w:rsidR="00A3058D" w:rsidRPr="00316837" w:rsidRDefault="00A3058D" w:rsidP="000D339D">
            <w:pPr>
              <w:spacing w:before="120" w:after="120"/>
              <w:jc w:val="left"/>
              <w:rPr>
                <w:sz w:val="18"/>
                <w:szCs w:val="18"/>
              </w:rPr>
            </w:pPr>
            <w:r w:rsidRPr="00316837">
              <w:rPr>
                <w:sz w:val="18"/>
                <w:szCs w:val="18"/>
              </w:rPr>
              <w:t>Involved the development, validation, and approval (by the AU Summit) of “</w:t>
            </w:r>
            <w:r w:rsidR="00330F18" w:rsidRPr="00316837">
              <w:rPr>
                <w:sz w:val="18"/>
                <w:szCs w:val="18"/>
              </w:rPr>
              <w:t xml:space="preserve">the </w:t>
            </w:r>
            <w:r w:rsidRPr="00316837">
              <w:rPr>
                <w:sz w:val="18"/>
                <w:szCs w:val="18"/>
              </w:rPr>
              <w:t xml:space="preserve">Strategy and the Action Plan for a Harmonised Regulatory Framework for the Electricity Market in Africa”. </w:t>
            </w:r>
          </w:p>
        </w:tc>
      </w:tr>
      <w:bookmarkEnd w:id="39"/>
      <w:tr w:rsidR="00A3058D" w:rsidRPr="00316837" w14:paraId="53F50648" w14:textId="77777777" w:rsidTr="00A3058D">
        <w:tc>
          <w:tcPr>
            <w:tcW w:w="727" w:type="dxa"/>
          </w:tcPr>
          <w:p w14:paraId="173FE5E6" w14:textId="2C53D772" w:rsidR="00A3058D" w:rsidRPr="00316837" w:rsidRDefault="00A3058D" w:rsidP="000D339D">
            <w:pPr>
              <w:spacing w:before="120" w:after="120"/>
              <w:jc w:val="left"/>
              <w:rPr>
                <w:sz w:val="18"/>
                <w:szCs w:val="18"/>
              </w:rPr>
            </w:pPr>
            <w:r w:rsidRPr="00316837">
              <w:rPr>
                <w:sz w:val="18"/>
                <w:szCs w:val="18"/>
              </w:rPr>
              <w:t>2</w:t>
            </w:r>
          </w:p>
        </w:tc>
        <w:tc>
          <w:tcPr>
            <w:tcW w:w="1253" w:type="dxa"/>
          </w:tcPr>
          <w:p w14:paraId="09635CA2" w14:textId="1DA9E911" w:rsidR="00A3058D" w:rsidRPr="00316837" w:rsidRDefault="00A3058D" w:rsidP="000D339D">
            <w:pPr>
              <w:spacing w:before="120" w:after="120"/>
              <w:jc w:val="left"/>
              <w:rPr>
                <w:sz w:val="18"/>
                <w:szCs w:val="18"/>
              </w:rPr>
            </w:pPr>
            <w:r w:rsidRPr="00316837">
              <w:rPr>
                <w:sz w:val="18"/>
                <w:szCs w:val="18"/>
              </w:rPr>
              <w:t>2017</w:t>
            </w:r>
          </w:p>
        </w:tc>
        <w:tc>
          <w:tcPr>
            <w:tcW w:w="7649" w:type="dxa"/>
          </w:tcPr>
          <w:p w14:paraId="38CD3D83" w14:textId="6AA53535" w:rsidR="00A3058D" w:rsidRPr="00316837" w:rsidRDefault="00A3058D" w:rsidP="000D339D">
            <w:pPr>
              <w:spacing w:before="120" w:after="120"/>
              <w:jc w:val="left"/>
              <w:rPr>
                <w:rFonts w:cs="Arial"/>
                <w:sz w:val="18"/>
                <w:szCs w:val="18"/>
              </w:rPr>
            </w:pPr>
            <w:r w:rsidRPr="00316837">
              <w:rPr>
                <w:rFonts w:cs="Arial"/>
                <w:sz w:val="18"/>
                <w:szCs w:val="18"/>
              </w:rPr>
              <w:t xml:space="preserve">Covered support to AUC-DIE for the implementation of the Strategy and Action Plan regarding: </w:t>
            </w:r>
          </w:p>
          <w:p w14:paraId="0FF6C0CE" w14:textId="71DF9C43" w:rsidR="00A3058D" w:rsidRPr="00316837" w:rsidRDefault="00A3058D" w:rsidP="006A5033">
            <w:pPr>
              <w:pStyle w:val="ListParagraph"/>
              <w:numPr>
                <w:ilvl w:val="0"/>
                <w:numId w:val="50"/>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Coordination Role of </w:t>
            </w:r>
            <w:r w:rsidR="000D52F1" w:rsidRPr="00316837">
              <w:rPr>
                <w:rFonts w:ascii="Arial" w:hAnsi="Arial" w:cs="Arial"/>
                <w:sz w:val="18"/>
                <w:szCs w:val="18"/>
                <w:lang w:val="en-GB"/>
              </w:rPr>
              <w:t xml:space="preserve">the </w:t>
            </w:r>
            <w:r w:rsidRPr="00316837">
              <w:rPr>
                <w:rFonts w:ascii="Arial" w:hAnsi="Arial" w:cs="Arial"/>
                <w:sz w:val="18"/>
                <w:szCs w:val="18"/>
                <w:lang w:val="en-GB"/>
              </w:rPr>
              <w:t xml:space="preserve">AUC, </w:t>
            </w:r>
          </w:p>
          <w:p w14:paraId="1CB20417" w14:textId="3F7344FC" w:rsidR="00A3058D" w:rsidRPr="00316837" w:rsidRDefault="00A3058D" w:rsidP="006A5033">
            <w:pPr>
              <w:pStyle w:val="ListParagraph"/>
              <w:numPr>
                <w:ilvl w:val="0"/>
                <w:numId w:val="50"/>
              </w:numPr>
              <w:spacing w:before="120" w:line="288" w:lineRule="auto"/>
              <w:jc w:val="left"/>
              <w:rPr>
                <w:rFonts w:ascii="Arial" w:hAnsi="Arial" w:cs="Arial"/>
                <w:sz w:val="18"/>
                <w:szCs w:val="18"/>
                <w:lang w:val="en-GB"/>
              </w:rPr>
            </w:pPr>
            <w:r w:rsidRPr="00316837">
              <w:rPr>
                <w:rFonts w:ascii="Arial" w:hAnsi="Arial" w:cs="Arial"/>
                <w:sz w:val="18"/>
                <w:szCs w:val="18"/>
                <w:lang w:val="en-GB"/>
              </w:rPr>
              <w:t>Development of Continental Transmission Tariff Methodology, and</w:t>
            </w:r>
            <w:r w:rsidR="001D4932" w:rsidRPr="00316837">
              <w:rPr>
                <w:rFonts w:ascii="Arial" w:hAnsi="Arial" w:cs="Arial"/>
                <w:sz w:val="18"/>
                <w:szCs w:val="18"/>
                <w:lang w:val="en-GB"/>
              </w:rPr>
              <w:t xml:space="preserve"> </w:t>
            </w:r>
          </w:p>
          <w:p w14:paraId="43E56F8B" w14:textId="461D66D7" w:rsidR="00A3058D" w:rsidRPr="00316837" w:rsidRDefault="00A3058D" w:rsidP="006A5033">
            <w:pPr>
              <w:pStyle w:val="ListParagraph"/>
              <w:numPr>
                <w:ilvl w:val="0"/>
                <w:numId w:val="50"/>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Institutional and Policy Model for Micro and Mini-Grids. </w:t>
            </w:r>
          </w:p>
        </w:tc>
      </w:tr>
      <w:tr w:rsidR="00A3058D" w:rsidRPr="00316837" w14:paraId="5A1E6622" w14:textId="77777777" w:rsidTr="00A3058D">
        <w:tc>
          <w:tcPr>
            <w:tcW w:w="727" w:type="dxa"/>
          </w:tcPr>
          <w:p w14:paraId="79FEC960" w14:textId="277CE910" w:rsidR="00A3058D" w:rsidRPr="00316837" w:rsidRDefault="00A3058D" w:rsidP="000D339D">
            <w:pPr>
              <w:spacing w:before="120" w:after="120"/>
              <w:jc w:val="left"/>
              <w:rPr>
                <w:sz w:val="18"/>
                <w:szCs w:val="18"/>
              </w:rPr>
            </w:pPr>
            <w:r w:rsidRPr="00316837">
              <w:rPr>
                <w:sz w:val="18"/>
                <w:szCs w:val="18"/>
              </w:rPr>
              <w:t>3</w:t>
            </w:r>
          </w:p>
        </w:tc>
        <w:tc>
          <w:tcPr>
            <w:tcW w:w="1253" w:type="dxa"/>
          </w:tcPr>
          <w:p w14:paraId="3E80642E" w14:textId="290CFC88" w:rsidR="00A3058D" w:rsidRPr="00316837" w:rsidRDefault="00A3058D" w:rsidP="000D339D">
            <w:pPr>
              <w:spacing w:before="120" w:after="120"/>
              <w:jc w:val="left"/>
              <w:rPr>
                <w:sz w:val="18"/>
                <w:szCs w:val="18"/>
              </w:rPr>
            </w:pPr>
            <w:r w:rsidRPr="00316837">
              <w:rPr>
                <w:sz w:val="18"/>
                <w:szCs w:val="18"/>
              </w:rPr>
              <w:t>2018-2019</w:t>
            </w:r>
          </w:p>
        </w:tc>
        <w:tc>
          <w:tcPr>
            <w:tcW w:w="7649" w:type="dxa"/>
          </w:tcPr>
          <w:p w14:paraId="5E901FBC" w14:textId="4A8EF7E7" w:rsidR="00A3058D" w:rsidRPr="00316837" w:rsidRDefault="00A3058D" w:rsidP="000D339D">
            <w:pPr>
              <w:spacing w:before="120" w:after="120"/>
              <w:jc w:val="left"/>
              <w:rPr>
                <w:sz w:val="18"/>
                <w:szCs w:val="18"/>
              </w:rPr>
            </w:pPr>
            <w:r w:rsidRPr="00316837">
              <w:rPr>
                <w:sz w:val="18"/>
                <w:szCs w:val="18"/>
              </w:rPr>
              <w:t xml:space="preserve">Involved the development of a Continental Transmission Tariff Calculation Tool for international bilateral transactions. </w:t>
            </w:r>
          </w:p>
        </w:tc>
      </w:tr>
      <w:tr w:rsidR="00A3058D" w:rsidRPr="00316837" w14:paraId="6580AD12" w14:textId="77777777" w:rsidTr="00A3058D">
        <w:tc>
          <w:tcPr>
            <w:tcW w:w="727" w:type="dxa"/>
          </w:tcPr>
          <w:p w14:paraId="5B410356" w14:textId="7E05CA93" w:rsidR="00A3058D" w:rsidRPr="00316837" w:rsidRDefault="00A3058D" w:rsidP="000D339D">
            <w:pPr>
              <w:spacing w:before="120" w:after="120"/>
              <w:jc w:val="left"/>
              <w:rPr>
                <w:sz w:val="18"/>
                <w:szCs w:val="18"/>
              </w:rPr>
            </w:pPr>
            <w:r w:rsidRPr="00316837">
              <w:rPr>
                <w:sz w:val="18"/>
                <w:szCs w:val="18"/>
              </w:rPr>
              <w:t>4</w:t>
            </w:r>
          </w:p>
        </w:tc>
        <w:tc>
          <w:tcPr>
            <w:tcW w:w="1253" w:type="dxa"/>
          </w:tcPr>
          <w:p w14:paraId="6829E40A" w14:textId="2616B6B6" w:rsidR="00A3058D" w:rsidRPr="00316837" w:rsidRDefault="00A3058D" w:rsidP="000D339D">
            <w:pPr>
              <w:spacing w:before="120" w:after="120"/>
              <w:jc w:val="left"/>
              <w:rPr>
                <w:sz w:val="18"/>
                <w:szCs w:val="18"/>
              </w:rPr>
            </w:pPr>
            <w:r w:rsidRPr="00316837">
              <w:rPr>
                <w:sz w:val="18"/>
                <w:szCs w:val="18"/>
              </w:rPr>
              <w:t>2019-2021</w:t>
            </w:r>
          </w:p>
        </w:tc>
        <w:tc>
          <w:tcPr>
            <w:tcW w:w="7649" w:type="dxa"/>
          </w:tcPr>
          <w:p w14:paraId="69F0C72B" w14:textId="77777777" w:rsidR="00A3058D" w:rsidRPr="00316837" w:rsidRDefault="00A3058D" w:rsidP="000D339D">
            <w:pPr>
              <w:spacing w:before="120" w:after="120"/>
              <w:jc w:val="left"/>
              <w:rPr>
                <w:sz w:val="18"/>
                <w:szCs w:val="18"/>
              </w:rPr>
            </w:pPr>
            <w:r w:rsidRPr="00316837">
              <w:rPr>
                <w:sz w:val="18"/>
                <w:szCs w:val="18"/>
              </w:rPr>
              <w:t xml:space="preserve">Covered provision of support to AUC-DIE for the implementation, coordination, and monitoring of the Strategy and Action Plan. </w:t>
            </w:r>
          </w:p>
          <w:p w14:paraId="2A1E3FC2" w14:textId="6F0C62FC" w:rsidR="00A3058D" w:rsidRPr="00316837" w:rsidRDefault="00A3058D" w:rsidP="000D339D">
            <w:pPr>
              <w:spacing w:before="120" w:after="120"/>
              <w:jc w:val="left"/>
              <w:rPr>
                <w:sz w:val="18"/>
                <w:szCs w:val="18"/>
              </w:rPr>
            </w:pPr>
            <w:r w:rsidRPr="00316837">
              <w:rPr>
                <w:sz w:val="18"/>
                <w:szCs w:val="18"/>
              </w:rPr>
              <w:t xml:space="preserve">Comprised a number of activities including the current Lot 09.5 assignment - Strategic Planning, Action Plan and Guidelines for the African Single Electricity Market (AfSEM). </w:t>
            </w:r>
          </w:p>
        </w:tc>
      </w:tr>
    </w:tbl>
    <w:p w14:paraId="09F55F5C" w14:textId="442A50B6" w:rsidR="00A3058D" w:rsidRPr="00316837" w:rsidRDefault="00A3058D" w:rsidP="00A3058D">
      <w:r w:rsidRPr="00316837">
        <w:t xml:space="preserve">It is important to highlight that AfSEM is a key activity of </w:t>
      </w:r>
      <w:r w:rsidR="000D52F1" w:rsidRPr="00316837">
        <w:t xml:space="preserve">the </w:t>
      </w:r>
      <w:r w:rsidRPr="00316837">
        <w:t>AUC and hence a continuation of the AUC’s Strategy and the Action Plan for a Harmonised Regulatory Framework for the Electricity Market in Africa, which was adopted by the AU Heads of State and Government in 2017. As an overall electricity initiative of the AU, AfSEM will cover strategy, policy</w:t>
      </w:r>
      <w:r w:rsidR="00330F18" w:rsidRPr="00316837">
        <w:t>,</w:t>
      </w:r>
      <w:r w:rsidRPr="00316837">
        <w:t xml:space="preserve"> and planning aspects of the entire electricity value chain at the national, regional, and continental levels.</w:t>
      </w:r>
      <w:r w:rsidR="001D4932" w:rsidRPr="00316837">
        <w:t xml:space="preserve"> </w:t>
      </w:r>
    </w:p>
    <w:p w14:paraId="255807D8" w14:textId="34D3965D" w:rsidR="00A3058D" w:rsidRPr="00316837" w:rsidRDefault="00A3058D" w:rsidP="00A3058D">
      <w:r w:rsidRPr="00316837">
        <w:t xml:space="preserve">AfSEM is particularly relevant to the AU’s vision for an integrated and prosperous continent, as outlined in its Agenda 2063 development blueprint. It is one of the tools which would equip AfCFTA to catalyse the socio-economic development of the continent. AfSEM is expected to enhance the delivery of quality and reliable electricity service to the citizens on the continent. It is also expected to create a market that will provide reliable electricity at least cost to consumers and catalyse cost-efficient response for strong growth of electricity demand. It will thus serve as an essential tool for exploiting the full potential of the continent’s RES, and play a pivotal role in the transition to a greener energy sector as well as help to achieve 100% access to electricity. </w:t>
      </w:r>
    </w:p>
    <w:p w14:paraId="3D319E85" w14:textId="1B9C36AE" w:rsidR="00A3058D" w:rsidRPr="00316837" w:rsidRDefault="00A3058D" w:rsidP="00A3058D">
      <w:r w:rsidRPr="00316837">
        <w:t xml:space="preserve">The integrated electricity market will ensure system stability and provision of reliable and secure electricity supply, as well as contribute to cost-efficient decarbonisation of the energy sector. It is in this light that AU decided to develop AfSEM under Lot 09.5, with the view to ensuring its progressive implementation and full operationalisation by 2040. The </w:t>
      </w:r>
      <w:r w:rsidRPr="00316837">
        <w:rPr>
          <w:i/>
        </w:rPr>
        <w:t>Guidelines and Action Plan on the Technical and Operational Readiness covered in this report</w:t>
      </w:r>
      <w:r w:rsidRPr="00316837">
        <w:t xml:space="preserve">, will ensure that all the necessary preconditions required for interconnection to take place between </w:t>
      </w:r>
      <w:r w:rsidR="00330F18" w:rsidRPr="00316837">
        <w:t xml:space="preserve">two or more </w:t>
      </w:r>
      <w:r w:rsidRPr="00316837">
        <w:t xml:space="preserve">integrated </w:t>
      </w:r>
      <w:r w:rsidR="00330F18" w:rsidRPr="00316837">
        <w:t xml:space="preserve">power </w:t>
      </w:r>
      <w:r w:rsidRPr="00316837">
        <w:t xml:space="preserve">systems, have been satisfied to pave the way for exchanges and trading to commence. </w:t>
      </w:r>
    </w:p>
    <w:p w14:paraId="339B1EDF" w14:textId="1DD2F8FD" w:rsidR="00A3058D" w:rsidRPr="00316837" w:rsidRDefault="00A3058D" w:rsidP="00A3058D">
      <w:r w:rsidRPr="00316837">
        <w:t xml:space="preserve">The Technical and Operational Readiness deliverable will ensure that all the technical and operational capabilities of Power Pools and their member utilities, which are crucial for the establishment of the regional </w:t>
      </w:r>
      <w:r w:rsidRPr="00316837">
        <w:lastRenderedPageBreak/>
        <w:t xml:space="preserve">electricity markets are in place. In addition, this deliverable will allow for the development and implementation of key technical documents and regulations for the operation of the mutually interconnected systems in a transparent and non-discriminatory manner. </w:t>
      </w:r>
    </w:p>
    <w:p w14:paraId="147910BF" w14:textId="37AA4993" w:rsidR="002B719C" w:rsidRPr="00316837" w:rsidRDefault="00A21496" w:rsidP="002B719C">
      <w:pPr>
        <w:pStyle w:val="Heading2"/>
      </w:pPr>
      <w:bookmarkStart w:id="41" w:name="_Hlk61473500"/>
      <w:bookmarkStart w:id="42" w:name="_Toc77260289"/>
      <w:r w:rsidRPr="00316837">
        <w:t>S</w:t>
      </w:r>
      <w:r w:rsidR="00A12120" w:rsidRPr="00316837">
        <w:t xml:space="preserve">ignificance of </w:t>
      </w:r>
      <w:r w:rsidR="00744D32" w:rsidRPr="00316837">
        <w:t>Technical and Operational Readiness</w:t>
      </w:r>
      <w:bookmarkEnd w:id="42"/>
      <w:r w:rsidR="002B719C" w:rsidRPr="00316837">
        <w:t xml:space="preserve"> </w:t>
      </w:r>
    </w:p>
    <w:p w14:paraId="56C5212E" w14:textId="2A6CCEF9" w:rsidR="00330F18" w:rsidRPr="00316837" w:rsidRDefault="00330F18" w:rsidP="00330F18">
      <w:pPr>
        <w:rPr>
          <w:rFonts w:eastAsia="Calibri"/>
          <w:szCs w:val="22"/>
        </w:rPr>
      </w:pPr>
      <w:bookmarkStart w:id="43" w:name="_Hlk53398584"/>
      <w:r w:rsidRPr="00316837">
        <w:rPr>
          <w:rFonts w:eastAsia="Calibri"/>
          <w:szCs w:val="22"/>
        </w:rPr>
        <w:t xml:space="preserve">The Technical and Operational Readiness of an integrated power system defines the state where all the preconditions for interconnection of any two or more power systems have been met, so that electricity trading can take place in a safe, secured and reliable manner. The Technical and Operational Readiness of Power Pools and their member utilities/TSOs, is therefore pivotal for the establishment of the interconnected regional and continental electricity markets for implementation of AfSEM. In addition, it is imperative that Power Pools and their member utilities/TSOs possess the necessary technical capabilities and human resources for the operation and management of the interconnected power systems. </w:t>
      </w:r>
    </w:p>
    <w:p w14:paraId="3DF17D19" w14:textId="266735CD" w:rsidR="00330F18" w:rsidRPr="00316837" w:rsidRDefault="00330F18" w:rsidP="00330F18">
      <w:pPr>
        <w:rPr>
          <w:rFonts w:eastAsia="Calibri"/>
          <w:szCs w:val="22"/>
        </w:rPr>
      </w:pPr>
      <w:r w:rsidRPr="00316837">
        <w:rPr>
          <w:rFonts w:eastAsia="Calibri"/>
          <w:szCs w:val="22"/>
        </w:rPr>
        <w:t>The secure and reliable operation of the interconnected power systems is also subject to preconditions such as:</w:t>
      </w:r>
      <w:r w:rsidR="001D4932" w:rsidRPr="00316837">
        <w:rPr>
          <w:rFonts w:eastAsia="Calibri"/>
          <w:szCs w:val="22"/>
        </w:rPr>
        <w:t xml:space="preserve"> </w:t>
      </w:r>
    </w:p>
    <w:p w14:paraId="0E843501" w14:textId="796C90AC" w:rsidR="00330F18" w:rsidRPr="00316837" w:rsidRDefault="00330F18" w:rsidP="006A5033">
      <w:pPr>
        <w:numPr>
          <w:ilvl w:val="0"/>
          <w:numId w:val="51"/>
        </w:numPr>
        <w:tabs>
          <w:tab w:val="num" w:pos="1417"/>
        </w:tabs>
        <w:ind w:left="720"/>
        <w:rPr>
          <w:rFonts w:eastAsia="Calibri"/>
          <w:szCs w:val="22"/>
        </w:rPr>
      </w:pPr>
      <w:r w:rsidRPr="00316837">
        <w:rPr>
          <w:rFonts w:eastAsia="Calibri"/>
          <w:szCs w:val="22"/>
        </w:rPr>
        <w:t xml:space="preserve">sufficient capacities of generation plants and transmission networks (capacity adequacy and readiness), and </w:t>
      </w:r>
    </w:p>
    <w:p w14:paraId="13F6A011" w14:textId="2CD1FA83" w:rsidR="00330F18" w:rsidRPr="00316837" w:rsidRDefault="00330F18" w:rsidP="006A5033">
      <w:pPr>
        <w:numPr>
          <w:ilvl w:val="0"/>
          <w:numId w:val="51"/>
        </w:numPr>
        <w:tabs>
          <w:tab w:val="num" w:pos="1417"/>
        </w:tabs>
        <w:ind w:left="720"/>
        <w:rPr>
          <w:rFonts w:eastAsia="Calibri"/>
          <w:szCs w:val="22"/>
        </w:rPr>
      </w:pPr>
      <w:r w:rsidRPr="00316837">
        <w:rPr>
          <w:rFonts w:eastAsia="Calibri"/>
          <w:szCs w:val="22"/>
        </w:rPr>
        <w:t xml:space="preserve">installation of modern software and ICT equipment at the dispatch and control centres. </w:t>
      </w:r>
    </w:p>
    <w:p w14:paraId="6396D3E6" w14:textId="04E7A54F" w:rsidR="00330F18" w:rsidRPr="00316837" w:rsidRDefault="00330F18" w:rsidP="00330F18">
      <w:pPr>
        <w:rPr>
          <w:rFonts w:eastAsia="Calibri"/>
          <w:szCs w:val="22"/>
        </w:rPr>
      </w:pPr>
      <w:r w:rsidRPr="00316837">
        <w:rPr>
          <w:rFonts w:eastAsia="Calibri"/>
          <w:szCs w:val="22"/>
        </w:rPr>
        <w:t xml:space="preserve">This requires that the RSMOs as well as the </w:t>
      </w:r>
      <w:r w:rsidR="00B6101C" w:rsidRPr="00316837">
        <w:rPr>
          <w:rFonts w:eastAsia="Calibri"/>
          <w:szCs w:val="22"/>
        </w:rPr>
        <w:t>C</w:t>
      </w:r>
      <w:r w:rsidRPr="00316837">
        <w:rPr>
          <w:rFonts w:eastAsia="Calibri"/>
          <w:szCs w:val="22"/>
        </w:rPr>
        <w:t xml:space="preserve">ontrol </w:t>
      </w:r>
      <w:r w:rsidR="00B6101C" w:rsidRPr="00316837">
        <w:rPr>
          <w:rFonts w:eastAsia="Calibri"/>
          <w:szCs w:val="22"/>
        </w:rPr>
        <w:t>A</w:t>
      </w:r>
      <w:r w:rsidRPr="00316837">
        <w:rPr>
          <w:rFonts w:eastAsia="Calibri"/>
          <w:szCs w:val="22"/>
        </w:rPr>
        <w:t>rea</w:t>
      </w:r>
      <w:r w:rsidR="00B6101C" w:rsidRPr="00316837">
        <w:rPr>
          <w:rFonts w:eastAsia="Calibri"/>
          <w:szCs w:val="22"/>
        </w:rPr>
        <w:t xml:space="preserve"> Operators</w:t>
      </w:r>
      <w:r w:rsidRPr="00316837">
        <w:rPr>
          <w:rFonts w:eastAsia="Calibri"/>
          <w:szCs w:val="22"/>
        </w:rPr>
        <w:t xml:space="preserve"> and the national TSOs, have reliable software and ICT equipment installed at their dispatch and control centres that can monitor the conditions of their interconnected transmission systems. This will ensure that information on the status of the interconnected transmission systems can be indicated in the dispatch and control centres for information and coordination, as well as for system reliability purposes. </w:t>
      </w:r>
    </w:p>
    <w:p w14:paraId="74928AB7" w14:textId="29A919C1" w:rsidR="00A21496" w:rsidRPr="00316837" w:rsidRDefault="00330F18" w:rsidP="00330F18">
      <w:pPr>
        <w:pStyle w:val="Heading3"/>
        <w:rPr>
          <w:rFonts w:eastAsia="Calibri"/>
        </w:rPr>
      </w:pPr>
      <w:bookmarkStart w:id="44" w:name="_Toc77260290"/>
      <w:r w:rsidRPr="00316837">
        <w:rPr>
          <w:rFonts w:eastAsia="Calibri"/>
        </w:rPr>
        <w:t>Specific Objectives</w:t>
      </w:r>
      <w:bookmarkEnd w:id="44"/>
      <w:r w:rsidRPr="00316837">
        <w:rPr>
          <w:rFonts w:eastAsia="Calibri"/>
        </w:rPr>
        <w:t xml:space="preserve"> </w:t>
      </w:r>
    </w:p>
    <w:p w14:paraId="4CB2D509" w14:textId="2834EF6A" w:rsidR="00330F18" w:rsidRPr="00316837" w:rsidRDefault="00330F18" w:rsidP="00330F18">
      <w:pPr>
        <w:rPr>
          <w:rFonts w:eastAsia="Calibri"/>
          <w:szCs w:val="22"/>
        </w:rPr>
      </w:pPr>
      <w:r w:rsidRPr="00316837">
        <w:rPr>
          <w:rFonts w:eastAsia="Calibri"/>
          <w:szCs w:val="22"/>
        </w:rPr>
        <w:t>The overall objective of Phase 3 Task 2 as it pertains to this deliverable (i.e. Deliverable 5)</w:t>
      </w:r>
      <w:r w:rsidR="00F153E5" w:rsidRPr="00316837">
        <w:rPr>
          <w:rFonts w:eastAsia="Calibri"/>
          <w:szCs w:val="22"/>
        </w:rPr>
        <w:t>,</w:t>
      </w:r>
      <w:r w:rsidRPr="00316837">
        <w:rPr>
          <w:rFonts w:eastAsia="Calibri"/>
          <w:szCs w:val="22"/>
        </w:rPr>
        <w:t xml:space="preserve"> is to identify the current situation and on that basis develop the Guidelines and Action Plan for Technical and Operational Readiness for implementing AfSEM, including system planning and technical operation of the integrated electricity market. </w:t>
      </w:r>
    </w:p>
    <w:p w14:paraId="3F208ADB" w14:textId="03A391F1" w:rsidR="00330F18" w:rsidRPr="00316837" w:rsidRDefault="00330F18" w:rsidP="00330F18">
      <w:pPr>
        <w:rPr>
          <w:rFonts w:eastAsia="Calibri"/>
          <w:szCs w:val="22"/>
        </w:rPr>
      </w:pPr>
      <w:r w:rsidRPr="00316837">
        <w:rPr>
          <w:rFonts w:eastAsia="Calibri"/>
          <w:szCs w:val="22"/>
        </w:rPr>
        <w:t xml:space="preserve">The specific objectives of the Technical and Operational Readiness deliverable are as follows: </w:t>
      </w:r>
    </w:p>
    <w:p w14:paraId="502D0096" w14:textId="5ECBDAD8" w:rsidR="00330F18" w:rsidRPr="00316837" w:rsidRDefault="00330F18" w:rsidP="006A5033">
      <w:pPr>
        <w:numPr>
          <w:ilvl w:val="0"/>
          <w:numId w:val="51"/>
        </w:numPr>
        <w:tabs>
          <w:tab w:val="num" w:pos="1417"/>
        </w:tabs>
        <w:ind w:left="720"/>
        <w:rPr>
          <w:rFonts w:eastAsia="Calibri"/>
          <w:szCs w:val="22"/>
        </w:rPr>
      </w:pPr>
      <w:r w:rsidRPr="00316837">
        <w:rPr>
          <w:rFonts w:eastAsia="Calibri"/>
          <w:szCs w:val="22"/>
        </w:rPr>
        <w:t xml:space="preserve">review and assess the dispatch and control capabilities of Power Pools for both intra- and inter-Power Pool exchanges for the realisation of AfSEM, and make recommendations for improvement to facilitate the electricity market integration, </w:t>
      </w:r>
    </w:p>
    <w:p w14:paraId="697C57C7" w14:textId="11C9D346" w:rsidR="00330F18" w:rsidRPr="00316837" w:rsidRDefault="00330F18" w:rsidP="006A5033">
      <w:pPr>
        <w:numPr>
          <w:ilvl w:val="0"/>
          <w:numId w:val="51"/>
        </w:numPr>
        <w:tabs>
          <w:tab w:val="num" w:pos="1417"/>
        </w:tabs>
        <w:ind w:left="720"/>
        <w:rPr>
          <w:rFonts w:eastAsia="Calibri"/>
          <w:szCs w:val="22"/>
        </w:rPr>
      </w:pPr>
      <w:r w:rsidRPr="00316837">
        <w:rPr>
          <w:rFonts w:eastAsia="Calibri"/>
          <w:szCs w:val="22"/>
        </w:rPr>
        <w:t xml:space="preserve">identify and propose solutions to potential technical challenges to be addressed due to interconnections of both intra- and inter-regional transmission networks, </w:t>
      </w:r>
    </w:p>
    <w:p w14:paraId="62404C9A" w14:textId="2BE5FECD" w:rsidR="00330F18" w:rsidRPr="00316837" w:rsidRDefault="00330F18" w:rsidP="006A5033">
      <w:pPr>
        <w:numPr>
          <w:ilvl w:val="0"/>
          <w:numId w:val="51"/>
        </w:numPr>
        <w:tabs>
          <w:tab w:val="num" w:pos="1417"/>
        </w:tabs>
        <w:ind w:left="720"/>
        <w:rPr>
          <w:rFonts w:eastAsia="Calibri"/>
          <w:szCs w:val="22"/>
        </w:rPr>
      </w:pPr>
      <w:r w:rsidRPr="00316837">
        <w:rPr>
          <w:rFonts w:eastAsia="Calibri"/>
          <w:szCs w:val="22"/>
        </w:rPr>
        <w:t xml:space="preserve">synchronise with the continental TYTNDP from the Continental Master Plan, and establish a continental interconnection targets for the short-, medium- and long-terms, </w:t>
      </w:r>
    </w:p>
    <w:p w14:paraId="57C78B95" w14:textId="155DFEE4" w:rsidR="00330F18" w:rsidRPr="00316837" w:rsidRDefault="00330F18" w:rsidP="006A5033">
      <w:pPr>
        <w:numPr>
          <w:ilvl w:val="0"/>
          <w:numId w:val="51"/>
        </w:numPr>
        <w:tabs>
          <w:tab w:val="num" w:pos="1417"/>
        </w:tabs>
        <w:ind w:left="720"/>
        <w:rPr>
          <w:rFonts w:eastAsia="Calibri"/>
          <w:szCs w:val="22"/>
        </w:rPr>
      </w:pPr>
      <w:r w:rsidRPr="00316837">
        <w:rPr>
          <w:rFonts w:eastAsia="Calibri"/>
          <w:szCs w:val="22"/>
        </w:rPr>
        <w:t xml:space="preserve">carry out scenario analysis and quantify opportunities regarding the Technical and Operational Readiness, </w:t>
      </w:r>
    </w:p>
    <w:p w14:paraId="1D42B297" w14:textId="06719EDC" w:rsidR="00330F18" w:rsidRPr="00316837" w:rsidRDefault="00330F18" w:rsidP="006A5033">
      <w:pPr>
        <w:numPr>
          <w:ilvl w:val="0"/>
          <w:numId w:val="51"/>
        </w:numPr>
        <w:tabs>
          <w:tab w:val="num" w:pos="1417"/>
        </w:tabs>
        <w:ind w:left="720"/>
        <w:rPr>
          <w:rFonts w:eastAsia="Calibri"/>
          <w:szCs w:val="22"/>
        </w:rPr>
      </w:pPr>
      <w:r w:rsidRPr="00316837">
        <w:rPr>
          <w:rFonts w:eastAsia="Calibri"/>
          <w:szCs w:val="22"/>
        </w:rPr>
        <w:t xml:space="preserve">identify and propose solutions for interconnection of off-grid systems to the main grid, and </w:t>
      </w:r>
    </w:p>
    <w:p w14:paraId="22CA0E11" w14:textId="6EFF128E" w:rsidR="00330F18" w:rsidRPr="00316837" w:rsidRDefault="00330F18" w:rsidP="006A5033">
      <w:pPr>
        <w:numPr>
          <w:ilvl w:val="0"/>
          <w:numId w:val="51"/>
        </w:numPr>
        <w:tabs>
          <w:tab w:val="num" w:pos="1417"/>
        </w:tabs>
        <w:ind w:left="720"/>
        <w:rPr>
          <w:rFonts w:eastAsia="Calibri"/>
          <w:szCs w:val="22"/>
        </w:rPr>
      </w:pPr>
      <w:r w:rsidRPr="00316837">
        <w:rPr>
          <w:rFonts w:eastAsia="Calibri"/>
          <w:szCs w:val="22"/>
        </w:rPr>
        <w:t xml:space="preserve">develop an interactive map of Africa depicting the results of the continent’s Technical and Operational Readiness. </w:t>
      </w:r>
    </w:p>
    <w:p w14:paraId="1AA336DC" w14:textId="29E0FF2E" w:rsidR="009C684F" w:rsidRPr="00316837" w:rsidRDefault="00A12120" w:rsidP="009C684F">
      <w:pPr>
        <w:pStyle w:val="Heading2"/>
      </w:pPr>
      <w:bookmarkStart w:id="45" w:name="_Toc77260291"/>
      <w:bookmarkEnd w:id="43"/>
      <w:r w:rsidRPr="00316837">
        <w:lastRenderedPageBreak/>
        <w:t xml:space="preserve">Rationale for Developing Guidelines and Action Plan for </w:t>
      </w:r>
      <w:r w:rsidR="00744D32" w:rsidRPr="00316837">
        <w:t>Technical and Operational Readiness</w:t>
      </w:r>
      <w:bookmarkEnd w:id="45"/>
      <w:r w:rsidRPr="00316837">
        <w:t xml:space="preserve"> </w:t>
      </w:r>
    </w:p>
    <w:p w14:paraId="1558BA53" w14:textId="6B250B7F" w:rsidR="000E1043" w:rsidRPr="00316837" w:rsidRDefault="000E1043" w:rsidP="000E1043">
      <w:pPr>
        <w:rPr>
          <w:rFonts w:eastAsia="Calibri"/>
          <w:szCs w:val="22"/>
        </w:rPr>
      </w:pPr>
      <w:r w:rsidRPr="00316837">
        <w:rPr>
          <w:rFonts w:eastAsia="Calibri"/>
          <w:szCs w:val="22"/>
        </w:rPr>
        <w:t>The development of the Technical and Operational Readiness (</w:t>
      </w:r>
      <w:r w:rsidR="000D339D" w:rsidRPr="00316837">
        <w:rPr>
          <w:rFonts w:eastAsia="Calibri"/>
          <w:szCs w:val="22"/>
        </w:rPr>
        <w:t xml:space="preserve">Guidelines and </w:t>
      </w:r>
      <w:r w:rsidRPr="00316837">
        <w:rPr>
          <w:rFonts w:eastAsia="Calibri"/>
          <w:szCs w:val="22"/>
        </w:rPr>
        <w:t xml:space="preserve">Action Plan) will assist the </w:t>
      </w:r>
      <w:r w:rsidR="000D339D" w:rsidRPr="00316837">
        <w:rPr>
          <w:rFonts w:eastAsia="Calibri"/>
          <w:szCs w:val="22"/>
        </w:rPr>
        <w:t>R</w:t>
      </w:r>
      <w:r w:rsidRPr="00316837">
        <w:rPr>
          <w:rFonts w:eastAsia="Calibri"/>
          <w:szCs w:val="22"/>
        </w:rPr>
        <w:t>SMOs</w:t>
      </w:r>
      <w:r w:rsidR="000D339D" w:rsidRPr="00316837">
        <w:rPr>
          <w:rFonts w:eastAsia="Calibri"/>
          <w:szCs w:val="22"/>
        </w:rPr>
        <w:t xml:space="preserve"> and</w:t>
      </w:r>
      <w:r w:rsidRPr="00316837">
        <w:rPr>
          <w:rFonts w:eastAsia="Calibri"/>
          <w:szCs w:val="22"/>
        </w:rPr>
        <w:t xml:space="preserve"> the </w:t>
      </w:r>
      <w:r w:rsidR="000D339D" w:rsidRPr="00316837">
        <w:rPr>
          <w:rFonts w:eastAsia="Calibri"/>
          <w:szCs w:val="22"/>
        </w:rPr>
        <w:t>electricity</w:t>
      </w:r>
      <w:r w:rsidRPr="00316837">
        <w:rPr>
          <w:rFonts w:eastAsia="Calibri"/>
          <w:szCs w:val="22"/>
        </w:rPr>
        <w:t xml:space="preserve"> utilities/TSOs </w:t>
      </w:r>
      <w:r w:rsidR="000D339D" w:rsidRPr="00316837">
        <w:rPr>
          <w:rFonts w:eastAsia="Calibri"/>
          <w:szCs w:val="22"/>
        </w:rPr>
        <w:t xml:space="preserve">as members </w:t>
      </w:r>
      <w:r w:rsidRPr="00316837">
        <w:rPr>
          <w:rFonts w:eastAsia="Calibri"/>
          <w:szCs w:val="22"/>
        </w:rPr>
        <w:t xml:space="preserve">of </w:t>
      </w:r>
      <w:r w:rsidR="000D339D" w:rsidRPr="00316837">
        <w:rPr>
          <w:rFonts w:eastAsia="Calibri"/>
          <w:szCs w:val="22"/>
        </w:rPr>
        <w:t>P</w:t>
      </w:r>
      <w:r w:rsidRPr="00316837">
        <w:rPr>
          <w:rFonts w:eastAsia="Calibri"/>
          <w:szCs w:val="22"/>
        </w:rPr>
        <w:t xml:space="preserve">ower </w:t>
      </w:r>
      <w:r w:rsidR="000D339D" w:rsidRPr="00316837">
        <w:rPr>
          <w:rFonts w:eastAsia="Calibri"/>
          <w:szCs w:val="22"/>
        </w:rPr>
        <w:t>P</w:t>
      </w:r>
      <w:r w:rsidRPr="00316837">
        <w:rPr>
          <w:rFonts w:eastAsia="Calibri"/>
          <w:szCs w:val="22"/>
        </w:rPr>
        <w:t>ools, as well as the regional and national regulator</w:t>
      </w:r>
      <w:r w:rsidR="000D339D" w:rsidRPr="00316837">
        <w:rPr>
          <w:rFonts w:eastAsia="Calibri"/>
          <w:szCs w:val="22"/>
        </w:rPr>
        <w:t xml:space="preserve">y authorities </w:t>
      </w:r>
      <w:r w:rsidRPr="00316837">
        <w:rPr>
          <w:rFonts w:eastAsia="Calibri"/>
          <w:szCs w:val="22"/>
        </w:rPr>
        <w:t xml:space="preserve">to identify and address the technical and operational challenges that could affect cross-border trading. The Guidelines </w:t>
      </w:r>
      <w:r w:rsidR="000D339D" w:rsidRPr="00316837">
        <w:rPr>
          <w:rFonts w:eastAsia="Calibri"/>
          <w:szCs w:val="22"/>
        </w:rPr>
        <w:t xml:space="preserve">and Action Plan </w:t>
      </w:r>
      <w:r w:rsidRPr="00316837">
        <w:rPr>
          <w:rFonts w:eastAsia="Calibri"/>
          <w:szCs w:val="22"/>
        </w:rPr>
        <w:t xml:space="preserve">will enable the </w:t>
      </w:r>
      <w:r w:rsidR="000D339D" w:rsidRPr="00316837">
        <w:rPr>
          <w:rFonts w:eastAsia="Calibri"/>
          <w:szCs w:val="22"/>
        </w:rPr>
        <w:t>R</w:t>
      </w:r>
      <w:r w:rsidRPr="00316837">
        <w:rPr>
          <w:rFonts w:eastAsia="Calibri"/>
          <w:szCs w:val="22"/>
        </w:rPr>
        <w:t>SMOs and regulators to establish consistent ways for interpreting and implementing the technical regulations and standards for cross-border transactions.</w:t>
      </w:r>
      <w:r w:rsidR="000D339D" w:rsidRPr="00316837">
        <w:rPr>
          <w:rFonts w:eastAsia="Calibri"/>
          <w:szCs w:val="22"/>
        </w:rPr>
        <w:t xml:space="preserve"> </w:t>
      </w:r>
    </w:p>
    <w:p w14:paraId="07F0CDE9" w14:textId="4569E1E6" w:rsidR="000E1043" w:rsidRPr="00316837" w:rsidRDefault="000E1043" w:rsidP="000E1043">
      <w:pPr>
        <w:rPr>
          <w:rFonts w:eastAsia="Calibri"/>
          <w:szCs w:val="22"/>
        </w:rPr>
      </w:pPr>
      <w:r w:rsidRPr="00316837">
        <w:rPr>
          <w:rFonts w:eastAsia="Calibri"/>
          <w:szCs w:val="22"/>
        </w:rPr>
        <w:t xml:space="preserve">The Guidelines will assist the interconnected power systems to identify all the relevant technical and operational issues and address them, to pave the way for cross-border </w:t>
      </w:r>
      <w:r w:rsidR="000D339D" w:rsidRPr="00316837">
        <w:rPr>
          <w:rFonts w:eastAsia="Calibri"/>
          <w:szCs w:val="22"/>
        </w:rPr>
        <w:t>electricity</w:t>
      </w:r>
      <w:r w:rsidRPr="00316837">
        <w:rPr>
          <w:rFonts w:eastAsia="Calibri"/>
          <w:szCs w:val="22"/>
        </w:rPr>
        <w:t xml:space="preserve"> trading, as well as </w:t>
      </w:r>
      <w:r w:rsidR="000D339D" w:rsidRPr="00316837">
        <w:rPr>
          <w:rFonts w:eastAsia="Calibri"/>
          <w:szCs w:val="22"/>
        </w:rPr>
        <w:t xml:space="preserve">to </w:t>
      </w:r>
      <w:r w:rsidRPr="00316837">
        <w:rPr>
          <w:rFonts w:eastAsia="Calibri"/>
          <w:szCs w:val="22"/>
        </w:rPr>
        <w:t>incentivise investment in cross-border projects to facilitate international transactions. It will ensure that all the technical issues which affect cross</w:t>
      </w:r>
      <w:r w:rsidR="000D339D" w:rsidRPr="00316837">
        <w:rPr>
          <w:rFonts w:eastAsia="Calibri"/>
          <w:szCs w:val="22"/>
        </w:rPr>
        <w:t>-</w:t>
      </w:r>
      <w:r w:rsidRPr="00316837">
        <w:rPr>
          <w:rFonts w:eastAsia="Calibri"/>
          <w:szCs w:val="22"/>
        </w:rPr>
        <w:t xml:space="preserve">border trading have been properly analysed and the impacts of the interconnection have been thoroughly evaluated on both national and regional security of </w:t>
      </w:r>
      <w:r w:rsidR="000D339D" w:rsidRPr="00316837">
        <w:rPr>
          <w:rFonts w:eastAsia="Calibri"/>
          <w:szCs w:val="22"/>
        </w:rPr>
        <w:t xml:space="preserve">electricity </w:t>
      </w:r>
      <w:r w:rsidRPr="00316837">
        <w:rPr>
          <w:rFonts w:eastAsia="Calibri"/>
          <w:szCs w:val="22"/>
        </w:rPr>
        <w:t xml:space="preserve">supply. Additionally, it will ensure that unacceptable technical risks associated with cross-border projects are identified and addressed for the interconnected power system. Regarding policy-making and strategy, </w:t>
      </w:r>
      <w:r w:rsidR="000D339D" w:rsidRPr="00316837">
        <w:rPr>
          <w:rFonts w:eastAsia="Calibri"/>
          <w:szCs w:val="22"/>
        </w:rPr>
        <w:t>it</w:t>
      </w:r>
      <w:r w:rsidRPr="00316837">
        <w:rPr>
          <w:rFonts w:eastAsia="Calibri"/>
          <w:szCs w:val="22"/>
        </w:rPr>
        <w:t xml:space="preserve"> will highlight the policy aspects for the realisation of AfSEM. It will strengthen the awareness of policymakers on key technical issues which need to be in place for cross-border trading to take place for the realisation of AfSEM.</w:t>
      </w:r>
      <w:r w:rsidR="000D339D" w:rsidRPr="00316837">
        <w:rPr>
          <w:rFonts w:eastAsia="Calibri"/>
          <w:szCs w:val="22"/>
        </w:rPr>
        <w:t xml:space="preserve"> </w:t>
      </w:r>
    </w:p>
    <w:p w14:paraId="3C180942" w14:textId="7EE41E4E" w:rsidR="000E1043" w:rsidRPr="00316837" w:rsidRDefault="000E1043" w:rsidP="000E1043">
      <w:pPr>
        <w:rPr>
          <w:rFonts w:eastAsia="Calibri"/>
          <w:szCs w:val="22"/>
        </w:rPr>
      </w:pPr>
      <w:r w:rsidRPr="00316837">
        <w:rPr>
          <w:rFonts w:eastAsia="Calibri"/>
          <w:szCs w:val="22"/>
        </w:rPr>
        <w:t xml:space="preserve">The Action Plan will identify the main policy actions and activities which need to be implemented within </w:t>
      </w:r>
      <w:r w:rsidRPr="00316837">
        <w:rPr>
          <w:rFonts w:eastAsia="Calibri"/>
          <w:i/>
          <w:szCs w:val="22"/>
        </w:rPr>
        <w:t>the short- (2021-2025), medium- (2026-2030) and long- (2031-2040) terms</w:t>
      </w:r>
      <w:r w:rsidRPr="00316837">
        <w:rPr>
          <w:rFonts w:eastAsia="Calibri"/>
          <w:szCs w:val="22"/>
        </w:rPr>
        <w:t xml:space="preserve"> that will allow for all the necessary preconditions for </w:t>
      </w:r>
      <w:r w:rsidR="000D339D" w:rsidRPr="00316837">
        <w:rPr>
          <w:rFonts w:eastAsia="Calibri"/>
          <w:szCs w:val="22"/>
        </w:rPr>
        <w:t xml:space="preserve">the </w:t>
      </w:r>
      <w:r w:rsidRPr="00316837">
        <w:rPr>
          <w:rFonts w:eastAsia="Calibri"/>
          <w:szCs w:val="22"/>
        </w:rPr>
        <w:t xml:space="preserve">Technical and Operational Readiness to be met, for effective implementation of AfSEM. </w:t>
      </w:r>
    </w:p>
    <w:p w14:paraId="23509910" w14:textId="4B372E29" w:rsidR="005160A2" w:rsidRPr="00316837" w:rsidRDefault="00A21496" w:rsidP="005160A2">
      <w:pPr>
        <w:pStyle w:val="Heading2"/>
      </w:pPr>
      <w:bookmarkStart w:id="46" w:name="_Toc77260292"/>
      <w:r w:rsidRPr="00316837">
        <w:t>S</w:t>
      </w:r>
      <w:r w:rsidR="00A12120" w:rsidRPr="00316837">
        <w:t>cope of Guidelines and Action Plan</w:t>
      </w:r>
      <w:r w:rsidRPr="00316837">
        <w:t xml:space="preserve"> </w:t>
      </w:r>
      <w:r w:rsidR="00744D32" w:rsidRPr="00316837">
        <w:t>for Technical and Operational Readiness</w:t>
      </w:r>
      <w:bookmarkEnd w:id="46"/>
    </w:p>
    <w:p w14:paraId="1AD55948" w14:textId="78448E39" w:rsidR="000D339D" w:rsidRPr="00654753" w:rsidRDefault="000D339D" w:rsidP="000D339D">
      <w:pPr>
        <w:rPr>
          <w:rFonts w:eastAsia="Calibri"/>
          <w:szCs w:val="22"/>
        </w:rPr>
      </w:pPr>
      <w:r w:rsidRPr="00316837">
        <w:rPr>
          <w:rFonts w:eastAsia="Calibri"/>
          <w:szCs w:val="22"/>
        </w:rPr>
        <w:t xml:space="preserve">The Guidelines have been developed to assist Power Pools and regional regulatory authorities in respect of the technical and operational decisions for proposed cross-border transactions, and are therefore expected to apply to varying situations (see </w:t>
      </w:r>
      <w:r w:rsidRPr="00654753">
        <w:rPr>
          <w:rFonts w:eastAsia="Calibri"/>
          <w:szCs w:val="22"/>
        </w:rPr>
        <w:fldChar w:fldCharType="begin"/>
      </w:r>
      <w:r w:rsidRPr="00316837">
        <w:rPr>
          <w:rFonts w:eastAsia="Calibri"/>
          <w:szCs w:val="22"/>
        </w:rPr>
        <w:instrText xml:space="preserve"> REF _Ref75877380 \h </w:instrText>
      </w:r>
      <w:r w:rsidRPr="00654753">
        <w:rPr>
          <w:rFonts w:eastAsia="Calibri"/>
          <w:szCs w:val="22"/>
        </w:rPr>
      </w:r>
      <w:r w:rsidRPr="00654753">
        <w:rPr>
          <w:rFonts w:eastAsia="Calibri"/>
          <w:szCs w:val="22"/>
        </w:rPr>
        <w:fldChar w:fldCharType="separate"/>
      </w:r>
      <w:r w:rsidRPr="00654753">
        <w:rPr>
          <w:rFonts w:eastAsia="Calibri" w:cs="Arial"/>
          <w:bCs/>
          <w:sz w:val="18"/>
          <w:szCs w:val="18"/>
        </w:rPr>
        <w:t>Table 1</w:t>
      </w:r>
      <w:r w:rsidRPr="00654753">
        <w:rPr>
          <w:rFonts w:eastAsia="Calibri" w:cs="Arial"/>
          <w:bCs/>
          <w:sz w:val="18"/>
          <w:szCs w:val="18"/>
        </w:rPr>
        <w:noBreakHyphen/>
        <w:t>2</w:t>
      </w:r>
      <w:r w:rsidRPr="00654753">
        <w:rPr>
          <w:rFonts w:eastAsia="Calibri"/>
          <w:szCs w:val="22"/>
        </w:rPr>
        <w:fldChar w:fldCharType="end"/>
      </w:r>
      <w:r w:rsidRPr="00C632F6">
        <w:rPr>
          <w:rFonts w:eastAsia="Calibri"/>
          <w:szCs w:val="22"/>
        </w:rPr>
        <w:t xml:space="preserve">). </w:t>
      </w:r>
    </w:p>
    <w:p w14:paraId="458913EE" w14:textId="5AA01AD5" w:rsidR="000D339D" w:rsidRPr="00654753" w:rsidRDefault="000D339D" w:rsidP="000D339D">
      <w:pPr>
        <w:spacing w:before="120"/>
        <w:rPr>
          <w:rFonts w:eastAsia="Calibri" w:cs="Arial"/>
          <w:bCs/>
          <w:sz w:val="18"/>
          <w:szCs w:val="18"/>
        </w:rPr>
      </w:pPr>
      <w:bookmarkStart w:id="47" w:name="_Ref75877380"/>
      <w:bookmarkStart w:id="48" w:name="_Toc77260236"/>
      <w:r w:rsidRPr="00681DAA">
        <w:rPr>
          <w:rFonts w:eastAsia="Calibri" w:cs="Arial"/>
          <w:bCs/>
          <w:sz w:val="18"/>
          <w:szCs w:val="18"/>
        </w:rPr>
        <w:t xml:space="preserve">Table </w:t>
      </w:r>
      <w:r w:rsidRPr="00654753">
        <w:rPr>
          <w:rFonts w:eastAsia="Calibri" w:cs="Arial"/>
          <w:bCs/>
          <w:sz w:val="18"/>
          <w:szCs w:val="18"/>
        </w:rPr>
        <w:fldChar w:fldCharType="begin"/>
      </w:r>
      <w:r w:rsidRPr="00316837">
        <w:rPr>
          <w:rFonts w:eastAsia="Calibri" w:cs="Arial"/>
          <w:bCs/>
          <w:sz w:val="18"/>
          <w:szCs w:val="18"/>
        </w:rPr>
        <w:instrText xml:space="preserve"> STYLEREF 1 \s </w:instrText>
      </w:r>
      <w:r w:rsidRPr="00654753">
        <w:rPr>
          <w:rFonts w:eastAsia="Calibri" w:cs="Arial"/>
          <w:bCs/>
          <w:sz w:val="18"/>
          <w:szCs w:val="18"/>
        </w:rPr>
        <w:fldChar w:fldCharType="separate"/>
      </w:r>
      <w:r w:rsidRPr="00654753">
        <w:rPr>
          <w:rFonts w:eastAsia="Calibri" w:cs="Arial"/>
          <w:bCs/>
          <w:sz w:val="18"/>
          <w:szCs w:val="18"/>
        </w:rPr>
        <w:t>1</w:t>
      </w:r>
      <w:r w:rsidRPr="00654753">
        <w:rPr>
          <w:rFonts w:eastAsia="Calibri" w:cs="Arial"/>
          <w:bCs/>
          <w:sz w:val="18"/>
          <w:szCs w:val="18"/>
        </w:rPr>
        <w:fldChar w:fldCharType="end"/>
      </w:r>
      <w:r w:rsidRPr="00C632F6">
        <w:rPr>
          <w:rFonts w:eastAsia="Calibri" w:cs="Arial"/>
          <w:bCs/>
          <w:sz w:val="18"/>
          <w:szCs w:val="18"/>
        </w:rPr>
        <w:noBreakHyphen/>
      </w:r>
      <w:r w:rsidRPr="00654753">
        <w:rPr>
          <w:rFonts w:eastAsia="Calibri" w:cs="Arial"/>
          <w:bCs/>
          <w:sz w:val="18"/>
          <w:szCs w:val="18"/>
        </w:rPr>
        <w:fldChar w:fldCharType="begin"/>
      </w:r>
      <w:r w:rsidRPr="00316837">
        <w:rPr>
          <w:rFonts w:eastAsia="Calibri" w:cs="Arial"/>
          <w:bCs/>
          <w:sz w:val="18"/>
          <w:szCs w:val="18"/>
        </w:rPr>
        <w:instrText xml:space="preserve"> SEQ Table \* ARABIC \s 1 </w:instrText>
      </w:r>
      <w:r w:rsidRPr="00654753">
        <w:rPr>
          <w:rFonts w:eastAsia="Calibri" w:cs="Arial"/>
          <w:bCs/>
          <w:sz w:val="18"/>
          <w:szCs w:val="18"/>
        </w:rPr>
        <w:fldChar w:fldCharType="separate"/>
      </w:r>
      <w:r w:rsidR="00D459B3" w:rsidRPr="00654753">
        <w:rPr>
          <w:rFonts w:eastAsia="Calibri" w:cs="Arial"/>
          <w:bCs/>
          <w:sz w:val="18"/>
          <w:szCs w:val="18"/>
        </w:rPr>
        <w:t>2</w:t>
      </w:r>
      <w:r w:rsidRPr="00654753">
        <w:rPr>
          <w:rFonts w:eastAsia="Calibri" w:cs="Arial"/>
          <w:bCs/>
          <w:sz w:val="18"/>
          <w:szCs w:val="18"/>
        </w:rPr>
        <w:fldChar w:fldCharType="end"/>
      </w:r>
      <w:bookmarkEnd w:id="47"/>
      <w:r w:rsidRPr="00C632F6">
        <w:rPr>
          <w:rFonts w:eastAsia="Calibri" w:cs="Arial"/>
          <w:bCs/>
          <w:sz w:val="18"/>
          <w:szCs w:val="18"/>
        </w:rPr>
        <w:t>: Situations for applying the Guidelines</w:t>
      </w:r>
      <w:bookmarkEnd w:id="48"/>
      <w:r w:rsidRPr="00C632F6">
        <w:rPr>
          <w:rFonts w:eastAsia="Calibri" w:cs="Arial"/>
          <w:bCs/>
          <w:sz w:val="18"/>
          <w:szCs w:val="18"/>
        </w:rPr>
        <w:t xml:space="preserve"> </w:t>
      </w:r>
    </w:p>
    <w:tbl>
      <w:tblPr>
        <w:tblStyle w:val="TableGrid"/>
        <w:tblW w:w="0" w:type="auto"/>
        <w:tblLook w:val="04A0" w:firstRow="1" w:lastRow="0" w:firstColumn="1" w:lastColumn="0" w:noHBand="0" w:noVBand="1"/>
      </w:tblPr>
      <w:tblGrid>
        <w:gridCol w:w="562"/>
        <w:gridCol w:w="1985"/>
        <w:gridCol w:w="7082"/>
      </w:tblGrid>
      <w:tr w:rsidR="000D339D" w:rsidRPr="00316837" w14:paraId="28A32300" w14:textId="77777777" w:rsidTr="000D339D">
        <w:tc>
          <w:tcPr>
            <w:tcW w:w="562" w:type="dxa"/>
            <w:shd w:val="clear" w:color="auto" w:fill="F2F2F2" w:themeFill="background1" w:themeFillShade="F2"/>
          </w:tcPr>
          <w:p w14:paraId="36CE6DD9" w14:textId="1D642764" w:rsidR="000D339D" w:rsidRPr="006273BD" w:rsidRDefault="000D339D" w:rsidP="000D339D">
            <w:pPr>
              <w:spacing w:before="120" w:after="120"/>
              <w:jc w:val="left"/>
              <w:rPr>
                <w:b/>
                <w:bCs/>
                <w:sz w:val="18"/>
                <w:szCs w:val="18"/>
              </w:rPr>
            </w:pPr>
            <w:r w:rsidRPr="006273BD">
              <w:rPr>
                <w:b/>
                <w:bCs/>
                <w:sz w:val="18"/>
                <w:szCs w:val="18"/>
              </w:rPr>
              <w:t>No.</w:t>
            </w:r>
          </w:p>
        </w:tc>
        <w:tc>
          <w:tcPr>
            <w:tcW w:w="1985" w:type="dxa"/>
            <w:shd w:val="clear" w:color="auto" w:fill="F2F2F2" w:themeFill="background1" w:themeFillShade="F2"/>
          </w:tcPr>
          <w:p w14:paraId="2858F640" w14:textId="0B8C0058" w:rsidR="000D339D" w:rsidRPr="006273BD" w:rsidRDefault="000D339D" w:rsidP="000D339D">
            <w:pPr>
              <w:spacing w:before="120" w:after="120"/>
              <w:jc w:val="left"/>
              <w:rPr>
                <w:b/>
                <w:bCs/>
                <w:sz w:val="18"/>
                <w:szCs w:val="18"/>
              </w:rPr>
            </w:pPr>
            <w:r w:rsidRPr="006273BD">
              <w:rPr>
                <w:b/>
                <w:bCs/>
                <w:sz w:val="18"/>
                <w:szCs w:val="18"/>
              </w:rPr>
              <w:t>Situation</w:t>
            </w:r>
          </w:p>
        </w:tc>
        <w:tc>
          <w:tcPr>
            <w:tcW w:w="7082" w:type="dxa"/>
            <w:shd w:val="clear" w:color="auto" w:fill="F2F2F2" w:themeFill="background1" w:themeFillShade="F2"/>
          </w:tcPr>
          <w:p w14:paraId="77EBB59C" w14:textId="77777777" w:rsidR="000D339D" w:rsidRPr="006273BD" w:rsidRDefault="000D339D" w:rsidP="000D339D">
            <w:pPr>
              <w:spacing w:before="120" w:after="120"/>
              <w:jc w:val="left"/>
              <w:rPr>
                <w:b/>
                <w:bCs/>
                <w:sz w:val="18"/>
                <w:szCs w:val="18"/>
              </w:rPr>
            </w:pPr>
            <w:r w:rsidRPr="006273BD">
              <w:rPr>
                <w:b/>
                <w:bCs/>
                <w:sz w:val="18"/>
                <w:szCs w:val="18"/>
              </w:rPr>
              <w:t>Characteristics</w:t>
            </w:r>
          </w:p>
        </w:tc>
      </w:tr>
      <w:tr w:rsidR="000D339D" w:rsidRPr="00316837" w14:paraId="06295584" w14:textId="77777777" w:rsidTr="000D339D">
        <w:tc>
          <w:tcPr>
            <w:tcW w:w="562" w:type="dxa"/>
          </w:tcPr>
          <w:p w14:paraId="15827E42" w14:textId="77777777" w:rsidR="000D339D" w:rsidRPr="00316837" w:rsidRDefault="000D339D" w:rsidP="000D339D">
            <w:pPr>
              <w:spacing w:before="120" w:after="120"/>
              <w:jc w:val="left"/>
              <w:rPr>
                <w:sz w:val="18"/>
                <w:szCs w:val="18"/>
              </w:rPr>
            </w:pPr>
            <w:r w:rsidRPr="00316837">
              <w:rPr>
                <w:sz w:val="18"/>
                <w:szCs w:val="18"/>
              </w:rPr>
              <w:t>1</w:t>
            </w:r>
          </w:p>
        </w:tc>
        <w:tc>
          <w:tcPr>
            <w:tcW w:w="1985" w:type="dxa"/>
          </w:tcPr>
          <w:p w14:paraId="4A3279DA" w14:textId="31FDB03A" w:rsidR="000D339D" w:rsidRPr="00316837" w:rsidRDefault="000D339D" w:rsidP="000D339D">
            <w:pPr>
              <w:spacing w:before="120" w:after="120"/>
              <w:jc w:val="left"/>
              <w:rPr>
                <w:sz w:val="18"/>
                <w:szCs w:val="18"/>
              </w:rPr>
            </w:pPr>
            <w:r w:rsidRPr="00316837">
              <w:rPr>
                <w:sz w:val="18"/>
                <w:szCs w:val="18"/>
              </w:rPr>
              <w:t xml:space="preserve">Applicable to the long-term cross-border transactions by Power Pools </w:t>
            </w:r>
          </w:p>
        </w:tc>
        <w:tc>
          <w:tcPr>
            <w:tcW w:w="7082" w:type="dxa"/>
          </w:tcPr>
          <w:p w14:paraId="1801714D" w14:textId="77777777" w:rsidR="000D339D" w:rsidRPr="00316837" w:rsidRDefault="000D339D" w:rsidP="000D339D">
            <w:pPr>
              <w:spacing w:before="120" w:after="120"/>
              <w:jc w:val="left"/>
              <w:rPr>
                <w:sz w:val="18"/>
                <w:szCs w:val="18"/>
              </w:rPr>
            </w:pPr>
            <w:r w:rsidRPr="00316837">
              <w:rPr>
                <w:sz w:val="18"/>
                <w:szCs w:val="18"/>
              </w:rPr>
              <w:t xml:space="preserve">The Guidelines will apply to long-term cross-border transactions (of at least 1 year) through the transmission network, where the cross-border network operating voltage meets the threshold defined by Power Pools and the regional regulatory authorities. </w:t>
            </w:r>
          </w:p>
          <w:p w14:paraId="0D796BCD" w14:textId="7205F3A9" w:rsidR="000D339D" w:rsidRPr="00316837" w:rsidRDefault="000D339D" w:rsidP="000D339D">
            <w:pPr>
              <w:spacing w:before="120" w:after="120"/>
              <w:jc w:val="left"/>
              <w:rPr>
                <w:sz w:val="18"/>
                <w:szCs w:val="18"/>
              </w:rPr>
            </w:pPr>
            <w:r w:rsidRPr="00316837">
              <w:rPr>
                <w:sz w:val="18"/>
                <w:szCs w:val="18"/>
              </w:rPr>
              <w:t xml:space="preserve">The long-term nature of the transactions will give comfort to investors who will be assured that they can recoup their investment plus a reasonable return, over the term of the transaction. </w:t>
            </w:r>
          </w:p>
        </w:tc>
      </w:tr>
      <w:tr w:rsidR="000D339D" w:rsidRPr="00316837" w14:paraId="78B113B3" w14:textId="77777777" w:rsidTr="000D339D">
        <w:tc>
          <w:tcPr>
            <w:tcW w:w="562" w:type="dxa"/>
          </w:tcPr>
          <w:p w14:paraId="2740DDF0" w14:textId="3C4DC3BF" w:rsidR="000D339D" w:rsidRPr="00316837" w:rsidRDefault="000D339D" w:rsidP="000D339D">
            <w:pPr>
              <w:spacing w:before="120" w:after="120"/>
              <w:jc w:val="left"/>
              <w:rPr>
                <w:sz w:val="18"/>
                <w:szCs w:val="18"/>
              </w:rPr>
            </w:pPr>
            <w:r w:rsidRPr="00316837">
              <w:rPr>
                <w:sz w:val="18"/>
                <w:szCs w:val="18"/>
              </w:rPr>
              <w:t>2</w:t>
            </w:r>
          </w:p>
        </w:tc>
        <w:tc>
          <w:tcPr>
            <w:tcW w:w="1985" w:type="dxa"/>
          </w:tcPr>
          <w:p w14:paraId="7E8F0D83" w14:textId="012E8187" w:rsidR="000D339D" w:rsidRPr="00316837" w:rsidRDefault="000D339D" w:rsidP="000D339D">
            <w:pPr>
              <w:spacing w:before="120" w:after="120"/>
              <w:jc w:val="left"/>
              <w:rPr>
                <w:sz w:val="18"/>
                <w:szCs w:val="18"/>
              </w:rPr>
            </w:pPr>
            <w:r w:rsidRPr="00316837">
              <w:rPr>
                <w:sz w:val="18"/>
                <w:szCs w:val="18"/>
              </w:rPr>
              <w:t xml:space="preserve">Applicable to the State-owned, private and joint venture utilities </w:t>
            </w:r>
          </w:p>
        </w:tc>
        <w:tc>
          <w:tcPr>
            <w:tcW w:w="7082" w:type="dxa"/>
          </w:tcPr>
          <w:p w14:paraId="77492D84" w14:textId="77777777" w:rsidR="000D339D" w:rsidRPr="00316837" w:rsidRDefault="000D339D" w:rsidP="000D339D">
            <w:pPr>
              <w:spacing w:before="120" w:after="120"/>
              <w:jc w:val="left"/>
              <w:rPr>
                <w:sz w:val="18"/>
                <w:szCs w:val="18"/>
              </w:rPr>
            </w:pPr>
            <w:r w:rsidRPr="00316837">
              <w:rPr>
                <w:sz w:val="18"/>
                <w:szCs w:val="18"/>
              </w:rPr>
              <w:t xml:space="preserve">The Guidelines will apply to the State-owned, privately owned or joint ventures, if these entities have been licensed by the national regulatory authorities in their respective countries, and have also gone through the necessary registration processes with the RSMO at the regional level. </w:t>
            </w:r>
          </w:p>
          <w:p w14:paraId="510645D0" w14:textId="2D3A7C6C" w:rsidR="000D339D" w:rsidRPr="00316837" w:rsidRDefault="000D339D" w:rsidP="000D339D">
            <w:pPr>
              <w:spacing w:before="120" w:after="120"/>
              <w:jc w:val="left"/>
              <w:rPr>
                <w:sz w:val="18"/>
                <w:szCs w:val="18"/>
              </w:rPr>
            </w:pPr>
            <w:r w:rsidRPr="00316837">
              <w:rPr>
                <w:sz w:val="18"/>
                <w:szCs w:val="18"/>
              </w:rPr>
              <w:t xml:space="preserve">The Guidelines have been designed to allow IPPs and large customers to trade electricity directly across borders by making provision for such situations. </w:t>
            </w:r>
          </w:p>
        </w:tc>
      </w:tr>
      <w:tr w:rsidR="000D339D" w:rsidRPr="00316837" w14:paraId="2E96961B" w14:textId="77777777" w:rsidTr="000D339D">
        <w:tc>
          <w:tcPr>
            <w:tcW w:w="562" w:type="dxa"/>
          </w:tcPr>
          <w:p w14:paraId="720AB69C" w14:textId="62094D04" w:rsidR="000D339D" w:rsidRPr="00316837" w:rsidRDefault="000D339D" w:rsidP="000D339D">
            <w:pPr>
              <w:spacing w:before="120" w:after="120"/>
              <w:jc w:val="left"/>
              <w:rPr>
                <w:sz w:val="18"/>
                <w:szCs w:val="18"/>
              </w:rPr>
            </w:pPr>
            <w:r w:rsidRPr="00316837">
              <w:rPr>
                <w:sz w:val="18"/>
                <w:szCs w:val="18"/>
              </w:rPr>
              <w:t>3</w:t>
            </w:r>
          </w:p>
        </w:tc>
        <w:tc>
          <w:tcPr>
            <w:tcW w:w="1985" w:type="dxa"/>
          </w:tcPr>
          <w:p w14:paraId="200C85FF" w14:textId="14E67CE2" w:rsidR="000D339D" w:rsidRPr="00316837" w:rsidRDefault="000D339D" w:rsidP="000D339D">
            <w:pPr>
              <w:spacing w:before="120" w:after="120"/>
              <w:jc w:val="left"/>
              <w:rPr>
                <w:sz w:val="18"/>
                <w:szCs w:val="18"/>
              </w:rPr>
            </w:pPr>
            <w:r w:rsidRPr="00316837">
              <w:rPr>
                <w:sz w:val="18"/>
                <w:szCs w:val="18"/>
              </w:rPr>
              <w:t xml:space="preserve">Adapted for the long-term trading in the national electricity markets </w:t>
            </w:r>
          </w:p>
        </w:tc>
        <w:tc>
          <w:tcPr>
            <w:tcW w:w="7082" w:type="dxa"/>
          </w:tcPr>
          <w:p w14:paraId="04FC0A82" w14:textId="77777777" w:rsidR="000D339D" w:rsidRPr="00316837" w:rsidRDefault="000D339D" w:rsidP="000D339D">
            <w:pPr>
              <w:spacing w:before="120" w:after="120"/>
              <w:jc w:val="left"/>
              <w:rPr>
                <w:sz w:val="18"/>
                <w:szCs w:val="18"/>
              </w:rPr>
            </w:pPr>
            <w:r w:rsidRPr="00316837">
              <w:rPr>
                <w:sz w:val="18"/>
                <w:szCs w:val="18"/>
              </w:rPr>
              <w:t xml:space="preserve">Though the focus of the Guidelines is on the long-term cross-border transactions, it is expected that some aspects of the Guidelines could be relevant for the long-term national transactions. </w:t>
            </w:r>
          </w:p>
          <w:p w14:paraId="1B7D3CEA" w14:textId="45CA5FF6" w:rsidR="000D339D" w:rsidRPr="00316837" w:rsidRDefault="000D339D" w:rsidP="000D339D">
            <w:pPr>
              <w:spacing w:before="120" w:after="120"/>
              <w:jc w:val="left"/>
              <w:rPr>
                <w:sz w:val="18"/>
                <w:szCs w:val="18"/>
              </w:rPr>
            </w:pPr>
            <w:r w:rsidRPr="00316837">
              <w:rPr>
                <w:sz w:val="18"/>
                <w:szCs w:val="18"/>
              </w:rPr>
              <w:t xml:space="preserve">In that regard, the national regulatory authorities and TSOs are encouraged to adapt relevant sections of the Guidelines to their national long-term transactions involving the State-owned or incumbent electricity utility and IPPs. </w:t>
            </w:r>
          </w:p>
        </w:tc>
      </w:tr>
      <w:bookmarkEnd w:id="41"/>
    </w:tbl>
    <w:p w14:paraId="06088EAA" w14:textId="682EB1A1" w:rsidR="00D37CDB" w:rsidRPr="00316837" w:rsidRDefault="00D37CDB" w:rsidP="009751BC">
      <w:pPr>
        <w:rPr>
          <w:rFonts w:eastAsia="Calibri"/>
        </w:rPr>
      </w:pPr>
    </w:p>
    <w:p w14:paraId="2D98AA0A" w14:textId="00779129" w:rsidR="001B1A98" w:rsidRPr="00316837" w:rsidRDefault="001B1A98" w:rsidP="0074334B">
      <w:pPr>
        <w:rPr>
          <w:rFonts w:eastAsia="Calibri"/>
        </w:rPr>
        <w:sectPr w:rsidR="001B1A98" w:rsidRPr="00316837" w:rsidSect="00A3058D">
          <w:pgSz w:w="11907" w:h="16839" w:code="9"/>
          <w:pgMar w:top="510" w:right="1134" w:bottom="964" w:left="1134" w:header="720" w:footer="567" w:gutter="0"/>
          <w:pgNumType w:start="1"/>
          <w:cols w:space="720"/>
          <w:formProt w:val="0"/>
          <w:docGrid w:linePitch="286"/>
        </w:sectPr>
      </w:pPr>
    </w:p>
    <w:p w14:paraId="19B0F440" w14:textId="5515C08C" w:rsidR="001D7CAC" w:rsidRPr="00316837" w:rsidRDefault="00A21496" w:rsidP="0074334B">
      <w:pPr>
        <w:pStyle w:val="Heading1"/>
      </w:pPr>
      <w:bookmarkStart w:id="49" w:name="_Toc77260293"/>
      <w:r w:rsidRPr="00C632F6">
        <w:rPr>
          <w:caps w:val="0"/>
        </w:rPr>
        <w:lastRenderedPageBreak/>
        <w:t>METHODOLOGY</w:t>
      </w:r>
      <w:bookmarkEnd w:id="49"/>
      <w:r w:rsidRPr="00C632F6">
        <w:rPr>
          <w:caps w:val="0"/>
        </w:rPr>
        <w:t xml:space="preserve"> </w:t>
      </w:r>
    </w:p>
    <w:p w14:paraId="39860150" w14:textId="311B2064" w:rsidR="00A21496" w:rsidRPr="00316837" w:rsidRDefault="00A12120" w:rsidP="00A21496">
      <w:pPr>
        <w:pStyle w:val="Heading2"/>
      </w:pPr>
      <w:bookmarkStart w:id="50" w:name="_Toc77260294"/>
      <w:bookmarkEnd w:id="18"/>
      <w:r w:rsidRPr="00316837">
        <w:t>Expected Outcomes</w:t>
      </w:r>
      <w:bookmarkEnd w:id="50"/>
    </w:p>
    <w:p w14:paraId="53672628" w14:textId="77777777" w:rsidR="00D459B3" w:rsidRPr="00316837" w:rsidRDefault="00D459B3" w:rsidP="00D459B3">
      <w:r w:rsidRPr="00316837">
        <w:t xml:space="preserve">The Technical and Operational Readiness (Guidelines and Action Plan) task involves carrying out a review and assessment of the framework for system planning and technical operation of an integrated electricity market. It also includes carrying out analysis regarding the technical and operational readiness for AfSEM. </w:t>
      </w:r>
    </w:p>
    <w:p w14:paraId="504D226D" w14:textId="6FD004CA" w:rsidR="00D459B3" w:rsidRPr="00654753" w:rsidRDefault="00D459B3" w:rsidP="00D459B3">
      <w:pPr>
        <w:rPr>
          <w:szCs w:val="20"/>
        </w:rPr>
      </w:pPr>
      <w:r w:rsidRPr="00316837">
        <w:rPr>
          <w:szCs w:val="20"/>
        </w:rPr>
        <w:t xml:space="preserve">The Guidelines cover a number of key elements (see </w:t>
      </w:r>
      <w:r w:rsidRPr="00654753">
        <w:rPr>
          <w:szCs w:val="20"/>
        </w:rPr>
        <w:fldChar w:fldCharType="begin"/>
      </w:r>
      <w:r w:rsidRPr="00316837">
        <w:rPr>
          <w:szCs w:val="20"/>
        </w:rPr>
        <w:instrText xml:space="preserve"> REF _Ref75879166 \h  \* MERGEFORMAT </w:instrText>
      </w:r>
      <w:r w:rsidRPr="00654753">
        <w:rPr>
          <w:szCs w:val="20"/>
        </w:rPr>
      </w:r>
      <w:r w:rsidRPr="00654753">
        <w:rPr>
          <w:szCs w:val="20"/>
        </w:rPr>
        <w:fldChar w:fldCharType="separate"/>
      </w:r>
      <w:r w:rsidRPr="00654753">
        <w:rPr>
          <w:rFonts w:eastAsia="Calibri" w:cs="Arial"/>
          <w:bCs/>
          <w:szCs w:val="20"/>
        </w:rPr>
        <w:t>Table 2</w:t>
      </w:r>
      <w:r w:rsidRPr="00654753">
        <w:rPr>
          <w:rFonts w:eastAsia="Calibri" w:cs="Arial"/>
          <w:bCs/>
          <w:szCs w:val="20"/>
        </w:rPr>
        <w:noBreakHyphen/>
        <w:t>1</w:t>
      </w:r>
      <w:r w:rsidRPr="00654753">
        <w:rPr>
          <w:szCs w:val="20"/>
        </w:rPr>
        <w:fldChar w:fldCharType="end"/>
      </w:r>
      <w:r w:rsidRPr="00C632F6">
        <w:rPr>
          <w:szCs w:val="20"/>
        </w:rPr>
        <w:t xml:space="preserve">). </w:t>
      </w:r>
    </w:p>
    <w:p w14:paraId="1367295C" w14:textId="21416B9C" w:rsidR="00D459B3" w:rsidRPr="00654753" w:rsidRDefault="00D459B3" w:rsidP="00D459B3">
      <w:pPr>
        <w:spacing w:before="120"/>
        <w:rPr>
          <w:rFonts w:eastAsia="Calibri" w:cs="Arial"/>
          <w:bCs/>
          <w:sz w:val="18"/>
          <w:szCs w:val="18"/>
        </w:rPr>
      </w:pPr>
      <w:bookmarkStart w:id="51" w:name="_Ref75879166"/>
      <w:bookmarkStart w:id="52" w:name="_Toc77260237"/>
      <w:r w:rsidRPr="00681DAA">
        <w:rPr>
          <w:rFonts w:eastAsia="Calibri" w:cs="Arial"/>
          <w:bCs/>
          <w:sz w:val="18"/>
          <w:szCs w:val="18"/>
        </w:rPr>
        <w:t xml:space="preserve">Table </w:t>
      </w:r>
      <w:r w:rsidRPr="00654753">
        <w:rPr>
          <w:rFonts w:eastAsia="Calibri" w:cs="Arial"/>
          <w:bCs/>
          <w:sz w:val="18"/>
          <w:szCs w:val="18"/>
        </w:rPr>
        <w:fldChar w:fldCharType="begin"/>
      </w:r>
      <w:r w:rsidRPr="00316837">
        <w:rPr>
          <w:rFonts w:eastAsia="Calibri" w:cs="Arial"/>
          <w:bCs/>
          <w:sz w:val="18"/>
          <w:szCs w:val="18"/>
        </w:rPr>
        <w:instrText xml:space="preserve"> STYLEREF 1 \s </w:instrText>
      </w:r>
      <w:r w:rsidRPr="00654753">
        <w:rPr>
          <w:rFonts w:eastAsia="Calibri" w:cs="Arial"/>
          <w:bCs/>
          <w:sz w:val="18"/>
          <w:szCs w:val="18"/>
        </w:rPr>
        <w:fldChar w:fldCharType="separate"/>
      </w:r>
      <w:r w:rsidRPr="00654753">
        <w:rPr>
          <w:rFonts w:eastAsia="Calibri" w:cs="Arial"/>
          <w:bCs/>
          <w:sz w:val="18"/>
          <w:szCs w:val="18"/>
        </w:rPr>
        <w:t>2</w:t>
      </w:r>
      <w:r w:rsidRPr="00654753">
        <w:rPr>
          <w:rFonts w:eastAsia="Calibri" w:cs="Arial"/>
          <w:bCs/>
          <w:sz w:val="18"/>
          <w:szCs w:val="18"/>
        </w:rPr>
        <w:fldChar w:fldCharType="end"/>
      </w:r>
      <w:r w:rsidRPr="00C632F6">
        <w:rPr>
          <w:rFonts w:eastAsia="Calibri" w:cs="Arial"/>
          <w:bCs/>
          <w:sz w:val="18"/>
          <w:szCs w:val="18"/>
        </w:rPr>
        <w:noBreakHyphen/>
      </w:r>
      <w:r w:rsidRPr="00654753">
        <w:rPr>
          <w:rFonts w:eastAsia="Calibri" w:cs="Arial"/>
          <w:bCs/>
          <w:sz w:val="18"/>
          <w:szCs w:val="18"/>
        </w:rPr>
        <w:fldChar w:fldCharType="begin"/>
      </w:r>
      <w:r w:rsidRPr="00316837">
        <w:rPr>
          <w:rFonts w:eastAsia="Calibri" w:cs="Arial"/>
          <w:bCs/>
          <w:sz w:val="18"/>
          <w:szCs w:val="18"/>
        </w:rPr>
        <w:instrText xml:space="preserve"> SEQ Table \* ARABIC \s 1 </w:instrText>
      </w:r>
      <w:r w:rsidRPr="00654753">
        <w:rPr>
          <w:rFonts w:eastAsia="Calibri" w:cs="Arial"/>
          <w:bCs/>
          <w:sz w:val="18"/>
          <w:szCs w:val="18"/>
        </w:rPr>
        <w:fldChar w:fldCharType="separate"/>
      </w:r>
      <w:r w:rsidRPr="00654753">
        <w:rPr>
          <w:rFonts w:eastAsia="Calibri" w:cs="Arial"/>
          <w:bCs/>
          <w:sz w:val="18"/>
          <w:szCs w:val="18"/>
        </w:rPr>
        <w:t>1</w:t>
      </w:r>
      <w:r w:rsidRPr="00654753">
        <w:rPr>
          <w:rFonts w:eastAsia="Calibri" w:cs="Arial"/>
          <w:bCs/>
          <w:sz w:val="18"/>
          <w:szCs w:val="18"/>
        </w:rPr>
        <w:fldChar w:fldCharType="end"/>
      </w:r>
      <w:bookmarkEnd w:id="51"/>
      <w:r w:rsidRPr="00C632F6">
        <w:rPr>
          <w:rFonts w:eastAsia="Calibri" w:cs="Arial"/>
          <w:bCs/>
          <w:sz w:val="18"/>
          <w:szCs w:val="18"/>
        </w:rPr>
        <w:t>: Key elements of the Guidelines</w:t>
      </w:r>
      <w:bookmarkEnd w:id="52"/>
      <w:r w:rsidRPr="00C632F6">
        <w:rPr>
          <w:rFonts w:eastAsia="Calibri" w:cs="Arial"/>
          <w:bCs/>
          <w:sz w:val="18"/>
          <w:szCs w:val="18"/>
        </w:rPr>
        <w:t xml:space="preserve"> </w:t>
      </w:r>
    </w:p>
    <w:tbl>
      <w:tblPr>
        <w:tblStyle w:val="TableGrid"/>
        <w:tblW w:w="0" w:type="auto"/>
        <w:tblLook w:val="04A0" w:firstRow="1" w:lastRow="0" w:firstColumn="1" w:lastColumn="0" w:noHBand="0" w:noVBand="1"/>
      </w:tblPr>
      <w:tblGrid>
        <w:gridCol w:w="562"/>
        <w:gridCol w:w="2268"/>
        <w:gridCol w:w="6799"/>
      </w:tblGrid>
      <w:tr w:rsidR="00D459B3" w:rsidRPr="00316837" w14:paraId="07ECCD1B" w14:textId="77777777" w:rsidTr="00B265AA">
        <w:tc>
          <w:tcPr>
            <w:tcW w:w="562" w:type="dxa"/>
            <w:shd w:val="clear" w:color="auto" w:fill="F2F2F2" w:themeFill="background1" w:themeFillShade="F2"/>
          </w:tcPr>
          <w:p w14:paraId="55FF46B6" w14:textId="77777777" w:rsidR="00D459B3" w:rsidRPr="006273BD" w:rsidRDefault="00D459B3" w:rsidP="00E16180">
            <w:pPr>
              <w:spacing w:before="120" w:after="120"/>
              <w:jc w:val="left"/>
              <w:rPr>
                <w:b/>
                <w:bCs/>
                <w:sz w:val="18"/>
                <w:szCs w:val="18"/>
              </w:rPr>
            </w:pPr>
            <w:r w:rsidRPr="006273BD">
              <w:rPr>
                <w:b/>
                <w:bCs/>
                <w:sz w:val="18"/>
                <w:szCs w:val="18"/>
              </w:rPr>
              <w:t>No.</w:t>
            </w:r>
          </w:p>
        </w:tc>
        <w:tc>
          <w:tcPr>
            <w:tcW w:w="2268" w:type="dxa"/>
            <w:shd w:val="clear" w:color="auto" w:fill="F2F2F2" w:themeFill="background1" w:themeFillShade="F2"/>
          </w:tcPr>
          <w:p w14:paraId="3D489646" w14:textId="03749917" w:rsidR="00D459B3" w:rsidRPr="006273BD" w:rsidRDefault="005276A4" w:rsidP="00E16180">
            <w:pPr>
              <w:spacing w:before="120" w:after="120"/>
              <w:jc w:val="left"/>
              <w:rPr>
                <w:b/>
                <w:bCs/>
                <w:sz w:val="18"/>
                <w:szCs w:val="18"/>
              </w:rPr>
            </w:pPr>
            <w:r w:rsidRPr="006273BD">
              <w:rPr>
                <w:b/>
                <w:bCs/>
                <w:sz w:val="18"/>
                <w:szCs w:val="18"/>
              </w:rPr>
              <w:t>Guidelines</w:t>
            </w:r>
          </w:p>
        </w:tc>
        <w:tc>
          <w:tcPr>
            <w:tcW w:w="6799" w:type="dxa"/>
            <w:shd w:val="clear" w:color="auto" w:fill="F2F2F2" w:themeFill="background1" w:themeFillShade="F2"/>
          </w:tcPr>
          <w:p w14:paraId="24B9D353" w14:textId="46939FDD" w:rsidR="00D459B3" w:rsidRPr="006273BD" w:rsidRDefault="00D459B3" w:rsidP="00E16180">
            <w:pPr>
              <w:spacing w:before="120" w:after="120"/>
              <w:jc w:val="left"/>
              <w:rPr>
                <w:b/>
                <w:bCs/>
                <w:sz w:val="18"/>
                <w:szCs w:val="18"/>
              </w:rPr>
            </w:pPr>
            <w:r w:rsidRPr="006273BD">
              <w:rPr>
                <w:b/>
                <w:bCs/>
                <w:sz w:val="18"/>
                <w:szCs w:val="18"/>
              </w:rPr>
              <w:t>Characteristics</w:t>
            </w:r>
            <w:r w:rsidR="005276A4" w:rsidRPr="006273BD">
              <w:rPr>
                <w:b/>
                <w:bCs/>
                <w:sz w:val="18"/>
                <w:szCs w:val="18"/>
              </w:rPr>
              <w:t xml:space="preserve"> and </w:t>
            </w:r>
            <w:r w:rsidR="00316837" w:rsidRPr="006273BD">
              <w:rPr>
                <w:b/>
                <w:bCs/>
                <w:sz w:val="18"/>
                <w:szCs w:val="18"/>
              </w:rPr>
              <w:t>k</w:t>
            </w:r>
            <w:r w:rsidR="005276A4" w:rsidRPr="006273BD">
              <w:rPr>
                <w:b/>
                <w:bCs/>
                <w:sz w:val="18"/>
                <w:szCs w:val="18"/>
              </w:rPr>
              <w:t xml:space="preserve">ey </w:t>
            </w:r>
            <w:r w:rsidR="00316837" w:rsidRPr="006273BD">
              <w:rPr>
                <w:b/>
                <w:bCs/>
                <w:sz w:val="18"/>
                <w:szCs w:val="18"/>
              </w:rPr>
              <w:t>e</w:t>
            </w:r>
            <w:r w:rsidR="005276A4" w:rsidRPr="006273BD">
              <w:rPr>
                <w:b/>
                <w:bCs/>
                <w:sz w:val="18"/>
                <w:szCs w:val="18"/>
              </w:rPr>
              <w:t>lements</w:t>
            </w:r>
          </w:p>
        </w:tc>
      </w:tr>
      <w:tr w:rsidR="00D459B3" w:rsidRPr="00316837" w14:paraId="07FE67F9" w14:textId="77777777" w:rsidTr="00B265AA">
        <w:tc>
          <w:tcPr>
            <w:tcW w:w="562" w:type="dxa"/>
          </w:tcPr>
          <w:p w14:paraId="22852FE5" w14:textId="77777777" w:rsidR="00D459B3" w:rsidRPr="00316837" w:rsidRDefault="00D459B3" w:rsidP="00E16180">
            <w:pPr>
              <w:spacing w:before="120" w:after="120"/>
              <w:jc w:val="left"/>
              <w:rPr>
                <w:sz w:val="18"/>
                <w:szCs w:val="18"/>
              </w:rPr>
            </w:pPr>
            <w:r w:rsidRPr="00316837">
              <w:rPr>
                <w:sz w:val="18"/>
                <w:szCs w:val="18"/>
              </w:rPr>
              <w:t>1</w:t>
            </w:r>
          </w:p>
        </w:tc>
        <w:tc>
          <w:tcPr>
            <w:tcW w:w="2268" w:type="dxa"/>
          </w:tcPr>
          <w:p w14:paraId="6A8B28AC" w14:textId="2868B954" w:rsidR="00D459B3" w:rsidRPr="00316837" w:rsidRDefault="00D459B3" w:rsidP="00E16180">
            <w:pPr>
              <w:spacing w:before="120" w:after="120"/>
              <w:jc w:val="left"/>
              <w:rPr>
                <w:sz w:val="18"/>
                <w:szCs w:val="18"/>
              </w:rPr>
            </w:pPr>
            <w:r w:rsidRPr="00316837">
              <w:rPr>
                <w:sz w:val="18"/>
                <w:szCs w:val="18"/>
              </w:rPr>
              <w:t>Roles of System Operators</w:t>
            </w:r>
            <w:r w:rsidR="001D4932" w:rsidRPr="00316837">
              <w:rPr>
                <w:sz w:val="18"/>
                <w:szCs w:val="18"/>
              </w:rPr>
              <w:t xml:space="preserve"> </w:t>
            </w:r>
          </w:p>
        </w:tc>
        <w:tc>
          <w:tcPr>
            <w:tcW w:w="6799" w:type="dxa"/>
          </w:tcPr>
          <w:p w14:paraId="165A322E" w14:textId="1D43CF60" w:rsidR="00D459B3" w:rsidRPr="00316837" w:rsidRDefault="00D459B3" w:rsidP="00E16180">
            <w:pPr>
              <w:spacing w:before="120" w:after="120"/>
              <w:jc w:val="left"/>
              <w:rPr>
                <w:sz w:val="18"/>
                <w:szCs w:val="18"/>
              </w:rPr>
            </w:pPr>
            <w:r w:rsidRPr="00316837">
              <w:rPr>
                <w:sz w:val="18"/>
                <w:szCs w:val="18"/>
              </w:rPr>
              <w:t xml:space="preserve">Discussed the need for the national regulatory authorities to act within the powers and duties specified in their national legislations. </w:t>
            </w:r>
          </w:p>
          <w:p w14:paraId="75884650" w14:textId="229F2093" w:rsidR="00D459B3" w:rsidRPr="00316837" w:rsidRDefault="00D459B3" w:rsidP="00E16180">
            <w:pPr>
              <w:spacing w:before="120" w:after="120"/>
              <w:jc w:val="left"/>
              <w:rPr>
                <w:sz w:val="18"/>
                <w:szCs w:val="18"/>
              </w:rPr>
            </w:pPr>
            <w:r w:rsidRPr="00316837">
              <w:rPr>
                <w:sz w:val="18"/>
                <w:szCs w:val="18"/>
              </w:rPr>
              <w:t>Established the decision-making boundaries of the national TSOs</w:t>
            </w:r>
            <w:r w:rsidR="00B6101C" w:rsidRPr="00316837">
              <w:rPr>
                <w:sz w:val="18"/>
                <w:szCs w:val="18"/>
              </w:rPr>
              <w:t>, the Control Area Operators</w:t>
            </w:r>
            <w:r w:rsidRPr="00316837">
              <w:rPr>
                <w:sz w:val="18"/>
                <w:szCs w:val="18"/>
              </w:rPr>
              <w:t xml:space="preserve"> and </w:t>
            </w:r>
            <w:r w:rsidR="00B6101C" w:rsidRPr="00316837">
              <w:rPr>
                <w:sz w:val="18"/>
                <w:szCs w:val="18"/>
              </w:rPr>
              <w:t xml:space="preserve">the </w:t>
            </w:r>
            <w:r w:rsidRPr="00316837">
              <w:rPr>
                <w:sz w:val="18"/>
                <w:szCs w:val="18"/>
              </w:rPr>
              <w:t xml:space="preserve">RSMOs in respect of technical and operational decisions for cross-border trading. </w:t>
            </w:r>
          </w:p>
        </w:tc>
      </w:tr>
      <w:tr w:rsidR="00D459B3" w:rsidRPr="00316837" w14:paraId="286FC74F" w14:textId="77777777" w:rsidTr="00B265AA">
        <w:tc>
          <w:tcPr>
            <w:tcW w:w="562" w:type="dxa"/>
          </w:tcPr>
          <w:p w14:paraId="73879538" w14:textId="633DF5B1" w:rsidR="00D459B3" w:rsidRPr="00316837" w:rsidRDefault="00D459B3" w:rsidP="00E16180">
            <w:pPr>
              <w:spacing w:before="120" w:after="120"/>
              <w:jc w:val="left"/>
              <w:rPr>
                <w:sz w:val="18"/>
                <w:szCs w:val="18"/>
              </w:rPr>
            </w:pPr>
            <w:r w:rsidRPr="00316837">
              <w:rPr>
                <w:sz w:val="18"/>
                <w:szCs w:val="18"/>
              </w:rPr>
              <w:t>2</w:t>
            </w:r>
          </w:p>
        </w:tc>
        <w:tc>
          <w:tcPr>
            <w:tcW w:w="2268" w:type="dxa"/>
          </w:tcPr>
          <w:p w14:paraId="33747F07" w14:textId="558058B5" w:rsidR="00D459B3" w:rsidRPr="00316837" w:rsidRDefault="00D459B3" w:rsidP="00E16180">
            <w:pPr>
              <w:spacing w:before="120" w:after="120"/>
              <w:jc w:val="left"/>
              <w:rPr>
                <w:sz w:val="18"/>
                <w:szCs w:val="18"/>
              </w:rPr>
            </w:pPr>
            <w:r w:rsidRPr="00316837">
              <w:rPr>
                <w:sz w:val="18"/>
                <w:szCs w:val="18"/>
              </w:rPr>
              <w:t>Dispatch, System Operations</w:t>
            </w:r>
            <w:r w:rsidR="001D4932" w:rsidRPr="00316837">
              <w:rPr>
                <w:sz w:val="18"/>
                <w:szCs w:val="18"/>
              </w:rPr>
              <w:t>,</w:t>
            </w:r>
            <w:r w:rsidRPr="00316837">
              <w:rPr>
                <w:sz w:val="18"/>
                <w:szCs w:val="18"/>
              </w:rPr>
              <w:t xml:space="preserve"> and ICT </w:t>
            </w:r>
          </w:p>
        </w:tc>
        <w:tc>
          <w:tcPr>
            <w:tcW w:w="6799" w:type="dxa"/>
          </w:tcPr>
          <w:p w14:paraId="78B21AC2" w14:textId="3155BB96" w:rsidR="00D459B3" w:rsidRPr="00316837" w:rsidRDefault="00D459B3" w:rsidP="00E16180">
            <w:pPr>
              <w:spacing w:before="120" w:after="120"/>
              <w:jc w:val="left"/>
              <w:rPr>
                <w:sz w:val="18"/>
                <w:szCs w:val="18"/>
              </w:rPr>
            </w:pPr>
            <w:r w:rsidRPr="00316837">
              <w:rPr>
                <w:sz w:val="18"/>
                <w:szCs w:val="18"/>
              </w:rPr>
              <w:t xml:space="preserve">Discussed how the RSMOs of Power Pools and </w:t>
            </w:r>
            <w:r w:rsidR="00B6101C" w:rsidRPr="00316837">
              <w:rPr>
                <w:sz w:val="18"/>
                <w:szCs w:val="18"/>
              </w:rPr>
              <w:t xml:space="preserve">the Control Area Operators and </w:t>
            </w:r>
            <w:r w:rsidRPr="00316837">
              <w:rPr>
                <w:sz w:val="18"/>
                <w:szCs w:val="18"/>
              </w:rPr>
              <w:t xml:space="preserve">the national TSOs rely on software and ICT equipment to monitor the conditions of their interconnected transmission systems. </w:t>
            </w:r>
          </w:p>
          <w:p w14:paraId="173A08C9" w14:textId="0EC9A987" w:rsidR="00D459B3" w:rsidRPr="00316837" w:rsidRDefault="00D459B3" w:rsidP="00E16180">
            <w:pPr>
              <w:spacing w:before="120" w:after="120"/>
              <w:jc w:val="left"/>
              <w:rPr>
                <w:sz w:val="18"/>
                <w:szCs w:val="18"/>
              </w:rPr>
            </w:pPr>
            <w:r w:rsidRPr="00316837">
              <w:rPr>
                <w:sz w:val="18"/>
                <w:szCs w:val="18"/>
              </w:rPr>
              <w:t xml:space="preserve">Described the need for the RSMOs and </w:t>
            </w:r>
            <w:r w:rsidR="00B6101C" w:rsidRPr="00316837">
              <w:rPr>
                <w:sz w:val="18"/>
                <w:szCs w:val="18"/>
              </w:rPr>
              <w:t xml:space="preserve">the </w:t>
            </w:r>
            <w:r w:rsidR="001D4932" w:rsidRPr="00316837">
              <w:rPr>
                <w:sz w:val="18"/>
                <w:szCs w:val="18"/>
              </w:rPr>
              <w:t>C</w:t>
            </w:r>
            <w:r w:rsidR="00B6101C" w:rsidRPr="00316837">
              <w:rPr>
                <w:sz w:val="18"/>
                <w:szCs w:val="18"/>
              </w:rPr>
              <w:t xml:space="preserve">ontrol Area Operators and </w:t>
            </w:r>
            <w:r w:rsidRPr="00316837">
              <w:rPr>
                <w:sz w:val="18"/>
                <w:szCs w:val="18"/>
              </w:rPr>
              <w:t xml:space="preserve">the national TSOs to be equipped with modern communication and signalling equipment that will enable them to monitor the conditions of the interconnected power system at all times. </w:t>
            </w:r>
          </w:p>
        </w:tc>
      </w:tr>
      <w:tr w:rsidR="00D459B3" w:rsidRPr="00316837" w14:paraId="7CFD98B5" w14:textId="77777777" w:rsidTr="00B265AA">
        <w:tc>
          <w:tcPr>
            <w:tcW w:w="562" w:type="dxa"/>
          </w:tcPr>
          <w:p w14:paraId="484C8C21" w14:textId="27D84587" w:rsidR="00D459B3" w:rsidRPr="00316837" w:rsidRDefault="00D459B3" w:rsidP="00E16180">
            <w:pPr>
              <w:spacing w:before="120" w:after="120"/>
              <w:jc w:val="left"/>
              <w:rPr>
                <w:sz w:val="18"/>
                <w:szCs w:val="18"/>
              </w:rPr>
            </w:pPr>
            <w:r w:rsidRPr="00316837">
              <w:rPr>
                <w:sz w:val="18"/>
                <w:szCs w:val="18"/>
              </w:rPr>
              <w:t>3</w:t>
            </w:r>
          </w:p>
        </w:tc>
        <w:tc>
          <w:tcPr>
            <w:tcW w:w="2268" w:type="dxa"/>
          </w:tcPr>
          <w:p w14:paraId="3BA8971E" w14:textId="549A8F66" w:rsidR="00D459B3" w:rsidRPr="00316837" w:rsidRDefault="00316837" w:rsidP="00E16180">
            <w:pPr>
              <w:spacing w:before="120" w:after="120"/>
              <w:jc w:val="left"/>
              <w:rPr>
                <w:sz w:val="18"/>
                <w:szCs w:val="18"/>
              </w:rPr>
            </w:pPr>
            <w:r>
              <w:rPr>
                <w:sz w:val="18"/>
                <w:szCs w:val="18"/>
              </w:rPr>
              <w:t>Power (</w:t>
            </w:r>
            <w:r w:rsidR="00D459B3" w:rsidRPr="00316837">
              <w:rPr>
                <w:sz w:val="18"/>
                <w:szCs w:val="18"/>
              </w:rPr>
              <w:t>Generation and Transmission</w:t>
            </w:r>
            <w:r>
              <w:rPr>
                <w:sz w:val="18"/>
                <w:szCs w:val="18"/>
              </w:rPr>
              <w:t>)</w:t>
            </w:r>
            <w:r w:rsidR="00D459B3" w:rsidRPr="00316837">
              <w:rPr>
                <w:sz w:val="18"/>
                <w:szCs w:val="18"/>
              </w:rPr>
              <w:t xml:space="preserve"> System Adequacy, </w:t>
            </w:r>
            <w:r>
              <w:rPr>
                <w:sz w:val="18"/>
                <w:szCs w:val="18"/>
              </w:rPr>
              <w:t>Capability and Robustness (</w:t>
            </w:r>
            <w:r w:rsidR="00D459B3" w:rsidRPr="00316837">
              <w:rPr>
                <w:sz w:val="18"/>
                <w:szCs w:val="18"/>
              </w:rPr>
              <w:t>Capacity Readiness</w:t>
            </w:r>
            <w:r>
              <w:rPr>
                <w:sz w:val="18"/>
                <w:szCs w:val="18"/>
              </w:rPr>
              <w:t>)</w:t>
            </w:r>
          </w:p>
        </w:tc>
        <w:tc>
          <w:tcPr>
            <w:tcW w:w="6799" w:type="dxa"/>
          </w:tcPr>
          <w:p w14:paraId="45B0CC20" w14:textId="6BE71840" w:rsidR="00D459B3" w:rsidRPr="00316837" w:rsidRDefault="00D459B3" w:rsidP="00E16180">
            <w:pPr>
              <w:spacing w:before="120" w:after="120"/>
              <w:jc w:val="left"/>
              <w:rPr>
                <w:sz w:val="18"/>
                <w:szCs w:val="18"/>
              </w:rPr>
            </w:pPr>
            <w:r w:rsidRPr="00316837">
              <w:rPr>
                <w:sz w:val="18"/>
                <w:szCs w:val="18"/>
              </w:rPr>
              <w:t xml:space="preserve">Discussed the need to ensure capacity readiness of the power system infrastructure. </w:t>
            </w:r>
          </w:p>
          <w:p w14:paraId="5BEDFDED" w14:textId="77777777" w:rsidR="00D459B3" w:rsidRPr="00316837" w:rsidRDefault="00D459B3" w:rsidP="00E16180">
            <w:pPr>
              <w:spacing w:before="120" w:after="120"/>
              <w:jc w:val="left"/>
              <w:rPr>
                <w:sz w:val="18"/>
                <w:szCs w:val="18"/>
              </w:rPr>
            </w:pPr>
            <w:r w:rsidRPr="00316837">
              <w:rPr>
                <w:sz w:val="18"/>
                <w:szCs w:val="18"/>
              </w:rPr>
              <w:t xml:space="preserve">Ensured that priority generation and transmission projects need to be implemented on time to relieve the network of all constraints to facilitate cross-border trade. </w:t>
            </w:r>
          </w:p>
          <w:p w14:paraId="4DBA3E87" w14:textId="237EEDC7" w:rsidR="00D459B3" w:rsidRPr="00316837" w:rsidRDefault="00D459B3" w:rsidP="00E16180">
            <w:pPr>
              <w:spacing w:before="120" w:after="120"/>
              <w:jc w:val="left"/>
              <w:rPr>
                <w:sz w:val="18"/>
                <w:szCs w:val="18"/>
              </w:rPr>
            </w:pPr>
            <w:r w:rsidRPr="00316837">
              <w:rPr>
                <w:sz w:val="18"/>
                <w:szCs w:val="18"/>
              </w:rPr>
              <w:t>Required that the Power Pool Masterplans are synchronised at the continental level with the C</w:t>
            </w:r>
            <w:r w:rsidR="00B6101C" w:rsidRPr="00316837">
              <w:rPr>
                <w:sz w:val="18"/>
                <w:szCs w:val="18"/>
              </w:rPr>
              <w:t xml:space="preserve">ontinental </w:t>
            </w:r>
            <w:r w:rsidRPr="00316837">
              <w:rPr>
                <w:sz w:val="18"/>
                <w:szCs w:val="18"/>
              </w:rPr>
              <w:t>M</w:t>
            </w:r>
            <w:r w:rsidR="00B6101C" w:rsidRPr="00316837">
              <w:rPr>
                <w:sz w:val="18"/>
                <w:szCs w:val="18"/>
              </w:rPr>
              <w:t xml:space="preserve">aster </w:t>
            </w:r>
            <w:r w:rsidRPr="00316837">
              <w:rPr>
                <w:sz w:val="18"/>
                <w:szCs w:val="18"/>
              </w:rPr>
              <w:t>P</w:t>
            </w:r>
            <w:r w:rsidR="00B6101C" w:rsidRPr="00316837">
              <w:rPr>
                <w:sz w:val="18"/>
                <w:szCs w:val="18"/>
              </w:rPr>
              <w:t>lan</w:t>
            </w:r>
            <w:r w:rsidRPr="00316837">
              <w:rPr>
                <w:sz w:val="18"/>
                <w:szCs w:val="18"/>
              </w:rPr>
              <w:t xml:space="preserve"> and subsequently updated on uniform basis. </w:t>
            </w:r>
          </w:p>
        </w:tc>
      </w:tr>
      <w:tr w:rsidR="00D459B3" w:rsidRPr="00316837" w14:paraId="2371B867" w14:textId="77777777" w:rsidTr="00B265AA">
        <w:tc>
          <w:tcPr>
            <w:tcW w:w="562" w:type="dxa"/>
          </w:tcPr>
          <w:p w14:paraId="0D0DE3C4" w14:textId="5CBC0B00" w:rsidR="00D459B3" w:rsidRPr="00316837" w:rsidRDefault="00D459B3" w:rsidP="00E16180">
            <w:pPr>
              <w:spacing w:before="120" w:after="120"/>
              <w:jc w:val="left"/>
              <w:rPr>
                <w:sz w:val="18"/>
                <w:szCs w:val="18"/>
              </w:rPr>
            </w:pPr>
            <w:r w:rsidRPr="00316837">
              <w:rPr>
                <w:sz w:val="18"/>
                <w:szCs w:val="18"/>
              </w:rPr>
              <w:t>4</w:t>
            </w:r>
          </w:p>
        </w:tc>
        <w:tc>
          <w:tcPr>
            <w:tcW w:w="2268" w:type="dxa"/>
          </w:tcPr>
          <w:p w14:paraId="68E78F39" w14:textId="49E5D0A9" w:rsidR="00D459B3" w:rsidRPr="00316837" w:rsidRDefault="00D459B3" w:rsidP="00E16180">
            <w:pPr>
              <w:spacing w:before="120" w:after="120"/>
              <w:jc w:val="left"/>
              <w:rPr>
                <w:sz w:val="18"/>
                <w:szCs w:val="18"/>
              </w:rPr>
            </w:pPr>
            <w:r w:rsidRPr="00316837">
              <w:rPr>
                <w:sz w:val="18"/>
                <w:szCs w:val="18"/>
              </w:rPr>
              <w:t xml:space="preserve">Market Compatibility for Trading </w:t>
            </w:r>
          </w:p>
        </w:tc>
        <w:tc>
          <w:tcPr>
            <w:tcW w:w="6799" w:type="dxa"/>
          </w:tcPr>
          <w:p w14:paraId="1C14E348" w14:textId="77777777" w:rsidR="00D459B3" w:rsidRPr="00316837" w:rsidRDefault="00D459B3" w:rsidP="00E16180">
            <w:pPr>
              <w:spacing w:before="120" w:after="120"/>
              <w:jc w:val="left"/>
              <w:rPr>
                <w:sz w:val="18"/>
                <w:szCs w:val="18"/>
              </w:rPr>
            </w:pPr>
            <w:r w:rsidRPr="00316837">
              <w:rPr>
                <w:sz w:val="18"/>
                <w:szCs w:val="18"/>
              </w:rPr>
              <w:t xml:space="preserve">Established the need for market compatibility and highlighted the significance of developing a joint trading platform for the integrated electricity market. </w:t>
            </w:r>
          </w:p>
          <w:p w14:paraId="166E6051" w14:textId="4B93A879" w:rsidR="00D459B3" w:rsidRPr="00316837" w:rsidRDefault="00D459B3" w:rsidP="00E16180">
            <w:pPr>
              <w:spacing w:before="120" w:after="120"/>
              <w:jc w:val="left"/>
              <w:rPr>
                <w:sz w:val="18"/>
                <w:szCs w:val="18"/>
              </w:rPr>
            </w:pPr>
            <w:r w:rsidRPr="00316837">
              <w:rPr>
                <w:sz w:val="18"/>
                <w:szCs w:val="18"/>
              </w:rPr>
              <w:t xml:space="preserve">Highlighted the significance of developing common rules to govern trading between integrated markets. </w:t>
            </w:r>
          </w:p>
        </w:tc>
      </w:tr>
      <w:tr w:rsidR="00D459B3" w:rsidRPr="00316837" w14:paraId="08004FAF" w14:textId="77777777" w:rsidTr="00B265AA">
        <w:tc>
          <w:tcPr>
            <w:tcW w:w="562" w:type="dxa"/>
          </w:tcPr>
          <w:p w14:paraId="35E154F7" w14:textId="0EFDAE84" w:rsidR="00D459B3" w:rsidRPr="00316837" w:rsidRDefault="00D459B3" w:rsidP="00E16180">
            <w:pPr>
              <w:spacing w:before="120" w:after="120"/>
              <w:jc w:val="left"/>
              <w:rPr>
                <w:sz w:val="18"/>
                <w:szCs w:val="18"/>
              </w:rPr>
            </w:pPr>
            <w:r w:rsidRPr="00316837">
              <w:rPr>
                <w:sz w:val="18"/>
                <w:szCs w:val="18"/>
              </w:rPr>
              <w:t>5</w:t>
            </w:r>
          </w:p>
        </w:tc>
        <w:tc>
          <w:tcPr>
            <w:tcW w:w="2268" w:type="dxa"/>
          </w:tcPr>
          <w:p w14:paraId="20854819" w14:textId="4DC48586" w:rsidR="00D459B3" w:rsidRPr="00316837" w:rsidRDefault="00D459B3" w:rsidP="00E16180">
            <w:pPr>
              <w:spacing w:before="120" w:after="120"/>
              <w:jc w:val="left"/>
              <w:rPr>
                <w:sz w:val="18"/>
                <w:szCs w:val="18"/>
              </w:rPr>
            </w:pPr>
            <w:r w:rsidRPr="00316837">
              <w:rPr>
                <w:sz w:val="18"/>
                <w:szCs w:val="18"/>
              </w:rPr>
              <w:t xml:space="preserve">System Operators and Coordinated Planning </w:t>
            </w:r>
          </w:p>
        </w:tc>
        <w:tc>
          <w:tcPr>
            <w:tcW w:w="6799" w:type="dxa"/>
          </w:tcPr>
          <w:p w14:paraId="29AA233E" w14:textId="77777777" w:rsidR="00D459B3" w:rsidRPr="00316837" w:rsidRDefault="00D459B3" w:rsidP="00E16180">
            <w:pPr>
              <w:spacing w:before="120" w:after="120"/>
              <w:jc w:val="left"/>
              <w:rPr>
                <w:sz w:val="18"/>
                <w:szCs w:val="18"/>
              </w:rPr>
            </w:pPr>
            <w:r w:rsidRPr="00316837">
              <w:rPr>
                <w:sz w:val="18"/>
                <w:szCs w:val="18"/>
              </w:rPr>
              <w:t xml:space="preserve">Described the role of system operators to achieve coordinated planning regarding the following: </w:t>
            </w:r>
          </w:p>
          <w:p w14:paraId="1CDF73B3" w14:textId="30ED3260" w:rsidR="00D459B3" w:rsidRPr="00316837" w:rsidRDefault="00D459B3" w:rsidP="00D459B3">
            <w:pPr>
              <w:spacing w:before="120" w:after="120"/>
              <w:jc w:val="left"/>
              <w:rPr>
                <w:sz w:val="18"/>
                <w:szCs w:val="18"/>
              </w:rPr>
            </w:pPr>
            <w:r w:rsidRPr="00316837">
              <w:rPr>
                <w:sz w:val="18"/>
                <w:szCs w:val="18"/>
              </w:rPr>
              <w:t>5.1: Synchroni</w:t>
            </w:r>
            <w:r w:rsidR="00B6101C" w:rsidRPr="00316837">
              <w:rPr>
                <w:sz w:val="18"/>
                <w:szCs w:val="18"/>
              </w:rPr>
              <w:t>s</w:t>
            </w:r>
            <w:r w:rsidRPr="00316837">
              <w:rPr>
                <w:sz w:val="18"/>
                <w:szCs w:val="18"/>
              </w:rPr>
              <w:t xml:space="preserve">ing Procedures; </w:t>
            </w:r>
          </w:p>
          <w:p w14:paraId="43665D9D" w14:textId="6B1F9F62" w:rsidR="00D459B3" w:rsidRPr="00316837" w:rsidRDefault="00D459B3" w:rsidP="00D459B3">
            <w:pPr>
              <w:spacing w:before="120" w:after="120"/>
              <w:jc w:val="left"/>
              <w:rPr>
                <w:sz w:val="18"/>
                <w:szCs w:val="18"/>
              </w:rPr>
            </w:pPr>
            <w:r w:rsidRPr="00316837">
              <w:rPr>
                <w:sz w:val="18"/>
                <w:szCs w:val="18"/>
              </w:rPr>
              <w:t xml:space="preserve">5.2: Operational Data; </w:t>
            </w:r>
          </w:p>
          <w:p w14:paraId="492223BB" w14:textId="0F202E3D" w:rsidR="00D459B3" w:rsidRPr="00316837" w:rsidRDefault="00D459B3" w:rsidP="00D459B3">
            <w:pPr>
              <w:spacing w:before="120" w:after="120"/>
              <w:jc w:val="left"/>
              <w:rPr>
                <w:sz w:val="18"/>
                <w:szCs w:val="18"/>
              </w:rPr>
            </w:pPr>
            <w:r w:rsidRPr="00316837">
              <w:rPr>
                <w:sz w:val="18"/>
                <w:szCs w:val="18"/>
              </w:rPr>
              <w:t xml:space="preserve">5.3: Transmission Capacity Allocation; and </w:t>
            </w:r>
          </w:p>
          <w:p w14:paraId="342B9BAF" w14:textId="6E7A6781" w:rsidR="00D459B3" w:rsidRPr="00316837" w:rsidRDefault="00D459B3" w:rsidP="00D459B3">
            <w:pPr>
              <w:spacing w:before="120" w:after="120"/>
              <w:jc w:val="left"/>
              <w:rPr>
                <w:sz w:val="18"/>
                <w:szCs w:val="18"/>
              </w:rPr>
            </w:pPr>
            <w:r w:rsidRPr="00316837">
              <w:rPr>
                <w:sz w:val="18"/>
                <w:szCs w:val="18"/>
              </w:rPr>
              <w:t>5.4: Ancillary Services Provision</w:t>
            </w:r>
            <w:r w:rsidR="001D4932" w:rsidRPr="00316837">
              <w:rPr>
                <w:sz w:val="18"/>
                <w:szCs w:val="18"/>
              </w:rPr>
              <w:t xml:space="preserve">. </w:t>
            </w:r>
          </w:p>
        </w:tc>
      </w:tr>
      <w:tr w:rsidR="00B265AA" w:rsidRPr="00316837" w14:paraId="7BED63C1" w14:textId="77777777" w:rsidTr="00B265AA">
        <w:tc>
          <w:tcPr>
            <w:tcW w:w="562" w:type="dxa"/>
          </w:tcPr>
          <w:p w14:paraId="79A1AF88" w14:textId="5D18DCB8" w:rsidR="00B265AA" w:rsidRPr="00316837" w:rsidRDefault="00B265AA" w:rsidP="00E16180">
            <w:pPr>
              <w:spacing w:before="120" w:after="120"/>
              <w:jc w:val="left"/>
              <w:rPr>
                <w:sz w:val="18"/>
                <w:szCs w:val="18"/>
              </w:rPr>
            </w:pPr>
            <w:r w:rsidRPr="00316837">
              <w:rPr>
                <w:sz w:val="18"/>
                <w:szCs w:val="18"/>
              </w:rPr>
              <w:t>6</w:t>
            </w:r>
          </w:p>
        </w:tc>
        <w:tc>
          <w:tcPr>
            <w:tcW w:w="2268" w:type="dxa"/>
          </w:tcPr>
          <w:p w14:paraId="4AD7EEC4" w14:textId="292F1A0A" w:rsidR="00B265AA" w:rsidRPr="00316837" w:rsidRDefault="00B265AA" w:rsidP="00E16180">
            <w:pPr>
              <w:spacing w:before="120" w:after="120"/>
              <w:jc w:val="left"/>
              <w:rPr>
                <w:sz w:val="18"/>
                <w:szCs w:val="18"/>
              </w:rPr>
            </w:pPr>
            <w:r w:rsidRPr="00316837">
              <w:rPr>
                <w:sz w:val="18"/>
                <w:szCs w:val="18"/>
              </w:rPr>
              <w:t xml:space="preserve">Interconnection of Off-grid Mini-grids </w:t>
            </w:r>
          </w:p>
        </w:tc>
        <w:tc>
          <w:tcPr>
            <w:tcW w:w="6799" w:type="dxa"/>
          </w:tcPr>
          <w:p w14:paraId="7B8412EB" w14:textId="77777777" w:rsidR="00B265AA" w:rsidRPr="00316837" w:rsidRDefault="00B265AA" w:rsidP="00E16180">
            <w:pPr>
              <w:spacing w:before="120" w:after="120"/>
              <w:jc w:val="left"/>
              <w:rPr>
                <w:sz w:val="18"/>
                <w:szCs w:val="18"/>
              </w:rPr>
            </w:pPr>
            <w:r w:rsidRPr="00316837">
              <w:rPr>
                <w:sz w:val="18"/>
                <w:szCs w:val="18"/>
              </w:rPr>
              <w:t xml:space="preserve">Addressed the key issues that must be considered and also identified the conditions for connecting isolated mini-grid systems to the main grid by covering the following: </w:t>
            </w:r>
          </w:p>
          <w:p w14:paraId="2FC612F1" w14:textId="446A828A" w:rsidR="00B265AA" w:rsidRPr="00316837" w:rsidRDefault="00B265AA" w:rsidP="00B265AA">
            <w:pPr>
              <w:spacing w:before="120" w:after="120"/>
              <w:jc w:val="left"/>
              <w:rPr>
                <w:sz w:val="18"/>
                <w:szCs w:val="18"/>
              </w:rPr>
            </w:pPr>
            <w:r w:rsidRPr="00316837">
              <w:rPr>
                <w:sz w:val="18"/>
                <w:szCs w:val="18"/>
              </w:rPr>
              <w:lastRenderedPageBreak/>
              <w:t xml:space="preserve">6.1: Technical modalities for main grid connection of off-grid mini-grids; and </w:t>
            </w:r>
          </w:p>
          <w:p w14:paraId="58EFA081" w14:textId="75E87D87" w:rsidR="00B265AA" w:rsidRPr="00316837" w:rsidRDefault="00B265AA" w:rsidP="00B265AA">
            <w:pPr>
              <w:spacing w:before="120" w:after="120"/>
              <w:jc w:val="left"/>
              <w:rPr>
                <w:sz w:val="18"/>
                <w:szCs w:val="18"/>
              </w:rPr>
            </w:pPr>
            <w:r w:rsidRPr="00316837">
              <w:rPr>
                <w:sz w:val="18"/>
                <w:szCs w:val="18"/>
              </w:rPr>
              <w:t xml:space="preserve">6.2: Regulatory frameworks for main grid connection of off-grid mini-grids and micro-DSOs. </w:t>
            </w:r>
          </w:p>
        </w:tc>
      </w:tr>
    </w:tbl>
    <w:p w14:paraId="67E749DD" w14:textId="43510B62" w:rsidR="00D459B3" w:rsidRPr="00316837" w:rsidRDefault="00D459B3" w:rsidP="00B265AA">
      <w:r w:rsidRPr="00316837">
        <w:lastRenderedPageBreak/>
        <w:t xml:space="preserve">In addition to the Guidelines, the current report includes the Action Plans which need to be implemented to achieve the Technical and Operational Readiness for interconnected power systems. The report also includes the Action Plan for the </w:t>
      </w:r>
      <w:r w:rsidR="00B265AA" w:rsidRPr="00316837">
        <w:t>I</w:t>
      </w:r>
      <w:r w:rsidRPr="00316837">
        <w:t>nterconnection of Off-</w:t>
      </w:r>
      <w:r w:rsidR="00B265AA" w:rsidRPr="00316837">
        <w:t>g</w:t>
      </w:r>
      <w:r w:rsidRPr="00316837">
        <w:t>rid Mi</w:t>
      </w:r>
      <w:r w:rsidR="00B265AA" w:rsidRPr="00316837">
        <w:t>ni</w:t>
      </w:r>
      <w:r w:rsidRPr="00316837">
        <w:t>-grids to the main grid. The Action Plan cover</w:t>
      </w:r>
      <w:r w:rsidR="00B265AA" w:rsidRPr="00316837">
        <w:t>s</w:t>
      </w:r>
      <w:r w:rsidRPr="00316837">
        <w:t xml:space="preserve"> the </w:t>
      </w:r>
      <w:r w:rsidR="00B265AA" w:rsidRPr="00316837">
        <w:t>a</w:t>
      </w:r>
      <w:r w:rsidRPr="00316837">
        <w:t xml:space="preserve">ctions required at the </w:t>
      </w:r>
      <w:r w:rsidR="00B265AA" w:rsidRPr="00316837">
        <w:t>n</w:t>
      </w:r>
      <w:r w:rsidRPr="00316837">
        <w:t xml:space="preserve">ational, </w:t>
      </w:r>
      <w:r w:rsidR="00B265AA" w:rsidRPr="00316837">
        <w:t>r</w:t>
      </w:r>
      <w:r w:rsidRPr="00316837">
        <w:t xml:space="preserve">egional and </w:t>
      </w:r>
      <w:r w:rsidR="00B265AA" w:rsidRPr="00316837">
        <w:t>c</w:t>
      </w:r>
      <w:r w:rsidRPr="00316837">
        <w:t xml:space="preserve">ontinental </w:t>
      </w:r>
      <w:r w:rsidR="00B265AA" w:rsidRPr="00316837">
        <w:t>l</w:t>
      </w:r>
      <w:r w:rsidRPr="00316837">
        <w:t>evels</w:t>
      </w:r>
      <w:r w:rsidR="00B265AA" w:rsidRPr="00316837">
        <w:t xml:space="preserve"> as pertaining to:</w:t>
      </w:r>
      <w:r w:rsidRPr="00316837">
        <w:t xml:space="preserve"> </w:t>
      </w:r>
    </w:p>
    <w:p w14:paraId="2F09969A" w14:textId="0512925C" w:rsidR="00D459B3" w:rsidRPr="00316837" w:rsidRDefault="00D459B3" w:rsidP="006A5033">
      <w:pPr>
        <w:numPr>
          <w:ilvl w:val="0"/>
          <w:numId w:val="51"/>
        </w:numPr>
        <w:tabs>
          <w:tab w:val="num" w:pos="1417"/>
        </w:tabs>
        <w:ind w:left="720"/>
        <w:rPr>
          <w:rFonts w:eastAsia="Calibri"/>
          <w:szCs w:val="22"/>
        </w:rPr>
      </w:pPr>
      <w:r w:rsidRPr="00316837">
        <w:rPr>
          <w:rFonts w:eastAsia="Calibri"/>
          <w:szCs w:val="22"/>
        </w:rPr>
        <w:t>Short</w:t>
      </w:r>
      <w:r w:rsidR="00B265AA" w:rsidRPr="00316837">
        <w:rPr>
          <w:rFonts w:eastAsia="Calibri"/>
          <w:szCs w:val="22"/>
        </w:rPr>
        <w:t>-</w:t>
      </w:r>
      <w:r w:rsidRPr="00316837">
        <w:rPr>
          <w:rFonts w:eastAsia="Calibri"/>
          <w:szCs w:val="22"/>
        </w:rPr>
        <w:t>Term Actions (2021-2025);</w:t>
      </w:r>
      <w:r w:rsidR="00B265AA" w:rsidRPr="00316837">
        <w:rPr>
          <w:rFonts w:eastAsia="Calibri"/>
          <w:szCs w:val="22"/>
        </w:rPr>
        <w:t xml:space="preserve"> </w:t>
      </w:r>
    </w:p>
    <w:p w14:paraId="1DE35A54" w14:textId="6DF75F06" w:rsidR="00D459B3" w:rsidRPr="00316837" w:rsidRDefault="00D459B3" w:rsidP="006A5033">
      <w:pPr>
        <w:numPr>
          <w:ilvl w:val="0"/>
          <w:numId w:val="51"/>
        </w:numPr>
        <w:tabs>
          <w:tab w:val="num" w:pos="1417"/>
        </w:tabs>
        <w:ind w:left="720"/>
        <w:rPr>
          <w:rFonts w:eastAsia="Calibri"/>
          <w:szCs w:val="22"/>
        </w:rPr>
      </w:pPr>
      <w:r w:rsidRPr="00316837">
        <w:rPr>
          <w:rFonts w:eastAsia="Calibri"/>
          <w:szCs w:val="22"/>
        </w:rPr>
        <w:t>Medium</w:t>
      </w:r>
      <w:r w:rsidR="00B265AA" w:rsidRPr="00316837">
        <w:rPr>
          <w:rFonts w:eastAsia="Calibri"/>
          <w:szCs w:val="22"/>
        </w:rPr>
        <w:t>-</w:t>
      </w:r>
      <w:r w:rsidRPr="00316837">
        <w:rPr>
          <w:rFonts w:eastAsia="Calibri"/>
          <w:szCs w:val="22"/>
        </w:rPr>
        <w:t>Term Actions (2026-2030);</w:t>
      </w:r>
      <w:r w:rsidR="00B265AA" w:rsidRPr="00316837">
        <w:rPr>
          <w:rFonts w:eastAsia="Calibri"/>
          <w:szCs w:val="22"/>
        </w:rPr>
        <w:t xml:space="preserve"> and </w:t>
      </w:r>
    </w:p>
    <w:p w14:paraId="360D0DD3" w14:textId="3830EB2D" w:rsidR="00D459B3" w:rsidRPr="00316837" w:rsidRDefault="00D459B3" w:rsidP="006A5033">
      <w:pPr>
        <w:numPr>
          <w:ilvl w:val="0"/>
          <w:numId w:val="51"/>
        </w:numPr>
        <w:tabs>
          <w:tab w:val="num" w:pos="1417"/>
        </w:tabs>
        <w:ind w:left="720"/>
        <w:rPr>
          <w:rFonts w:eastAsia="Calibri"/>
          <w:szCs w:val="22"/>
        </w:rPr>
      </w:pPr>
      <w:r w:rsidRPr="00316837">
        <w:rPr>
          <w:rFonts w:eastAsia="Calibri"/>
          <w:szCs w:val="22"/>
        </w:rPr>
        <w:t>Long</w:t>
      </w:r>
      <w:r w:rsidR="00B265AA" w:rsidRPr="00316837">
        <w:rPr>
          <w:rFonts w:eastAsia="Calibri"/>
          <w:szCs w:val="22"/>
        </w:rPr>
        <w:t>-</w:t>
      </w:r>
      <w:r w:rsidRPr="00316837">
        <w:rPr>
          <w:rFonts w:eastAsia="Calibri"/>
          <w:szCs w:val="22"/>
        </w:rPr>
        <w:t>Term Actions (2031-2040).</w:t>
      </w:r>
      <w:r w:rsidR="00B265AA" w:rsidRPr="00316837">
        <w:rPr>
          <w:rFonts w:eastAsia="Calibri"/>
          <w:szCs w:val="22"/>
        </w:rPr>
        <w:t xml:space="preserve"> </w:t>
      </w:r>
    </w:p>
    <w:p w14:paraId="44D0E089" w14:textId="504EF44B" w:rsidR="00A21496" w:rsidRPr="00316837" w:rsidRDefault="00A12120" w:rsidP="00A21496">
      <w:pPr>
        <w:pStyle w:val="Heading2"/>
      </w:pPr>
      <w:bookmarkStart w:id="53" w:name="_Toc77260295"/>
      <w:r w:rsidRPr="00316837">
        <w:t>Approach</w:t>
      </w:r>
      <w:bookmarkEnd w:id="53"/>
      <w:r w:rsidRPr="00316837">
        <w:t xml:space="preserve"> </w:t>
      </w:r>
    </w:p>
    <w:p w14:paraId="1951C4B3" w14:textId="051A9E37" w:rsidR="00373969" w:rsidRPr="00316837" w:rsidRDefault="00373969" w:rsidP="00373969">
      <w:pPr>
        <w:rPr>
          <w:rFonts w:eastAsia="Calibri"/>
          <w:szCs w:val="22"/>
        </w:rPr>
      </w:pPr>
      <w:r w:rsidRPr="00316837">
        <w:rPr>
          <w:rFonts w:eastAsia="Calibri"/>
          <w:szCs w:val="22"/>
        </w:rPr>
        <w:t xml:space="preserve">The establishment and operationalisation of AfSEM will involve stakeholders both within and outside the African continent and in that regard, the Technical and Operational Readiness deliverable has been developed based on a </w:t>
      </w:r>
      <w:r w:rsidRPr="00316837">
        <w:rPr>
          <w:rFonts w:eastAsia="Calibri"/>
          <w:i/>
          <w:szCs w:val="22"/>
        </w:rPr>
        <w:t>consultative, cooperative and participatory</w:t>
      </w:r>
      <w:r w:rsidRPr="00316837">
        <w:rPr>
          <w:rFonts w:eastAsia="Calibri"/>
          <w:szCs w:val="22"/>
        </w:rPr>
        <w:t xml:space="preserve"> approach. This approach implied that ED of AUC-DIE worked collaboratively with the EU TAF Team to set up meetings with Power Pools, the regional regulatory authorities/associations and other key institutions. </w:t>
      </w:r>
    </w:p>
    <w:p w14:paraId="70F3D579" w14:textId="25101EC0" w:rsidR="00373969" w:rsidRPr="00316837" w:rsidRDefault="00373969" w:rsidP="00373969">
      <w:pPr>
        <w:rPr>
          <w:rFonts w:eastAsia="Calibri"/>
          <w:szCs w:val="22"/>
        </w:rPr>
      </w:pPr>
      <w:r w:rsidRPr="00316837">
        <w:rPr>
          <w:rFonts w:eastAsia="Calibri"/>
          <w:szCs w:val="22"/>
        </w:rPr>
        <w:t xml:space="preserve">These meetings enabled the EU TAF Team, ED of AUC-DIE and stakeholders to discuss the key Technical and Operational Readiness issues for operationalising AfSEM, based on lessons learnt from the Regions/Power Pools of the African continent, as well as from Europe and other jurisdictions. These meetings also enabled the EU TAF Team to take into account, all the relevant technical and operational issues including suggestions and inputs from stakeholders, for the development of the Guidelines and Action Plan. </w:t>
      </w:r>
    </w:p>
    <w:p w14:paraId="0CC54B01" w14:textId="77777777" w:rsidR="005160A2" w:rsidRPr="00316837" w:rsidRDefault="005160A2" w:rsidP="005160A2">
      <w:pPr>
        <w:rPr>
          <w:rFonts w:eastAsia="Calibri"/>
          <w:szCs w:val="22"/>
        </w:rPr>
      </w:pPr>
    </w:p>
    <w:p w14:paraId="41013A44" w14:textId="77777777" w:rsidR="005B5A09" w:rsidRPr="00316837" w:rsidRDefault="005B5A09" w:rsidP="0074334B">
      <w:pPr>
        <w:spacing w:before="0" w:line="240" w:lineRule="auto"/>
        <w:jc w:val="left"/>
        <w:sectPr w:rsidR="005B5A09" w:rsidRPr="00316837" w:rsidSect="00A3058D">
          <w:pgSz w:w="11907" w:h="16839" w:code="9"/>
          <w:pgMar w:top="510" w:right="1134" w:bottom="964" w:left="1134" w:header="720" w:footer="567" w:gutter="0"/>
          <w:cols w:space="720"/>
          <w:formProt w:val="0"/>
          <w:docGrid w:linePitch="286"/>
        </w:sectPr>
      </w:pPr>
    </w:p>
    <w:p w14:paraId="2C8C522E" w14:textId="487C2B9F" w:rsidR="002141D1" w:rsidRPr="00316837" w:rsidRDefault="00A21496" w:rsidP="00F65FDD">
      <w:pPr>
        <w:pStyle w:val="Heading1"/>
      </w:pPr>
      <w:bookmarkStart w:id="54" w:name="_Toc77260296"/>
      <w:r w:rsidRPr="00C632F6">
        <w:rPr>
          <w:caps w:val="0"/>
        </w:rPr>
        <w:lastRenderedPageBreak/>
        <w:t xml:space="preserve">REVIEW AND ASSESSMENT OF </w:t>
      </w:r>
      <w:r w:rsidR="00A12120" w:rsidRPr="00316837">
        <w:rPr>
          <w:caps w:val="0"/>
        </w:rPr>
        <w:t xml:space="preserve">CURRENT </w:t>
      </w:r>
      <w:r w:rsidR="00744D32" w:rsidRPr="00316837">
        <w:rPr>
          <w:caps w:val="0"/>
        </w:rPr>
        <w:t xml:space="preserve">TECHNICAL AND OPERATIONAL READINESS OF </w:t>
      </w:r>
      <w:r w:rsidR="00316837">
        <w:rPr>
          <w:caps w:val="0"/>
        </w:rPr>
        <w:t>AFRICAN</w:t>
      </w:r>
      <w:r w:rsidR="00003C46" w:rsidRPr="00316837">
        <w:rPr>
          <w:caps w:val="0"/>
        </w:rPr>
        <w:t xml:space="preserve"> </w:t>
      </w:r>
      <w:r w:rsidR="00744D32" w:rsidRPr="00316837">
        <w:rPr>
          <w:caps w:val="0"/>
        </w:rPr>
        <w:t>POWER POOLS</w:t>
      </w:r>
      <w:bookmarkEnd w:id="54"/>
      <w:r w:rsidR="005160A2" w:rsidRPr="00316837">
        <w:rPr>
          <w:caps w:val="0"/>
        </w:rPr>
        <w:t xml:space="preserve"> </w:t>
      </w:r>
    </w:p>
    <w:p w14:paraId="5E2D0F4C" w14:textId="13C88858" w:rsidR="00A21496" w:rsidRPr="00316837" w:rsidRDefault="00744D32" w:rsidP="00A21496">
      <w:pPr>
        <w:pStyle w:val="Heading2"/>
      </w:pPr>
      <w:bookmarkStart w:id="55" w:name="_Toc77260297"/>
      <w:r w:rsidRPr="00316837">
        <w:t>SAPP</w:t>
      </w:r>
      <w:bookmarkEnd w:id="55"/>
    </w:p>
    <w:p w14:paraId="63616102" w14:textId="77777777" w:rsidR="00844664" w:rsidRPr="00316837" w:rsidRDefault="00365838" w:rsidP="008547B6">
      <w:r w:rsidRPr="00316837">
        <w:t>SAPP was created as a Power Pool in 1995 on the basis of</w:t>
      </w:r>
      <w:r w:rsidR="00844664" w:rsidRPr="00316837">
        <w:t>:</w:t>
      </w:r>
      <w:r w:rsidRPr="00316837">
        <w:t xml:space="preserve"> </w:t>
      </w:r>
    </w:p>
    <w:p w14:paraId="63A8210C" w14:textId="77777777" w:rsidR="00844664" w:rsidRPr="00316837" w:rsidRDefault="00365838" w:rsidP="006A5033">
      <w:pPr>
        <w:numPr>
          <w:ilvl w:val="0"/>
          <w:numId w:val="51"/>
        </w:numPr>
        <w:tabs>
          <w:tab w:val="num" w:pos="1417"/>
        </w:tabs>
        <w:ind w:left="720"/>
        <w:rPr>
          <w:rFonts w:eastAsia="Calibri"/>
          <w:szCs w:val="22"/>
        </w:rPr>
      </w:pPr>
      <w:r w:rsidRPr="00316837">
        <w:rPr>
          <w:rFonts w:eastAsia="Calibri"/>
          <w:szCs w:val="22"/>
        </w:rPr>
        <w:t xml:space="preserve">the Inter-Governmental Memorandum of Understanding between the SADC Member States (to enable the establishment of a Power Pool in the SADC Region), and </w:t>
      </w:r>
    </w:p>
    <w:p w14:paraId="2F1DD226" w14:textId="083B3D37" w:rsidR="00844664" w:rsidRPr="00316837" w:rsidRDefault="00365838" w:rsidP="006A5033">
      <w:pPr>
        <w:numPr>
          <w:ilvl w:val="0"/>
          <w:numId w:val="51"/>
        </w:numPr>
        <w:tabs>
          <w:tab w:val="num" w:pos="1417"/>
        </w:tabs>
        <w:ind w:left="720"/>
        <w:rPr>
          <w:rFonts w:eastAsia="Calibri"/>
          <w:szCs w:val="22"/>
        </w:rPr>
      </w:pPr>
      <w:r w:rsidRPr="00316837">
        <w:rPr>
          <w:rFonts w:eastAsia="Calibri"/>
          <w:szCs w:val="22"/>
        </w:rPr>
        <w:t xml:space="preserve">the Inter-Utility Memorandum of Understanding between the electricity utilities of the SADC Member States (to establish basic management and operating principles of a Power Pool). </w:t>
      </w:r>
    </w:p>
    <w:p w14:paraId="60402066" w14:textId="77777777" w:rsidR="00844664" w:rsidRPr="00316837" w:rsidRDefault="00365838" w:rsidP="008547B6">
      <w:r w:rsidRPr="00316837">
        <w:t>The</w:t>
      </w:r>
      <w:r w:rsidR="007032D4" w:rsidRPr="00316837">
        <w:t xml:space="preserve"> two Memoranda were revised in 2006 and 2007, respectively. </w:t>
      </w:r>
    </w:p>
    <w:p w14:paraId="3A7A65F3" w14:textId="77777777" w:rsidR="00844664" w:rsidRPr="00316837" w:rsidRDefault="00365838" w:rsidP="008547B6">
      <w:r w:rsidRPr="00316837">
        <w:t>Additionally, SAPP adopted</w:t>
      </w:r>
      <w:r w:rsidR="00844664" w:rsidRPr="00316837">
        <w:t>:</w:t>
      </w:r>
      <w:r w:rsidRPr="00316837">
        <w:t xml:space="preserve"> </w:t>
      </w:r>
    </w:p>
    <w:p w14:paraId="6CB0DD77" w14:textId="77777777" w:rsidR="00844664" w:rsidRPr="00316837" w:rsidRDefault="00365838" w:rsidP="006A5033">
      <w:pPr>
        <w:numPr>
          <w:ilvl w:val="0"/>
          <w:numId w:val="51"/>
        </w:numPr>
        <w:tabs>
          <w:tab w:val="num" w:pos="1417"/>
        </w:tabs>
        <w:ind w:left="720"/>
        <w:rPr>
          <w:rFonts w:eastAsia="Calibri"/>
          <w:szCs w:val="22"/>
        </w:rPr>
      </w:pPr>
      <w:r w:rsidRPr="00316837">
        <w:rPr>
          <w:rFonts w:eastAsia="Calibri"/>
          <w:szCs w:val="22"/>
        </w:rPr>
        <w:t>the Agreement Between Operating Members (to establish the specific rules of operation and pricing)</w:t>
      </w:r>
      <w:r w:rsidR="007032D4" w:rsidRPr="00316837">
        <w:rPr>
          <w:rFonts w:eastAsia="Calibri"/>
          <w:szCs w:val="22"/>
        </w:rPr>
        <w:t xml:space="preserve"> in 1995 (revised in 2008)</w:t>
      </w:r>
      <w:r w:rsidRPr="00316837">
        <w:rPr>
          <w:rFonts w:eastAsia="Calibri"/>
          <w:szCs w:val="22"/>
        </w:rPr>
        <w:t xml:space="preserve">, and </w:t>
      </w:r>
    </w:p>
    <w:p w14:paraId="5537A29B" w14:textId="77777777" w:rsidR="00844664" w:rsidRPr="00316837" w:rsidRDefault="00365838" w:rsidP="006A5033">
      <w:pPr>
        <w:numPr>
          <w:ilvl w:val="0"/>
          <w:numId w:val="51"/>
        </w:numPr>
        <w:tabs>
          <w:tab w:val="num" w:pos="1417"/>
        </w:tabs>
        <w:ind w:left="720"/>
        <w:rPr>
          <w:rFonts w:eastAsia="Calibri"/>
          <w:szCs w:val="22"/>
        </w:rPr>
      </w:pPr>
      <w:r w:rsidRPr="00316837">
        <w:rPr>
          <w:rFonts w:eastAsia="Calibri"/>
          <w:szCs w:val="22"/>
        </w:rPr>
        <w:t>the Operating Guidelines (to provide standards and operating guidelines)</w:t>
      </w:r>
      <w:r w:rsidR="007032D4" w:rsidRPr="00316837">
        <w:rPr>
          <w:rFonts w:eastAsia="Calibri"/>
          <w:szCs w:val="22"/>
        </w:rPr>
        <w:t xml:space="preserve"> in 2014</w:t>
      </w:r>
      <w:r w:rsidRPr="00316837">
        <w:rPr>
          <w:rFonts w:eastAsia="Calibri"/>
          <w:szCs w:val="22"/>
        </w:rPr>
        <w:t xml:space="preserve">. </w:t>
      </w:r>
    </w:p>
    <w:p w14:paraId="2CEC4847" w14:textId="77777777" w:rsidR="00844664" w:rsidRPr="00316837" w:rsidRDefault="00365838" w:rsidP="008547B6">
      <w:r w:rsidRPr="00316837">
        <w:t xml:space="preserve">Also, SAPP adopted the Coordination Centre Constitution. </w:t>
      </w:r>
    </w:p>
    <w:p w14:paraId="35152283" w14:textId="77777777" w:rsidR="00844664" w:rsidRPr="00316837" w:rsidRDefault="00B20265" w:rsidP="008547B6">
      <w:r w:rsidRPr="00316837">
        <w:t>The</w:t>
      </w:r>
      <w:r w:rsidR="00844664" w:rsidRPr="00316837">
        <w:t xml:space="preserve"> above </w:t>
      </w:r>
      <w:r w:rsidRPr="00316837">
        <w:t xml:space="preserve">five agreements govern SAPP as a Specialised Institution of SADC. </w:t>
      </w:r>
    </w:p>
    <w:p w14:paraId="0522EC4B" w14:textId="374890EB" w:rsidR="00365838" w:rsidRPr="00316837" w:rsidRDefault="00365838" w:rsidP="008547B6">
      <w:r w:rsidRPr="00316837">
        <w:t xml:space="preserve">Based on </w:t>
      </w:r>
      <w:r w:rsidR="00B20265" w:rsidRPr="00316837">
        <w:t>the</w:t>
      </w:r>
      <w:r w:rsidRPr="00316837">
        <w:t xml:space="preserve"> Host Country Agreement </w:t>
      </w:r>
      <w:r w:rsidR="00B20265" w:rsidRPr="00316837">
        <w:t xml:space="preserve">between SAPP and the Government of Zimbabwe </w:t>
      </w:r>
      <w:r w:rsidRPr="00316837">
        <w:t xml:space="preserve">from 2006, headquarters of SAPP (i.e. the SAPP Coordination Centre) are in Harare, Zimbabwe. Although SAPP recognises the importance of a regulatory role for its work, no specialised institution of SADC has been established yet as </w:t>
      </w:r>
      <w:r w:rsidR="00844664" w:rsidRPr="00316837">
        <w:t>the</w:t>
      </w:r>
      <w:r w:rsidRPr="00316837">
        <w:t xml:space="preserve"> </w:t>
      </w:r>
      <w:r w:rsidR="00844664" w:rsidRPr="00316837">
        <w:t>r</w:t>
      </w:r>
      <w:r w:rsidRPr="00316837">
        <w:t xml:space="preserve">egional </w:t>
      </w:r>
      <w:r w:rsidR="00844664" w:rsidRPr="00316837">
        <w:t>r</w:t>
      </w:r>
      <w:r w:rsidRPr="00316837">
        <w:t xml:space="preserve">egulatory </w:t>
      </w:r>
      <w:r w:rsidR="00844664" w:rsidRPr="00316837">
        <w:t>a</w:t>
      </w:r>
      <w:r w:rsidRPr="00316837">
        <w:t>uthority</w:t>
      </w:r>
      <w:r w:rsidR="008547B6" w:rsidRPr="00316837">
        <w:t>. However, it</w:t>
      </w:r>
      <w:r w:rsidR="0056640A" w:rsidRPr="00316837">
        <w:t xml:space="preserve"> should be mentioned that SADC has established the Regional Electricity Regulatory Association, which has helped in harmonising the </w:t>
      </w:r>
      <w:r w:rsidR="00844664" w:rsidRPr="00316837">
        <w:t>SADC R</w:t>
      </w:r>
      <w:r w:rsidR="0056640A" w:rsidRPr="00316837">
        <w:t>egion’s regulatory policies on energy and its subsectors</w:t>
      </w:r>
      <w:r w:rsidR="008547B6" w:rsidRPr="00316837">
        <w:t xml:space="preserve"> (i.e. it only has the authority to issue guidelines, without any mandatory obligation on SAPP member states to implement same</w:t>
      </w:r>
      <w:r w:rsidR="0056640A" w:rsidRPr="00316837">
        <w:t>)</w:t>
      </w:r>
      <w:r w:rsidRPr="00316837">
        <w:t xml:space="preserve">. </w:t>
      </w:r>
    </w:p>
    <w:p w14:paraId="1324B5CE" w14:textId="010F1DDD" w:rsidR="00365838" w:rsidRPr="00316837" w:rsidRDefault="00365838" w:rsidP="00365838">
      <w:r w:rsidRPr="00316837">
        <w:t xml:space="preserve">SAPP was established </w:t>
      </w:r>
      <w:r w:rsidR="0056640A" w:rsidRPr="00316837">
        <w:t xml:space="preserve">as an instrument of an official cooperation among the SADC Member States with the objective </w:t>
      </w:r>
      <w:r w:rsidRPr="00316837">
        <w:t>to provide regional solutions to electricity problems in the SADC Region</w:t>
      </w:r>
      <w:r w:rsidR="0056640A" w:rsidRPr="00316837">
        <w:t xml:space="preserve">. It coordinates the planning and operation of the electric power system among member utilities </w:t>
      </w:r>
      <w:r w:rsidRPr="00316837">
        <w:t xml:space="preserve">in response to concerns about </w:t>
      </w:r>
      <w:r w:rsidR="0056640A" w:rsidRPr="00316837">
        <w:t xml:space="preserve">the costs and benefits of electricity generation, as well as </w:t>
      </w:r>
      <w:r w:rsidRPr="00316837">
        <w:t>the lack of strong cross-border transmission lines.</w:t>
      </w:r>
      <w:r w:rsidR="0056640A" w:rsidRPr="00316837">
        <w:t xml:space="preserve"> It aims to </w:t>
      </w:r>
      <w:r w:rsidRPr="00316837">
        <w:t>reduce investment and operating costs of electricity generation while maximising reliability</w:t>
      </w:r>
      <w:r w:rsidR="0056640A" w:rsidRPr="00316837">
        <w:t>, as well as to remove transmission-related barriers</w:t>
      </w:r>
      <w:r w:rsidRPr="00316837">
        <w:t>. SAPP</w:t>
      </w:r>
      <w:r w:rsidR="0056640A" w:rsidRPr="00316837">
        <w:t xml:space="preserve"> also</w:t>
      </w:r>
      <w:r w:rsidRPr="00316837">
        <w:t xml:space="preserve"> addresses soft barriers to entry in both generation and trading in electricity</w:t>
      </w:r>
      <w:r w:rsidR="0056640A" w:rsidRPr="00316837">
        <w:t xml:space="preserve">, which </w:t>
      </w:r>
      <w:r w:rsidRPr="00316837">
        <w:t xml:space="preserve">includes cost-reflective tariffs to sustain current generation levels and routine maintenance. </w:t>
      </w:r>
      <w:r w:rsidR="0056640A" w:rsidRPr="00316837">
        <w:t xml:space="preserve">Moreover, it co-ordinates financial support for transmission projects. </w:t>
      </w:r>
    </w:p>
    <w:p w14:paraId="1399E283" w14:textId="39F12EF0" w:rsidR="00365838" w:rsidRPr="00316837" w:rsidRDefault="0056640A" w:rsidP="00365838">
      <w:bookmarkStart w:id="56" w:name="_Hlk76559959"/>
      <w:r w:rsidRPr="00316837">
        <w:t>Currently</w:t>
      </w:r>
      <w:r w:rsidR="00365838" w:rsidRPr="00316837">
        <w:t xml:space="preserve">, </w:t>
      </w:r>
      <w:r w:rsidRPr="00316837">
        <w:t xml:space="preserve">SAPP covers </w:t>
      </w:r>
      <w:r w:rsidR="00365838" w:rsidRPr="00316837">
        <w:t xml:space="preserve">12 </w:t>
      </w:r>
      <w:r w:rsidRPr="00316837">
        <w:t xml:space="preserve">of the 16 </w:t>
      </w:r>
      <w:r w:rsidR="00365838" w:rsidRPr="00316837">
        <w:t xml:space="preserve">SADC Member States </w:t>
      </w:r>
      <w:r w:rsidR="00040D24" w:rsidRPr="00316837">
        <w:t>(9 of which are interconnected at transmission level and actively operate in SAPP</w:t>
      </w:r>
      <w:r w:rsidR="00047CC7" w:rsidRPr="00316837">
        <w:t>; another 3 are at various stages of joining in the interconnection</w:t>
      </w:r>
      <w:r w:rsidR="00040D24" w:rsidRPr="00316837">
        <w:t xml:space="preserve">) </w:t>
      </w:r>
      <w:r w:rsidRPr="00316837">
        <w:t>and is made up of 17 member</w:t>
      </w:r>
      <w:r w:rsidR="00365838" w:rsidRPr="00316837">
        <w:t xml:space="preserve"> utilities (12 national electricity utilities, 2 independent transmission companies</w:t>
      </w:r>
      <w:r w:rsidRPr="00316837">
        <w:t>,</w:t>
      </w:r>
      <w:r w:rsidR="00365838" w:rsidRPr="00316837">
        <w:t xml:space="preserve"> and 3 independent power producers). </w:t>
      </w:r>
      <w:bookmarkEnd w:id="56"/>
      <w:r w:rsidR="00DE7533" w:rsidRPr="00316837">
        <w:t xml:space="preserve">SAPP member utilities can be either the operating members (i.e. connected through SAPP and members of the regional electricity market), and non-operating members (i.e. not yet connected, but part of SAPP, and not active in the regional electricity market). </w:t>
      </w:r>
      <w:r w:rsidRPr="00316837">
        <w:t xml:space="preserve">All participating member utilities must be situated in a country, which was a member of SADC in September 1994. Full membership is for the national electricity utilities only, and is restricted to one per country as designated by the country's government. Other electricity utilities situated in SADC may become member utilities subject to the approval of the SAPP Executive Committee. </w:t>
      </w:r>
      <w:r w:rsidR="00365838" w:rsidRPr="00316837">
        <w:t>SAPP member</w:t>
      </w:r>
      <w:r w:rsidRPr="00316837">
        <w:t xml:space="preserve"> utilities</w:t>
      </w:r>
      <w:r w:rsidR="00365838" w:rsidRPr="00316837">
        <w:t xml:space="preserve"> have undertaken to share information and knowledge, be politically neutral, and develop common planning and operating criteria and procedures and to accept wheeling on behalf of other members when this is technically and economically feasible. </w:t>
      </w:r>
      <w:r w:rsidRPr="00316837">
        <w:t xml:space="preserve">The SAPP membership application fees amounts to USD 2,500.00 non-refundable and are paid into the SAPP account. </w:t>
      </w:r>
    </w:p>
    <w:p w14:paraId="35097377" w14:textId="16EBE37F" w:rsidR="0056640A" w:rsidRPr="00654753" w:rsidRDefault="0056640A" w:rsidP="0056640A">
      <w:pPr>
        <w:rPr>
          <w:rFonts w:eastAsia="Calibri"/>
          <w:szCs w:val="20"/>
        </w:rPr>
      </w:pPr>
      <w:r w:rsidRPr="00316837">
        <w:rPr>
          <w:rFonts w:eastAsia="Calibri"/>
          <w:szCs w:val="20"/>
        </w:rPr>
        <w:lastRenderedPageBreak/>
        <w:t xml:space="preserve">SAPP’s governing structure has five main levels (see </w:t>
      </w:r>
      <w:r w:rsidRPr="00654753">
        <w:rPr>
          <w:rFonts w:eastAsia="Calibri"/>
          <w:szCs w:val="20"/>
        </w:rPr>
        <w:fldChar w:fldCharType="begin"/>
      </w:r>
      <w:r w:rsidRPr="00316837">
        <w:rPr>
          <w:rFonts w:eastAsia="Calibri"/>
          <w:szCs w:val="20"/>
        </w:rPr>
        <w:instrText xml:space="preserve"> REF _Ref74060445 \h  \* MERGEFORMAT </w:instrText>
      </w:r>
      <w:r w:rsidRPr="00654753">
        <w:rPr>
          <w:rFonts w:eastAsia="Calibri"/>
          <w:szCs w:val="20"/>
        </w:rPr>
      </w:r>
      <w:r w:rsidRPr="00654753">
        <w:rPr>
          <w:rFonts w:eastAsia="Calibri"/>
          <w:szCs w:val="20"/>
        </w:rPr>
        <w:fldChar w:fldCharType="separate"/>
      </w:r>
      <w:r w:rsidR="00703397" w:rsidRPr="00654753">
        <w:rPr>
          <w:rFonts w:cs="Arial"/>
          <w:bCs/>
          <w:szCs w:val="20"/>
        </w:rPr>
        <w:t>Table 3</w:t>
      </w:r>
      <w:r w:rsidR="00703397" w:rsidRPr="00654753">
        <w:rPr>
          <w:rFonts w:cs="Arial"/>
          <w:bCs/>
          <w:szCs w:val="20"/>
        </w:rPr>
        <w:noBreakHyphen/>
        <w:t>1</w:t>
      </w:r>
      <w:r w:rsidRPr="00654753">
        <w:rPr>
          <w:rFonts w:eastAsia="Calibri"/>
          <w:szCs w:val="20"/>
        </w:rPr>
        <w:fldChar w:fldCharType="end"/>
      </w:r>
      <w:r w:rsidRPr="00C632F6">
        <w:rPr>
          <w:rFonts w:eastAsia="Calibri"/>
          <w:szCs w:val="20"/>
        </w:rPr>
        <w:t xml:space="preserve">). </w:t>
      </w:r>
    </w:p>
    <w:p w14:paraId="469F6237" w14:textId="7BCEF18A" w:rsidR="0056640A" w:rsidRPr="00654753" w:rsidRDefault="0056640A" w:rsidP="0056640A">
      <w:pPr>
        <w:suppressAutoHyphens w:val="0"/>
        <w:spacing w:before="120"/>
        <w:ind w:left="1134" w:hanging="1134"/>
        <w:rPr>
          <w:rFonts w:cs="Arial"/>
          <w:bCs/>
          <w:sz w:val="18"/>
          <w:szCs w:val="18"/>
        </w:rPr>
      </w:pPr>
      <w:bookmarkStart w:id="57" w:name="_Ref74060445"/>
      <w:bookmarkStart w:id="58" w:name="_Toc77260238"/>
      <w:r w:rsidRPr="00681DAA">
        <w:rPr>
          <w:rFonts w:cs="Arial"/>
          <w:bCs/>
          <w:sz w:val="18"/>
          <w:szCs w:val="18"/>
        </w:rPr>
        <w:t xml:space="preserve">Table </w:t>
      </w:r>
      <w:r w:rsidRPr="00654753">
        <w:rPr>
          <w:rFonts w:cs="Arial"/>
          <w:bCs/>
          <w:sz w:val="18"/>
          <w:szCs w:val="18"/>
        </w:rPr>
        <w:fldChar w:fldCharType="begin"/>
      </w:r>
      <w:r w:rsidRPr="00316837">
        <w:rPr>
          <w:rFonts w:cs="Arial"/>
          <w:bCs/>
          <w:sz w:val="18"/>
          <w:szCs w:val="18"/>
        </w:rPr>
        <w:instrText xml:space="preserve"> STYLEREF 1 \s </w:instrText>
      </w:r>
      <w:r w:rsidRPr="00654753">
        <w:rPr>
          <w:rFonts w:cs="Arial"/>
          <w:bCs/>
          <w:sz w:val="18"/>
          <w:szCs w:val="18"/>
        </w:rPr>
        <w:fldChar w:fldCharType="separate"/>
      </w:r>
      <w:r w:rsidR="00703397" w:rsidRPr="00654753">
        <w:rPr>
          <w:rFonts w:cs="Arial"/>
          <w:bCs/>
          <w:sz w:val="18"/>
          <w:szCs w:val="18"/>
        </w:rPr>
        <w:t>3</w:t>
      </w:r>
      <w:r w:rsidRPr="00654753">
        <w:rPr>
          <w:rFonts w:cs="Arial"/>
          <w:bCs/>
          <w:sz w:val="18"/>
          <w:szCs w:val="18"/>
        </w:rPr>
        <w:fldChar w:fldCharType="end"/>
      </w:r>
      <w:r w:rsidRPr="00C632F6">
        <w:rPr>
          <w:rFonts w:cs="Arial"/>
          <w:bCs/>
          <w:sz w:val="18"/>
          <w:szCs w:val="18"/>
        </w:rPr>
        <w:noBreakHyphen/>
      </w:r>
      <w:r w:rsidRPr="00654753">
        <w:rPr>
          <w:rFonts w:cs="Arial"/>
          <w:bCs/>
          <w:sz w:val="18"/>
          <w:szCs w:val="18"/>
        </w:rPr>
        <w:fldChar w:fldCharType="begin"/>
      </w:r>
      <w:r w:rsidRPr="00316837">
        <w:rPr>
          <w:rFonts w:cs="Arial"/>
          <w:bCs/>
          <w:sz w:val="18"/>
          <w:szCs w:val="18"/>
        </w:rPr>
        <w:instrText xml:space="preserve"> SEQ Table \* ARABIC \s 1 </w:instrText>
      </w:r>
      <w:r w:rsidRPr="00654753">
        <w:rPr>
          <w:rFonts w:cs="Arial"/>
          <w:bCs/>
          <w:sz w:val="18"/>
          <w:szCs w:val="18"/>
        </w:rPr>
        <w:fldChar w:fldCharType="separate"/>
      </w:r>
      <w:r w:rsidR="00844664" w:rsidRPr="00654753">
        <w:rPr>
          <w:rFonts w:cs="Arial"/>
          <w:bCs/>
          <w:sz w:val="18"/>
          <w:szCs w:val="18"/>
        </w:rPr>
        <w:t>1</w:t>
      </w:r>
      <w:r w:rsidRPr="00654753">
        <w:rPr>
          <w:rFonts w:cs="Arial"/>
          <w:bCs/>
          <w:sz w:val="18"/>
          <w:szCs w:val="18"/>
        </w:rPr>
        <w:fldChar w:fldCharType="end"/>
      </w:r>
      <w:bookmarkEnd w:id="57"/>
      <w:r w:rsidRPr="00C632F6">
        <w:rPr>
          <w:rFonts w:cs="Arial"/>
          <w:bCs/>
          <w:sz w:val="18"/>
          <w:szCs w:val="18"/>
        </w:rPr>
        <w:t>: SAPP’s governing structures</w:t>
      </w:r>
      <w:bookmarkEnd w:id="58"/>
      <w:r w:rsidRPr="00C632F6">
        <w:rPr>
          <w:rFonts w:cs="Arial"/>
          <w:bCs/>
          <w:sz w:val="18"/>
          <w:szCs w:val="18"/>
        </w:rPr>
        <w:t xml:space="preserve"> </w:t>
      </w:r>
    </w:p>
    <w:tbl>
      <w:tblPr>
        <w:tblStyle w:val="TableGrid"/>
        <w:tblW w:w="0" w:type="auto"/>
        <w:tblLook w:val="04A0" w:firstRow="1" w:lastRow="0" w:firstColumn="1" w:lastColumn="0" w:noHBand="0" w:noVBand="1"/>
      </w:tblPr>
      <w:tblGrid>
        <w:gridCol w:w="562"/>
        <w:gridCol w:w="1985"/>
        <w:gridCol w:w="7082"/>
      </w:tblGrid>
      <w:tr w:rsidR="0056640A" w:rsidRPr="00316837" w14:paraId="0FC6009D" w14:textId="77777777" w:rsidTr="00E16180">
        <w:tc>
          <w:tcPr>
            <w:tcW w:w="562" w:type="dxa"/>
            <w:shd w:val="clear" w:color="auto" w:fill="F2F2F2" w:themeFill="background1" w:themeFillShade="F2"/>
          </w:tcPr>
          <w:p w14:paraId="6B87A47B" w14:textId="77777777" w:rsidR="0056640A" w:rsidRPr="006273BD" w:rsidRDefault="0056640A" w:rsidP="0056640A">
            <w:pPr>
              <w:spacing w:before="120" w:after="120"/>
              <w:jc w:val="left"/>
              <w:rPr>
                <w:rFonts w:eastAsia="Calibri"/>
                <w:b/>
                <w:bCs/>
                <w:sz w:val="18"/>
                <w:szCs w:val="18"/>
              </w:rPr>
            </w:pPr>
            <w:r w:rsidRPr="006273BD">
              <w:rPr>
                <w:rFonts w:eastAsia="Calibri"/>
                <w:b/>
                <w:bCs/>
                <w:sz w:val="18"/>
                <w:szCs w:val="18"/>
              </w:rPr>
              <w:t>No.</w:t>
            </w:r>
          </w:p>
        </w:tc>
        <w:tc>
          <w:tcPr>
            <w:tcW w:w="1985" w:type="dxa"/>
            <w:shd w:val="clear" w:color="auto" w:fill="F2F2F2" w:themeFill="background1" w:themeFillShade="F2"/>
          </w:tcPr>
          <w:p w14:paraId="4DBDEDFB" w14:textId="5B35E866" w:rsidR="0056640A" w:rsidRPr="006273BD" w:rsidRDefault="0056640A" w:rsidP="0056640A">
            <w:pPr>
              <w:spacing w:before="120" w:after="120"/>
              <w:jc w:val="left"/>
              <w:rPr>
                <w:rFonts w:eastAsia="Calibri"/>
                <w:b/>
                <w:bCs/>
                <w:sz w:val="18"/>
                <w:szCs w:val="18"/>
              </w:rPr>
            </w:pPr>
            <w:r w:rsidRPr="006273BD">
              <w:rPr>
                <w:rFonts w:eastAsia="Calibri"/>
                <w:b/>
                <w:bCs/>
                <w:sz w:val="18"/>
                <w:szCs w:val="18"/>
              </w:rPr>
              <w:t xml:space="preserve">Organ </w:t>
            </w:r>
          </w:p>
        </w:tc>
        <w:tc>
          <w:tcPr>
            <w:tcW w:w="7082" w:type="dxa"/>
            <w:shd w:val="clear" w:color="auto" w:fill="F2F2F2" w:themeFill="background1" w:themeFillShade="F2"/>
          </w:tcPr>
          <w:p w14:paraId="0A5F9439" w14:textId="77777777" w:rsidR="0056640A" w:rsidRPr="006273BD" w:rsidRDefault="0056640A" w:rsidP="0056640A">
            <w:pPr>
              <w:spacing w:before="120" w:after="120"/>
              <w:jc w:val="left"/>
              <w:rPr>
                <w:rFonts w:eastAsia="Calibri"/>
                <w:b/>
                <w:bCs/>
                <w:sz w:val="18"/>
                <w:szCs w:val="18"/>
              </w:rPr>
            </w:pPr>
            <w:r w:rsidRPr="006273BD">
              <w:rPr>
                <w:rFonts w:eastAsia="Calibri"/>
                <w:b/>
                <w:bCs/>
                <w:sz w:val="18"/>
                <w:szCs w:val="18"/>
              </w:rPr>
              <w:t>Description</w:t>
            </w:r>
          </w:p>
        </w:tc>
      </w:tr>
      <w:tr w:rsidR="0056640A" w:rsidRPr="00316837" w14:paraId="660B5551" w14:textId="77777777" w:rsidTr="00E16180">
        <w:tc>
          <w:tcPr>
            <w:tcW w:w="562" w:type="dxa"/>
          </w:tcPr>
          <w:p w14:paraId="3A123976" w14:textId="77777777" w:rsidR="0056640A" w:rsidRPr="00316837" w:rsidRDefault="0056640A" w:rsidP="0056640A">
            <w:pPr>
              <w:spacing w:before="120" w:after="120"/>
              <w:jc w:val="left"/>
              <w:rPr>
                <w:rFonts w:eastAsia="Calibri"/>
                <w:sz w:val="18"/>
                <w:szCs w:val="18"/>
              </w:rPr>
            </w:pPr>
            <w:r w:rsidRPr="00316837">
              <w:rPr>
                <w:rFonts w:eastAsia="Calibri"/>
                <w:sz w:val="18"/>
                <w:szCs w:val="18"/>
              </w:rPr>
              <w:t>1</w:t>
            </w:r>
          </w:p>
        </w:tc>
        <w:tc>
          <w:tcPr>
            <w:tcW w:w="1985" w:type="dxa"/>
          </w:tcPr>
          <w:p w14:paraId="68334712" w14:textId="2C6E835E" w:rsidR="0056640A" w:rsidRPr="00316837" w:rsidRDefault="0056640A" w:rsidP="0056640A">
            <w:pPr>
              <w:spacing w:before="120" w:after="120"/>
              <w:jc w:val="left"/>
              <w:rPr>
                <w:rFonts w:eastAsia="Calibri"/>
                <w:sz w:val="18"/>
                <w:szCs w:val="18"/>
              </w:rPr>
            </w:pPr>
            <w:r w:rsidRPr="00316837">
              <w:rPr>
                <w:rFonts w:eastAsia="Calibri"/>
                <w:sz w:val="18"/>
                <w:szCs w:val="18"/>
              </w:rPr>
              <w:t>SADC Directorate of Infrastructure and Service</w:t>
            </w:r>
          </w:p>
        </w:tc>
        <w:tc>
          <w:tcPr>
            <w:tcW w:w="7082" w:type="dxa"/>
          </w:tcPr>
          <w:p w14:paraId="123A6A43" w14:textId="08288AE2" w:rsidR="0056640A" w:rsidRPr="00316837" w:rsidRDefault="0056640A" w:rsidP="0056640A">
            <w:pPr>
              <w:spacing w:before="120" w:after="120"/>
              <w:jc w:val="left"/>
              <w:rPr>
                <w:rFonts w:eastAsia="Calibri"/>
                <w:sz w:val="18"/>
                <w:szCs w:val="18"/>
              </w:rPr>
            </w:pPr>
            <w:r w:rsidRPr="00316837">
              <w:rPr>
                <w:rFonts w:eastAsia="Calibri"/>
                <w:sz w:val="18"/>
                <w:szCs w:val="18"/>
              </w:rPr>
              <w:t xml:space="preserve">Facilitates, through strategic expertise, the provision of adequate, integrated and cost-efficient infrastructure and related services to support regional integration and poverty eradication. </w:t>
            </w:r>
          </w:p>
        </w:tc>
      </w:tr>
      <w:tr w:rsidR="0056640A" w:rsidRPr="00316837" w14:paraId="5F21F23A" w14:textId="77777777" w:rsidTr="00E16180">
        <w:tc>
          <w:tcPr>
            <w:tcW w:w="562" w:type="dxa"/>
          </w:tcPr>
          <w:p w14:paraId="5BD5017B" w14:textId="77777777" w:rsidR="0056640A" w:rsidRPr="00316837" w:rsidRDefault="0056640A" w:rsidP="0056640A">
            <w:pPr>
              <w:spacing w:before="120" w:after="120"/>
              <w:jc w:val="left"/>
              <w:rPr>
                <w:rFonts w:eastAsia="Calibri"/>
                <w:sz w:val="18"/>
                <w:szCs w:val="18"/>
              </w:rPr>
            </w:pPr>
            <w:r w:rsidRPr="00316837">
              <w:rPr>
                <w:rFonts w:eastAsia="Calibri"/>
                <w:sz w:val="18"/>
                <w:szCs w:val="18"/>
              </w:rPr>
              <w:t>2</w:t>
            </w:r>
          </w:p>
        </w:tc>
        <w:tc>
          <w:tcPr>
            <w:tcW w:w="1985" w:type="dxa"/>
          </w:tcPr>
          <w:p w14:paraId="15A6AB98" w14:textId="3F48685E" w:rsidR="0056640A" w:rsidRPr="00316837" w:rsidRDefault="0056640A" w:rsidP="0056640A">
            <w:pPr>
              <w:spacing w:before="120" w:after="120"/>
              <w:jc w:val="left"/>
              <w:rPr>
                <w:rFonts w:eastAsia="Calibri"/>
                <w:sz w:val="18"/>
                <w:szCs w:val="18"/>
              </w:rPr>
            </w:pPr>
            <w:r w:rsidRPr="00316837">
              <w:rPr>
                <w:rFonts w:eastAsia="Calibri"/>
                <w:sz w:val="18"/>
                <w:szCs w:val="18"/>
              </w:rPr>
              <w:t>Executive Committee</w:t>
            </w:r>
          </w:p>
        </w:tc>
        <w:tc>
          <w:tcPr>
            <w:tcW w:w="7082" w:type="dxa"/>
          </w:tcPr>
          <w:p w14:paraId="3611ACE1" w14:textId="68E1A9BC" w:rsidR="0056640A" w:rsidRPr="00316837" w:rsidRDefault="0056640A" w:rsidP="0056640A">
            <w:pPr>
              <w:spacing w:before="120" w:after="120"/>
              <w:jc w:val="left"/>
              <w:rPr>
                <w:rFonts w:eastAsia="Calibri"/>
                <w:sz w:val="18"/>
                <w:szCs w:val="18"/>
              </w:rPr>
            </w:pPr>
            <w:r w:rsidRPr="00316837">
              <w:rPr>
                <w:rFonts w:eastAsia="Calibri"/>
                <w:sz w:val="18"/>
                <w:szCs w:val="18"/>
              </w:rPr>
              <w:t>Acts as the Board of SAPP and is the authority governing the coordination and formulating the objectives of SAPP. Specifies and amends from time to time the duties of the Management Committee, the Sub-Committees and any Working Group or Task Force, which may be established. Composed of the Chief Executives of only member utilities which generate wholesale and retail electricity to final customers. A country with more than one utility meeting these requirements is required to designate one utility to represent it on the Executive Committee. Has a chairperson who holds office for a period of at least one year, but not more than three years. The chairmanship rotates among the member utilities which are signatories of the Agreement Between Operating Members.</w:t>
            </w:r>
            <w:r w:rsidR="001D4932" w:rsidRPr="00316837">
              <w:rPr>
                <w:rFonts w:eastAsia="Calibri"/>
                <w:sz w:val="18"/>
                <w:szCs w:val="18"/>
              </w:rPr>
              <w:t xml:space="preserve"> </w:t>
            </w:r>
          </w:p>
        </w:tc>
      </w:tr>
      <w:tr w:rsidR="0056640A" w:rsidRPr="00316837" w14:paraId="5B384147" w14:textId="77777777" w:rsidTr="00E16180">
        <w:tc>
          <w:tcPr>
            <w:tcW w:w="562" w:type="dxa"/>
          </w:tcPr>
          <w:p w14:paraId="255BB848" w14:textId="180FABBF" w:rsidR="0056640A" w:rsidRPr="00316837" w:rsidRDefault="0056640A" w:rsidP="0056640A">
            <w:pPr>
              <w:spacing w:before="120" w:after="120"/>
              <w:jc w:val="left"/>
              <w:rPr>
                <w:rFonts w:eastAsia="Calibri"/>
                <w:sz w:val="18"/>
                <w:szCs w:val="18"/>
              </w:rPr>
            </w:pPr>
            <w:r w:rsidRPr="00316837">
              <w:rPr>
                <w:rFonts w:eastAsia="Calibri"/>
                <w:sz w:val="18"/>
                <w:szCs w:val="18"/>
              </w:rPr>
              <w:t xml:space="preserve">3 </w:t>
            </w:r>
          </w:p>
        </w:tc>
        <w:tc>
          <w:tcPr>
            <w:tcW w:w="1985" w:type="dxa"/>
          </w:tcPr>
          <w:p w14:paraId="4AB96332" w14:textId="1325154F" w:rsidR="0056640A" w:rsidRPr="00316837" w:rsidRDefault="0056640A" w:rsidP="0056640A">
            <w:pPr>
              <w:spacing w:before="120" w:after="120"/>
              <w:jc w:val="left"/>
              <w:rPr>
                <w:rFonts w:eastAsia="Calibri"/>
                <w:sz w:val="18"/>
                <w:szCs w:val="18"/>
              </w:rPr>
            </w:pPr>
            <w:r w:rsidRPr="00316837">
              <w:rPr>
                <w:rFonts w:eastAsia="Calibri"/>
                <w:sz w:val="18"/>
                <w:szCs w:val="18"/>
              </w:rPr>
              <w:t>Management Committee</w:t>
            </w:r>
          </w:p>
        </w:tc>
        <w:tc>
          <w:tcPr>
            <w:tcW w:w="7082" w:type="dxa"/>
          </w:tcPr>
          <w:p w14:paraId="451F421E" w14:textId="78E7A5FF" w:rsidR="0056640A" w:rsidRPr="00316837" w:rsidRDefault="0056640A" w:rsidP="0056640A">
            <w:pPr>
              <w:spacing w:before="120" w:after="120"/>
              <w:jc w:val="left"/>
              <w:rPr>
                <w:rFonts w:eastAsia="Calibri"/>
                <w:sz w:val="18"/>
                <w:szCs w:val="18"/>
              </w:rPr>
            </w:pPr>
            <w:r w:rsidRPr="00316837">
              <w:rPr>
                <w:rFonts w:eastAsia="Calibri"/>
                <w:sz w:val="18"/>
                <w:szCs w:val="18"/>
              </w:rPr>
              <w:t xml:space="preserve">Reports to the Executive Committee. Oversees the work and decides on the recommendations of the Sub-Committees and the Coordination Centre Board. </w:t>
            </w:r>
            <w:r w:rsidR="00C41545" w:rsidRPr="00316837">
              <w:rPr>
                <w:rFonts w:eastAsia="Calibri"/>
                <w:sz w:val="18"/>
                <w:szCs w:val="18"/>
              </w:rPr>
              <w:t xml:space="preserve">Makes all decisions on the matters not specifically delegated to the Sub-Committees. </w:t>
            </w:r>
            <w:r w:rsidRPr="00316837">
              <w:rPr>
                <w:rFonts w:eastAsia="Calibri"/>
                <w:sz w:val="18"/>
                <w:szCs w:val="18"/>
              </w:rPr>
              <w:t>Also comprises the Crime and Prevention Working Group, which implements strategies to combat theft/vandalization of electricity infrastructure in its member utilities.</w:t>
            </w:r>
            <w:r w:rsidRPr="00316837">
              <w:t xml:space="preserve"> </w:t>
            </w:r>
          </w:p>
        </w:tc>
      </w:tr>
      <w:tr w:rsidR="0056640A" w:rsidRPr="00316837" w14:paraId="3A2E8F53" w14:textId="77777777" w:rsidTr="00E16180">
        <w:tc>
          <w:tcPr>
            <w:tcW w:w="562" w:type="dxa"/>
          </w:tcPr>
          <w:p w14:paraId="345687A4" w14:textId="2D8AD2D4" w:rsidR="0056640A" w:rsidRPr="00316837" w:rsidRDefault="0056640A" w:rsidP="0056640A">
            <w:pPr>
              <w:spacing w:before="120" w:after="120"/>
              <w:jc w:val="left"/>
              <w:rPr>
                <w:rFonts w:eastAsia="Calibri"/>
                <w:sz w:val="18"/>
                <w:szCs w:val="18"/>
              </w:rPr>
            </w:pPr>
            <w:r w:rsidRPr="00316837">
              <w:rPr>
                <w:rFonts w:eastAsia="Calibri"/>
                <w:sz w:val="18"/>
                <w:szCs w:val="18"/>
              </w:rPr>
              <w:t>4</w:t>
            </w:r>
          </w:p>
        </w:tc>
        <w:tc>
          <w:tcPr>
            <w:tcW w:w="1985" w:type="dxa"/>
          </w:tcPr>
          <w:p w14:paraId="769E7FFB" w14:textId="0EAEE0F6" w:rsidR="0056640A" w:rsidRPr="00316837" w:rsidRDefault="0056640A" w:rsidP="0056640A">
            <w:pPr>
              <w:spacing w:before="120" w:after="120"/>
              <w:jc w:val="left"/>
              <w:rPr>
                <w:rFonts w:eastAsia="Calibri"/>
                <w:sz w:val="18"/>
                <w:szCs w:val="18"/>
              </w:rPr>
            </w:pPr>
            <w:r w:rsidRPr="00316837">
              <w:rPr>
                <w:rFonts w:eastAsia="Calibri"/>
                <w:sz w:val="18"/>
                <w:szCs w:val="18"/>
              </w:rPr>
              <w:t>Sub-Committees</w:t>
            </w:r>
          </w:p>
        </w:tc>
        <w:tc>
          <w:tcPr>
            <w:tcW w:w="7082" w:type="dxa"/>
          </w:tcPr>
          <w:p w14:paraId="6EF92210" w14:textId="49A8FC8D" w:rsidR="0056640A" w:rsidRPr="00316837" w:rsidRDefault="00C41545" w:rsidP="0056640A">
            <w:pPr>
              <w:spacing w:before="120" w:after="120"/>
              <w:jc w:val="left"/>
              <w:rPr>
                <w:rFonts w:eastAsia="Calibri"/>
                <w:sz w:val="18"/>
                <w:szCs w:val="18"/>
              </w:rPr>
            </w:pPr>
            <w:r w:rsidRPr="00316837">
              <w:rPr>
                <w:rFonts w:eastAsia="Calibri"/>
                <w:sz w:val="18"/>
                <w:szCs w:val="18"/>
              </w:rPr>
              <w:t>Function u</w:t>
            </w:r>
            <w:r w:rsidR="0056640A" w:rsidRPr="00316837">
              <w:rPr>
                <w:rFonts w:eastAsia="Calibri"/>
                <w:sz w:val="18"/>
                <w:szCs w:val="18"/>
              </w:rPr>
              <w:t xml:space="preserve">nder the Management Committee. </w:t>
            </w:r>
            <w:r w:rsidRPr="00316837">
              <w:rPr>
                <w:rFonts w:eastAsia="Calibri"/>
                <w:sz w:val="18"/>
                <w:szCs w:val="18"/>
              </w:rPr>
              <w:t xml:space="preserve">Alert and advise the Management Committee on best practices and related issues in their domains. Currently, there are four Sub-Committees: </w:t>
            </w:r>
          </w:p>
          <w:p w14:paraId="5B36F7AF" w14:textId="77777777" w:rsidR="0056640A" w:rsidRPr="00316837" w:rsidRDefault="0056640A" w:rsidP="00AB7DB1">
            <w:pPr>
              <w:numPr>
                <w:ilvl w:val="0"/>
                <w:numId w:val="21"/>
              </w:numPr>
              <w:spacing w:before="120" w:after="120"/>
              <w:jc w:val="left"/>
              <w:rPr>
                <w:rFonts w:eastAsia="Calibri"/>
                <w:sz w:val="18"/>
                <w:szCs w:val="18"/>
              </w:rPr>
            </w:pPr>
            <w:r w:rsidRPr="00316837">
              <w:rPr>
                <w:rFonts w:eastAsia="Calibri"/>
                <w:sz w:val="18"/>
                <w:szCs w:val="18"/>
              </w:rPr>
              <w:t xml:space="preserve">Markets Sub-Committee, </w:t>
            </w:r>
          </w:p>
          <w:p w14:paraId="72A70913" w14:textId="68A8B6CA" w:rsidR="0056640A" w:rsidRPr="00316837" w:rsidRDefault="0056640A" w:rsidP="00AB7DB1">
            <w:pPr>
              <w:numPr>
                <w:ilvl w:val="0"/>
                <w:numId w:val="21"/>
              </w:numPr>
              <w:spacing w:before="120" w:after="120"/>
              <w:jc w:val="left"/>
              <w:rPr>
                <w:rFonts w:eastAsia="Calibri"/>
                <w:sz w:val="18"/>
                <w:szCs w:val="18"/>
              </w:rPr>
            </w:pPr>
            <w:r w:rsidRPr="00316837">
              <w:rPr>
                <w:rFonts w:eastAsia="Calibri"/>
                <w:sz w:val="18"/>
                <w:szCs w:val="18"/>
              </w:rPr>
              <w:t xml:space="preserve">Operating Sub-Committee, </w:t>
            </w:r>
          </w:p>
          <w:p w14:paraId="185A380E" w14:textId="77777777" w:rsidR="00C41545" w:rsidRPr="00316837" w:rsidRDefault="0056640A" w:rsidP="00AB7DB1">
            <w:pPr>
              <w:numPr>
                <w:ilvl w:val="0"/>
                <w:numId w:val="21"/>
              </w:numPr>
              <w:spacing w:before="120" w:after="120"/>
              <w:jc w:val="left"/>
              <w:rPr>
                <w:rFonts w:eastAsia="Calibri"/>
                <w:sz w:val="18"/>
                <w:szCs w:val="18"/>
              </w:rPr>
            </w:pPr>
            <w:r w:rsidRPr="00316837">
              <w:rPr>
                <w:rFonts w:eastAsia="Calibri"/>
                <w:sz w:val="18"/>
                <w:szCs w:val="18"/>
              </w:rPr>
              <w:t>Planning Sub-Committee</w:t>
            </w:r>
            <w:r w:rsidR="00C41545" w:rsidRPr="00316837">
              <w:rPr>
                <w:rFonts w:eastAsia="Calibri"/>
                <w:sz w:val="18"/>
                <w:szCs w:val="18"/>
              </w:rPr>
              <w:t xml:space="preserve">, and </w:t>
            </w:r>
          </w:p>
          <w:p w14:paraId="2020BB34" w14:textId="22D906EB" w:rsidR="00C41545" w:rsidRPr="00316837" w:rsidRDefault="00C41545" w:rsidP="00AB7DB1">
            <w:pPr>
              <w:numPr>
                <w:ilvl w:val="0"/>
                <w:numId w:val="21"/>
              </w:numPr>
              <w:spacing w:before="120" w:after="120"/>
              <w:jc w:val="left"/>
              <w:rPr>
                <w:rFonts w:eastAsia="Calibri"/>
                <w:sz w:val="18"/>
                <w:szCs w:val="18"/>
              </w:rPr>
            </w:pPr>
            <w:r w:rsidRPr="00316837">
              <w:rPr>
                <w:rFonts w:eastAsia="Calibri"/>
                <w:sz w:val="18"/>
                <w:szCs w:val="18"/>
              </w:rPr>
              <w:t xml:space="preserve">Environmental Sub-Committee. </w:t>
            </w:r>
          </w:p>
          <w:p w14:paraId="6C8B61A9" w14:textId="659D6CA1" w:rsidR="0056640A" w:rsidRPr="00316837" w:rsidRDefault="00C41545" w:rsidP="00C41545">
            <w:pPr>
              <w:spacing w:before="120" w:after="120"/>
              <w:jc w:val="left"/>
              <w:rPr>
                <w:rFonts w:eastAsia="Calibri"/>
                <w:sz w:val="18"/>
                <w:szCs w:val="18"/>
              </w:rPr>
            </w:pPr>
            <w:r w:rsidRPr="00316837">
              <w:rPr>
                <w:rFonts w:eastAsia="Calibri"/>
                <w:sz w:val="18"/>
                <w:szCs w:val="18"/>
              </w:rPr>
              <w:t>The activities and functions of the Sub-Committees are contained in the SAPP Inter-Utility Memorandum of Understanding.</w:t>
            </w:r>
          </w:p>
        </w:tc>
      </w:tr>
      <w:tr w:rsidR="0056640A" w:rsidRPr="00316837" w14:paraId="49BC5B2A" w14:textId="77777777" w:rsidTr="00E16180">
        <w:tc>
          <w:tcPr>
            <w:tcW w:w="562" w:type="dxa"/>
          </w:tcPr>
          <w:p w14:paraId="451E0D22" w14:textId="5A023991" w:rsidR="0056640A" w:rsidRPr="00316837" w:rsidRDefault="0056640A" w:rsidP="0056640A">
            <w:pPr>
              <w:spacing w:before="120" w:after="120"/>
              <w:jc w:val="left"/>
              <w:rPr>
                <w:rFonts w:eastAsia="Calibri"/>
                <w:sz w:val="18"/>
                <w:szCs w:val="18"/>
              </w:rPr>
            </w:pPr>
            <w:r w:rsidRPr="00316837">
              <w:rPr>
                <w:rFonts w:eastAsia="Calibri"/>
                <w:sz w:val="18"/>
                <w:szCs w:val="18"/>
              </w:rPr>
              <w:t>5</w:t>
            </w:r>
          </w:p>
        </w:tc>
        <w:tc>
          <w:tcPr>
            <w:tcW w:w="1985" w:type="dxa"/>
          </w:tcPr>
          <w:p w14:paraId="2CEAB648" w14:textId="38C7D08A" w:rsidR="0056640A" w:rsidRPr="00316837" w:rsidRDefault="0056640A" w:rsidP="0056640A">
            <w:pPr>
              <w:spacing w:before="120" w:after="120"/>
              <w:jc w:val="left"/>
              <w:rPr>
                <w:rFonts w:eastAsia="Calibri"/>
                <w:sz w:val="18"/>
                <w:szCs w:val="18"/>
              </w:rPr>
            </w:pPr>
            <w:r w:rsidRPr="00316837">
              <w:rPr>
                <w:rFonts w:eastAsia="Calibri"/>
                <w:sz w:val="18"/>
                <w:szCs w:val="18"/>
              </w:rPr>
              <w:t>Coordination Centre Board</w:t>
            </w:r>
          </w:p>
        </w:tc>
        <w:tc>
          <w:tcPr>
            <w:tcW w:w="7082" w:type="dxa"/>
          </w:tcPr>
          <w:p w14:paraId="435FB555" w14:textId="54308B03" w:rsidR="0056640A" w:rsidRPr="00316837" w:rsidRDefault="00C41545" w:rsidP="0056640A">
            <w:pPr>
              <w:spacing w:before="120" w:after="120"/>
              <w:jc w:val="left"/>
              <w:rPr>
                <w:rFonts w:eastAsia="Calibri"/>
                <w:sz w:val="18"/>
                <w:szCs w:val="18"/>
              </w:rPr>
            </w:pPr>
            <w:r w:rsidRPr="00316837">
              <w:rPr>
                <w:rFonts w:eastAsia="Calibri"/>
                <w:sz w:val="18"/>
                <w:szCs w:val="18"/>
              </w:rPr>
              <w:t>Functions u</w:t>
            </w:r>
            <w:r w:rsidR="0056640A" w:rsidRPr="00316837">
              <w:rPr>
                <w:rFonts w:eastAsia="Calibri"/>
                <w:sz w:val="18"/>
                <w:szCs w:val="18"/>
              </w:rPr>
              <w:t xml:space="preserve">nder the Management Committee. Supervises the work of the Coordination Centre and the Project Advisory Unit. </w:t>
            </w:r>
          </w:p>
        </w:tc>
      </w:tr>
    </w:tbl>
    <w:p w14:paraId="72C769B5" w14:textId="276712D1" w:rsidR="00367FC8" w:rsidRPr="00316837" w:rsidRDefault="009337DC" w:rsidP="00365838">
      <w:pPr>
        <w:rPr>
          <w:szCs w:val="20"/>
        </w:rPr>
      </w:pPr>
      <w:r w:rsidRPr="00316837">
        <w:rPr>
          <w:szCs w:val="20"/>
        </w:rPr>
        <w:t xml:space="preserve">Duties of the Coordination Centre and its Sub-Committees of importance for technical and operational readiness (i.e. Operating, Planning and Market) are well defined </w:t>
      </w:r>
      <w:r w:rsidR="006E7A59" w:rsidRPr="00316837">
        <w:rPr>
          <w:szCs w:val="20"/>
        </w:rPr>
        <w:t xml:space="preserve">for the purpose of electricity trading </w:t>
      </w:r>
      <w:r w:rsidRPr="00316837">
        <w:rPr>
          <w:szCs w:val="20"/>
        </w:rPr>
        <w:t>(see</w:t>
      </w:r>
      <w:r w:rsidR="00507C15">
        <w:rPr>
          <w:szCs w:val="20"/>
        </w:rPr>
        <w:t xml:space="preserve"> Annex </w:t>
      </w:r>
      <w:r w:rsidR="00507C15">
        <w:rPr>
          <w:szCs w:val="20"/>
        </w:rPr>
        <w:fldChar w:fldCharType="begin"/>
      </w:r>
      <w:r w:rsidR="00507C15">
        <w:rPr>
          <w:szCs w:val="20"/>
        </w:rPr>
        <w:instrText xml:space="preserve"> REF _Ref77253334 \w \h </w:instrText>
      </w:r>
      <w:r w:rsidR="00507C15">
        <w:rPr>
          <w:szCs w:val="20"/>
        </w:rPr>
      </w:r>
      <w:r w:rsidR="00507C15">
        <w:rPr>
          <w:szCs w:val="20"/>
        </w:rPr>
        <w:fldChar w:fldCharType="separate"/>
      </w:r>
      <w:r w:rsidR="00507C15">
        <w:rPr>
          <w:szCs w:val="20"/>
        </w:rPr>
        <w:t>8.1</w:t>
      </w:r>
      <w:r w:rsidR="00507C15">
        <w:rPr>
          <w:szCs w:val="20"/>
        </w:rPr>
        <w:fldChar w:fldCharType="end"/>
      </w:r>
      <w:r w:rsidRPr="00C632F6">
        <w:rPr>
          <w:szCs w:val="20"/>
        </w:rPr>
        <w:t xml:space="preserve">). </w:t>
      </w:r>
      <w:r w:rsidR="006E7A59" w:rsidRPr="00654753">
        <w:rPr>
          <w:szCs w:val="20"/>
        </w:rPr>
        <w:t>It should be noted that a unique feature of electricity trading in the SADC Region is that SAPP is based on the previously mentioned agreements and the above governing structure,</w:t>
      </w:r>
      <w:r w:rsidR="006E7A59" w:rsidRPr="00316837">
        <w:rPr>
          <w:szCs w:val="20"/>
        </w:rPr>
        <w:t xml:space="preserve"> rather than law/Directive (as the case is in WAPP of the ECOWAS Region). However, the Inter-Governmental Memorandum of Understanding establishes that the SAPP agreements must be interpreted in a manner consistent with the SADC Treaty and that the final and binding dispute resolution forum is the SADC Tribunal. </w:t>
      </w:r>
    </w:p>
    <w:p w14:paraId="6FB4B744" w14:textId="77777777" w:rsidR="00507C15" w:rsidRDefault="00656D94" w:rsidP="00365838">
      <w:r w:rsidRPr="00C632F6">
        <w:t>Back in 1995, the lack of strong cross-border transmission lines was more than obvious. Transmission-wise, at that time, the SADC Region was divided for practical purposes into a northern sector where base load was supplied primarily from hydro power plant</w:t>
      </w:r>
      <w:r w:rsidRPr="00316837">
        <w:t xml:space="preserve">s, and a southern sector where base load was supplied primarily by coal-fired thermal power plants. Since its inception, SAPP has made efforts to link the northern and southern </w:t>
      </w:r>
      <w:r w:rsidRPr="00316837">
        <w:rPr>
          <w:szCs w:val="20"/>
        </w:rPr>
        <w:t xml:space="preserve">sectors into a coherent regional transmission system (see </w:t>
      </w:r>
      <w:r w:rsidRPr="00681DAA">
        <w:rPr>
          <w:szCs w:val="20"/>
        </w:rPr>
        <w:fldChar w:fldCharType="begin"/>
      </w:r>
      <w:r w:rsidRPr="00316837">
        <w:rPr>
          <w:szCs w:val="20"/>
        </w:rPr>
        <w:instrText xml:space="preserve"> REF _Ref74147911 \h  \* MERGEFORMAT </w:instrText>
      </w:r>
      <w:r w:rsidRPr="00681DAA">
        <w:rPr>
          <w:szCs w:val="20"/>
        </w:rPr>
      </w:r>
      <w:r w:rsidRPr="00681DAA">
        <w:rPr>
          <w:szCs w:val="20"/>
        </w:rPr>
        <w:fldChar w:fldCharType="separate"/>
      </w:r>
      <w:r w:rsidR="00703397" w:rsidRPr="00681DAA">
        <w:rPr>
          <w:rFonts w:eastAsia="Calibri"/>
          <w:bCs/>
          <w:szCs w:val="20"/>
        </w:rPr>
        <w:t>Figure 3</w:t>
      </w:r>
      <w:r w:rsidR="00703397" w:rsidRPr="00681DAA">
        <w:rPr>
          <w:rFonts w:eastAsia="Calibri"/>
          <w:bCs/>
          <w:szCs w:val="20"/>
        </w:rPr>
        <w:noBreakHyphen/>
        <w:t>1</w:t>
      </w:r>
      <w:r w:rsidRPr="00681DAA">
        <w:rPr>
          <w:szCs w:val="20"/>
        </w:rPr>
        <w:fldChar w:fldCharType="end"/>
      </w:r>
      <w:r w:rsidRPr="00C632F6">
        <w:rPr>
          <w:szCs w:val="20"/>
        </w:rPr>
        <w:t>)</w:t>
      </w:r>
      <w:r w:rsidR="00507C15">
        <w:rPr>
          <w:szCs w:val="20"/>
        </w:rPr>
        <w:t>,</w:t>
      </w:r>
      <w:r w:rsidRPr="00C632F6">
        <w:rPr>
          <w:szCs w:val="20"/>
        </w:rPr>
        <w:t xml:space="preserve"> and has been a major force in rationalising</w:t>
      </w:r>
      <w:r w:rsidRPr="00316837">
        <w:t xml:space="preserve"> the SADC Region’s electricity generation and transmission operations, including co-ordinating financial support for transmission projects. </w:t>
      </w:r>
    </w:p>
    <w:p w14:paraId="650B8483" w14:textId="288C3581" w:rsidR="006E7A59" w:rsidRPr="00C632F6" w:rsidRDefault="00656D94" w:rsidP="006273BD">
      <w:pPr>
        <w:jc w:val="center"/>
      </w:pPr>
      <w:r w:rsidRPr="006273BD">
        <w:rPr>
          <w:noProof/>
          <w:lang w:eastAsia="en-GB"/>
        </w:rPr>
        <w:lastRenderedPageBreak/>
        <w:drawing>
          <wp:inline distT="0" distB="0" distL="0" distR="0" wp14:anchorId="25ED5F5F" wp14:editId="20CCA567">
            <wp:extent cx="4302474" cy="349576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9084" cy="3501130"/>
                    </a:xfrm>
                    <a:prstGeom prst="rect">
                      <a:avLst/>
                    </a:prstGeom>
                  </pic:spPr>
                </pic:pic>
              </a:graphicData>
            </a:graphic>
          </wp:inline>
        </w:drawing>
      </w:r>
    </w:p>
    <w:p w14:paraId="6AE43D39" w14:textId="2AE9DC89" w:rsidR="00656D94" w:rsidRPr="00681DAA" w:rsidRDefault="00656D94" w:rsidP="00656D94">
      <w:pPr>
        <w:rPr>
          <w:rFonts w:eastAsia="Calibri"/>
          <w:bCs/>
          <w:sz w:val="18"/>
          <w:szCs w:val="18"/>
        </w:rPr>
      </w:pPr>
      <w:bookmarkStart w:id="59" w:name="_Ref74147911"/>
      <w:bookmarkStart w:id="60" w:name="_Toc77260263"/>
      <w:r w:rsidRPr="00681DAA">
        <w:rPr>
          <w:rFonts w:eastAsia="Calibri"/>
          <w:bCs/>
          <w:sz w:val="18"/>
          <w:szCs w:val="18"/>
        </w:rPr>
        <w:t xml:space="preserve">Figure </w:t>
      </w:r>
      <w:r w:rsidRPr="00681DAA">
        <w:rPr>
          <w:rFonts w:eastAsia="Calibri"/>
          <w:bCs/>
          <w:sz w:val="18"/>
          <w:szCs w:val="18"/>
        </w:rPr>
        <w:fldChar w:fldCharType="begin"/>
      </w:r>
      <w:r w:rsidRPr="00316837">
        <w:rPr>
          <w:rFonts w:eastAsia="Calibri"/>
          <w:bCs/>
          <w:sz w:val="18"/>
          <w:szCs w:val="18"/>
        </w:rPr>
        <w:instrText xml:space="preserve"> STYLEREF 1 \s </w:instrText>
      </w:r>
      <w:r w:rsidRPr="00681DAA">
        <w:rPr>
          <w:rFonts w:eastAsia="Calibri"/>
          <w:bCs/>
          <w:sz w:val="18"/>
          <w:szCs w:val="18"/>
        </w:rPr>
        <w:fldChar w:fldCharType="separate"/>
      </w:r>
      <w:r w:rsidR="00703397" w:rsidRPr="00681DAA">
        <w:rPr>
          <w:rFonts w:eastAsia="Calibri"/>
          <w:bCs/>
          <w:sz w:val="18"/>
          <w:szCs w:val="18"/>
        </w:rPr>
        <w:t>3</w:t>
      </w:r>
      <w:r w:rsidRPr="00681DAA">
        <w:rPr>
          <w:rFonts w:eastAsia="Calibri"/>
          <w:sz w:val="18"/>
          <w:szCs w:val="18"/>
        </w:rPr>
        <w:fldChar w:fldCharType="end"/>
      </w:r>
      <w:r w:rsidRPr="00C632F6">
        <w:rPr>
          <w:rFonts w:eastAsia="Calibri"/>
          <w:bCs/>
          <w:sz w:val="18"/>
          <w:szCs w:val="18"/>
        </w:rPr>
        <w:noBreakHyphen/>
      </w:r>
      <w:r w:rsidRPr="00681DAA">
        <w:rPr>
          <w:rFonts w:eastAsia="Calibri"/>
          <w:bCs/>
          <w:sz w:val="18"/>
          <w:szCs w:val="18"/>
        </w:rPr>
        <w:fldChar w:fldCharType="begin"/>
      </w:r>
      <w:r w:rsidRPr="00316837">
        <w:rPr>
          <w:rFonts w:eastAsia="Calibri"/>
          <w:bCs/>
          <w:sz w:val="18"/>
          <w:szCs w:val="18"/>
        </w:rPr>
        <w:instrText xml:space="preserve"> SEQ Figure \* ARABIC \s 1 </w:instrText>
      </w:r>
      <w:r w:rsidRPr="00681DAA">
        <w:rPr>
          <w:rFonts w:eastAsia="Calibri"/>
          <w:bCs/>
          <w:sz w:val="18"/>
          <w:szCs w:val="18"/>
        </w:rPr>
        <w:fldChar w:fldCharType="separate"/>
      </w:r>
      <w:r w:rsidR="00703397" w:rsidRPr="00681DAA">
        <w:rPr>
          <w:rFonts w:eastAsia="Calibri"/>
          <w:bCs/>
          <w:sz w:val="18"/>
          <w:szCs w:val="18"/>
        </w:rPr>
        <w:t>1</w:t>
      </w:r>
      <w:r w:rsidRPr="00681DAA">
        <w:rPr>
          <w:rFonts w:eastAsia="Calibri"/>
          <w:sz w:val="18"/>
          <w:szCs w:val="18"/>
        </w:rPr>
        <w:fldChar w:fldCharType="end"/>
      </w:r>
      <w:bookmarkEnd w:id="59"/>
      <w:r w:rsidRPr="00C632F6">
        <w:rPr>
          <w:rFonts w:eastAsia="Calibri"/>
          <w:bCs/>
          <w:sz w:val="18"/>
          <w:szCs w:val="18"/>
        </w:rPr>
        <w:t>: SAPP grid map (source: SAPP)</w:t>
      </w:r>
      <w:bookmarkEnd w:id="60"/>
      <w:r w:rsidRPr="00C632F6">
        <w:rPr>
          <w:rFonts w:eastAsia="Calibri"/>
          <w:bCs/>
          <w:sz w:val="18"/>
          <w:szCs w:val="18"/>
        </w:rPr>
        <w:t xml:space="preserve"> </w:t>
      </w:r>
    </w:p>
    <w:p w14:paraId="05A5EB2D" w14:textId="77777777" w:rsidR="00507C15" w:rsidRPr="00316837" w:rsidRDefault="00507C15" w:rsidP="00507C15">
      <w:bookmarkStart w:id="61" w:name="_Hlk76560020"/>
      <w:r w:rsidRPr="00316837">
        <w:t xml:space="preserve">SAPP has a Project Advisory Unit funded by the World Bank that focuses on both generation and transmission projects preparation and coordination. It has also been instrumental in assisting its member utilities to improve integration of renewable producers by determining the impact of variable renewable energy generation technologies on the operation of the interconnected system and coming up with mitigation measures. In that view, it encourages the involvement of IPPs and the development of DSM measures. It has come up to the point where it undertakes to harmonise Grid Codes in the SADC Region, in cooperation with the Regional Electricity Regulatory Association. </w:t>
      </w:r>
    </w:p>
    <w:p w14:paraId="6197AE79" w14:textId="0B373D43" w:rsidR="00703397" w:rsidRPr="00681DAA" w:rsidRDefault="00656D94" w:rsidP="00656D94">
      <w:pPr>
        <w:rPr>
          <w:szCs w:val="20"/>
        </w:rPr>
      </w:pPr>
      <w:r w:rsidRPr="00316837">
        <w:rPr>
          <w:szCs w:val="20"/>
        </w:rPr>
        <w:t>The SAPP Pool Plan from 2017 envisages a development of the main transmission corridors with the aim to integrate new generation projects that are committed. SAPP defined the high priority generation and transmission projects</w:t>
      </w:r>
      <w:r w:rsidRPr="00C632F6">
        <w:rPr>
          <w:szCs w:val="20"/>
        </w:rPr>
        <w:t xml:space="preserve">, and identified required interconnectors and their transfer limits (see </w:t>
      </w:r>
      <w:r w:rsidR="00370081" w:rsidRPr="00681DAA">
        <w:rPr>
          <w:szCs w:val="20"/>
        </w:rPr>
        <w:fldChar w:fldCharType="begin"/>
      </w:r>
      <w:r w:rsidR="00370081" w:rsidRPr="00316837">
        <w:rPr>
          <w:szCs w:val="20"/>
        </w:rPr>
        <w:instrText xml:space="preserve"> REF _Ref74151083 \h  \* MERGEFORMAT </w:instrText>
      </w:r>
      <w:r w:rsidR="00370081" w:rsidRPr="00681DAA">
        <w:rPr>
          <w:szCs w:val="20"/>
        </w:rPr>
      </w:r>
      <w:r w:rsidR="00370081" w:rsidRPr="00681DAA">
        <w:rPr>
          <w:szCs w:val="20"/>
        </w:rPr>
        <w:fldChar w:fldCharType="separate"/>
      </w:r>
      <w:r w:rsidR="00703397" w:rsidRPr="00681DAA">
        <w:rPr>
          <w:rFonts w:eastAsia="Calibri"/>
          <w:bCs/>
          <w:szCs w:val="20"/>
        </w:rPr>
        <w:t>Figure 3</w:t>
      </w:r>
      <w:r w:rsidR="00703397" w:rsidRPr="00681DAA">
        <w:rPr>
          <w:rFonts w:eastAsia="Calibri"/>
          <w:bCs/>
          <w:szCs w:val="20"/>
        </w:rPr>
        <w:noBreakHyphen/>
        <w:t>2</w:t>
      </w:r>
      <w:r w:rsidR="00370081" w:rsidRPr="00681DAA">
        <w:rPr>
          <w:szCs w:val="20"/>
        </w:rPr>
        <w:fldChar w:fldCharType="end"/>
      </w:r>
      <w:r w:rsidRPr="00C632F6">
        <w:rPr>
          <w:szCs w:val="20"/>
        </w:rPr>
        <w:t xml:space="preserve">). </w:t>
      </w:r>
      <w:r w:rsidR="00316837" w:rsidRPr="00316837">
        <w:rPr>
          <w:szCs w:val="20"/>
        </w:rPr>
        <w:t xml:space="preserve">The priority generation and transmission (integration) projects for </w:t>
      </w:r>
      <w:r w:rsidR="00507C15">
        <w:rPr>
          <w:szCs w:val="20"/>
        </w:rPr>
        <w:t>S</w:t>
      </w:r>
      <w:r w:rsidR="00316837" w:rsidRPr="00316837">
        <w:rPr>
          <w:szCs w:val="20"/>
        </w:rPr>
        <w:t xml:space="preserve">APP have </w:t>
      </w:r>
      <w:r w:rsidR="00316837">
        <w:rPr>
          <w:szCs w:val="20"/>
        </w:rPr>
        <w:t xml:space="preserve">also </w:t>
      </w:r>
      <w:r w:rsidR="00316837" w:rsidRPr="00316837">
        <w:rPr>
          <w:szCs w:val="20"/>
        </w:rPr>
        <w:t>been identified and listed in the Continental Master Plan 1 Baseline Study (Deliverables 2&amp;3) for the short-, medium- and long terms.</w:t>
      </w:r>
    </w:p>
    <w:p w14:paraId="019FF2B5" w14:textId="77777777" w:rsidR="00703397" w:rsidRPr="00316837" w:rsidRDefault="00703397" w:rsidP="00656D94">
      <w:pPr>
        <w:rPr>
          <w:szCs w:val="20"/>
        </w:rPr>
      </w:pPr>
      <w:r w:rsidRPr="00316837">
        <w:rPr>
          <w:szCs w:val="20"/>
        </w:rPr>
        <w:t xml:space="preserve">The </w:t>
      </w:r>
      <w:r w:rsidR="00656D94" w:rsidRPr="00316837">
        <w:rPr>
          <w:szCs w:val="20"/>
        </w:rPr>
        <w:t xml:space="preserve">SAPP </w:t>
      </w:r>
      <w:r w:rsidRPr="00316837">
        <w:rPr>
          <w:szCs w:val="20"/>
        </w:rPr>
        <w:t xml:space="preserve">priority transmission projects are divided into three categories: </w:t>
      </w:r>
    </w:p>
    <w:p w14:paraId="4E90F5EA" w14:textId="3B5465D0" w:rsidR="00703397" w:rsidRPr="00316837" w:rsidRDefault="00703397" w:rsidP="00AB7DB1">
      <w:pPr>
        <w:pStyle w:val="ListParagraph"/>
        <w:numPr>
          <w:ilvl w:val="0"/>
          <w:numId w:val="25"/>
        </w:numPr>
        <w:spacing w:before="160" w:after="0" w:line="288" w:lineRule="auto"/>
        <w:rPr>
          <w:rFonts w:ascii="Arial" w:hAnsi="Arial" w:cs="Arial"/>
          <w:sz w:val="20"/>
          <w:szCs w:val="20"/>
          <w:lang w:val="en-GB"/>
        </w:rPr>
      </w:pPr>
      <w:r w:rsidRPr="00316837">
        <w:rPr>
          <w:rFonts w:ascii="Arial" w:hAnsi="Arial" w:cs="Arial"/>
          <w:sz w:val="20"/>
          <w:szCs w:val="20"/>
          <w:lang w:val="en-GB"/>
        </w:rPr>
        <w:t>the</w:t>
      </w:r>
      <w:r w:rsidR="00656D94" w:rsidRPr="00316837">
        <w:rPr>
          <w:rFonts w:ascii="Arial" w:hAnsi="Arial" w:cs="Arial"/>
          <w:sz w:val="20"/>
          <w:szCs w:val="20"/>
          <w:lang w:val="en-GB"/>
        </w:rPr>
        <w:t xml:space="preserve"> projects to interconnect </w:t>
      </w:r>
      <w:r w:rsidRPr="00316837">
        <w:rPr>
          <w:rFonts w:ascii="Arial" w:hAnsi="Arial" w:cs="Arial"/>
          <w:sz w:val="20"/>
          <w:szCs w:val="20"/>
          <w:lang w:val="en-GB"/>
        </w:rPr>
        <w:t>the non-operating members</w:t>
      </w:r>
      <w:r w:rsidR="00656D94" w:rsidRPr="00316837">
        <w:rPr>
          <w:rFonts w:ascii="Arial" w:hAnsi="Arial" w:cs="Arial"/>
          <w:sz w:val="20"/>
          <w:szCs w:val="20"/>
          <w:lang w:val="en-GB"/>
        </w:rPr>
        <w:t>, which are not yet interconnected to the SAPP grid (Angola, Malawi</w:t>
      </w:r>
      <w:r w:rsidR="00370081" w:rsidRPr="00316837">
        <w:rPr>
          <w:rFonts w:ascii="Arial" w:hAnsi="Arial" w:cs="Arial"/>
          <w:sz w:val="20"/>
          <w:szCs w:val="20"/>
          <w:lang w:val="en-GB"/>
        </w:rPr>
        <w:t>,</w:t>
      </w:r>
      <w:r w:rsidR="00656D94" w:rsidRPr="00316837">
        <w:rPr>
          <w:rFonts w:ascii="Arial" w:hAnsi="Arial" w:cs="Arial"/>
          <w:sz w:val="20"/>
          <w:szCs w:val="20"/>
          <w:lang w:val="en-GB"/>
        </w:rPr>
        <w:t xml:space="preserve"> and Tanzania)</w:t>
      </w:r>
      <w:r w:rsidRPr="00316837">
        <w:rPr>
          <w:rFonts w:ascii="Arial" w:hAnsi="Arial" w:cs="Arial"/>
          <w:sz w:val="20"/>
          <w:szCs w:val="20"/>
          <w:lang w:val="en-GB"/>
        </w:rPr>
        <w:t xml:space="preserve">, </w:t>
      </w:r>
    </w:p>
    <w:bookmarkEnd w:id="61"/>
    <w:p w14:paraId="1744FE0B" w14:textId="42F9D017" w:rsidR="00703397" w:rsidRPr="00316837" w:rsidRDefault="00703397" w:rsidP="00AB7DB1">
      <w:pPr>
        <w:pStyle w:val="ListParagraph"/>
        <w:numPr>
          <w:ilvl w:val="0"/>
          <w:numId w:val="25"/>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projects to relieve transmission congestions, both in internal/domestic transmission networks and on cross-border interconnectors, and </w:t>
      </w:r>
    </w:p>
    <w:p w14:paraId="73AA8FD8" w14:textId="08CC885B" w:rsidR="000C2646" w:rsidRPr="00316837" w:rsidRDefault="00703397" w:rsidP="00AB7DB1">
      <w:pPr>
        <w:pStyle w:val="ListParagraph"/>
        <w:numPr>
          <w:ilvl w:val="0"/>
          <w:numId w:val="25"/>
        </w:numPr>
        <w:spacing w:before="160" w:after="0" w:line="288" w:lineRule="auto"/>
        <w:rPr>
          <w:rFonts w:ascii="Arial" w:hAnsi="Arial" w:cs="Arial"/>
          <w:sz w:val="20"/>
          <w:szCs w:val="20"/>
          <w:lang w:val="en-GB"/>
        </w:rPr>
      </w:pPr>
      <w:r w:rsidRPr="00316837">
        <w:rPr>
          <w:rFonts w:ascii="Arial" w:hAnsi="Arial" w:cs="Arial"/>
          <w:sz w:val="20"/>
          <w:szCs w:val="20"/>
          <w:lang w:val="en-GB"/>
        </w:rPr>
        <w:t>the projects to evacuate power from new generation power plants to load centres</w:t>
      </w:r>
      <w:r w:rsidR="00656D94" w:rsidRPr="00316837">
        <w:rPr>
          <w:rFonts w:ascii="Arial" w:hAnsi="Arial" w:cs="Arial"/>
          <w:sz w:val="20"/>
          <w:szCs w:val="20"/>
          <w:lang w:val="en-GB"/>
        </w:rPr>
        <w:t xml:space="preserve">. </w:t>
      </w:r>
    </w:p>
    <w:p w14:paraId="46E104DC" w14:textId="3FA45D5A" w:rsidR="00656D94" w:rsidRPr="006273BD" w:rsidRDefault="007A4971" w:rsidP="006273BD">
      <w:pPr>
        <w:rPr>
          <w:rFonts w:cs="Arial"/>
          <w:b/>
          <w:bCs/>
          <w:sz w:val="18"/>
          <w:szCs w:val="18"/>
        </w:rPr>
      </w:pPr>
      <w:r w:rsidRPr="00316837">
        <w:rPr>
          <w:rFonts w:cs="Arial"/>
          <w:szCs w:val="20"/>
        </w:rPr>
        <w:t>Moreover, SAPP is currently running trials on the new proposed nodal transmission pricing methodology in order to ensure recovery of investments in new and existing transmission infrastructure used in electricity trading.</w:t>
      </w:r>
      <w:r w:rsidR="001D4932" w:rsidRPr="00316837">
        <w:rPr>
          <w:rFonts w:cs="Arial"/>
          <w:szCs w:val="20"/>
        </w:rPr>
        <w:t xml:space="preserve"> </w:t>
      </w:r>
    </w:p>
    <w:p w14:paraId="21E55E53" w14:textId="2CA331F0" w:rsidR="000C2646" w:rsidRPr="00C632F6" w:rsidRDefault="00656D94" w:rsidP="006273BD">
      <w:pPr>
        <w:jc w:val="center"/>
      </w:pPr>
      <w:r w:rsidRPr="006273BD">
        <w:rPr>
          <w:noProof/>
          <w:lang w:eastAsia="en-GB"/>
        </w:rPr>
        <w:lastRenderedPageBreak/>
        <w:drawing>
          <wp:inline distT="0" distB="0" distL="0" distR="0" wp14:anchorId="1BFAB70B" wp14:editId="36C36A9F">
            <wp:extent cx="4648200" cy="45800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5919" cy="4597552"/>
                    </a:xfrm>
                    <a:prstGeom prst="rect">
                      <a:avLst/>
                    </a:prstGeom>
                    <a:noFill/>
                    <a:ln>
                      <a:noFill/>
                    </a:ln>
                  </pic:spPr>
                </pic:pic>
              </a:graphicData>
            </a:graphic>
          </wp:inline>
        </w:drawing>
      </w:r>
    </w:p>
    <w:p w14:paraId="75C9E0B2" w14:textId="3CA1BD6C" w:rsidR="00370081" w:rsidRPr="00316837" w:rsidRDefault="00370081" w:rsidP="00370081">
      <w:pPr>
        <w:rPr>
          <w:rFonts w:eastAsia="Calibri"/>
          <w:bCs/>
          <w:sz w:val="18"/>
          <w:szCs w:val="18"/>
        </w:rPr>
      </w:pPr>
      <w:bookmarkStart w:id="62" w:name="_Ref74151083"/>
      <w:bookmarkStart w:id="63" w:name="_Toc77260264"/>
      <w:r w:rsidRPr="00681DAA">
        <w:rPr>
          <w:rFonts w:eastAsia="Calibri"/>
          <w:bCs/>
          <w:sz w:val="18"/>
          <w:szCs w:val="18"/>
        </w:rPr>
        <w:t xml:space="preserve">Figure </w:t>
      </w:r>
      <w:r w:rsidRPr="00681DAA">
        <w:rPr>
          <w:rFonts w:eastAsia="Calibri"/>
          <w:bCs/>
          <w:sz w:val="18"/>
          <w:szCs w:val="18"/>
        </w:rPr>
        <w:fldChar w:fldCharType="begin"/>
      </w:r>
      <w:r w:rsidRPr="00316837">
        <w:rPr>
          <w:rFonts w:eastAsia="Calibri"/>
          <w:bCs/>
          <w:sz w:val="18"/>
          <w:szCs w:val="18"/>
        </w:rPr>
        <w:instrText xml:space="preserve"> STYLEREF 1 \s </w:instrText>
      </w:r>
      <w:r w:rsidRPr="00681DAA">
        <w:rPr>
          <w:rFonts w:eastAsia="Calibri"/>
          <w:bCs/>
          <w:sz w:val="18"/>
          <w:szCs w:val="18"/>
        </w:rPr>
        <w:fldChar w:fldCharType="separate"/>
      </w:r>
      <w:r w:rsidR="00703397" w:rsidRPr="00681DAA">
        <w:rPr>
          <w:rFonts w:eastAsia="Calibri"/>
          <w:bCs/>
          <w:sz w:val="18"/>
          <w:szCs w:val="18"/>
        </w:rPr>
        <w:t>3</w:t>
      </w:r>
      <w:r w:rsidRPr="00681DAA">
        <w:rPr>
          <w:rFonts w:eastAsia="Calibri"/>
          <w:sz w:val="18"/>
          <w:szCs w:val="18"/>
        </w:rPr>
        <w:fldChar w:fldCharType="end"/>
      </w:r>
      <w:r w:rsidRPr="00C632F6">
        <w:rPr>
          <w:rFonts w:eastAsia="Calibri"/>
          <w:bCs/>
          <w:sz w:val="18"/>
          <w:szCs w:val="18"/>
        </w:rPr>
        <w:noBreakHyphen/>
      </w:r>
      <w:r w:rsidRPr="00681DAA">
        <w:rPr>
          <w:rFonts w:eastAsia="Calibri"/>
          <w:bCs/>
          <w:sz w:val="18"/>
          <w:szCs w:val="18"/>
        </w:rPr>
        <w:fldChar w:fldCharType="begin"/>
      </w:r>
      <w:r w:rsidRPr="00316837">
        <w:rPr>
          <w:rFonts w:eastAsia="Calibri"/>
          <w:bCs/>
          <w:sz w:val="18"/>
          <w:szCs w:val="18"/>
        </w:rPr>
        <w:instrText xml:space="preserve"> SEQ Figure \* ARABIC \s 1 </w:instrText>
      </w:r>
      <w:r w:rsidRPr="00681DAA">
        <w:rPr>
          <w:rFonts w:eastAsia="Calibri"/>
          <w:bCs/>
          <w:sz w:val="18"/>
          <w:szCs w:val="18"/>
        </w:rPr>
        <w:fldChar w:fldCharType="separate"/>
      </w:r>
      <w:r w:rsidR="00703397" w:rsidRPr="00681DAA">
        <w:rPr>
          <w:rFonts w:eastAsia="Calibri"/>
          <w:bCs/>
          <w:sz w:val="18"/>
          <w:szCs w:val="18"/>
        </w:rPr>
        <w:t>2</w:t>
      </w:r>
      <w:r w:rsidRPr="00681DAA">
        <w:rPr>
          <w:rFonts w:eastAsia="Calibri"/>
          <w:sz w:val="18"/>
          <w:szCs w:val="18"/>
        </w:rPr>
        <w:fldChar w:fldCharType="end"/>
      </w:r>
      <w:bookmarkEnd w:id="62"/>
      <w:r w:rsidRPr="00C632F6">
        <w:rPr>
          <w:rFonts w:eastAsia="Calibri"/>
          <w:bCs/>
          <w:sz w:val="18"/>
          <w:szCs w:val="18"/>
        </w:rPr>
        <w:t>: SAPP main transmission corridors (source: SAPP</w:t>
      </w:r>
      <w:r w:rsidR="00203845" w:rsidRPr="00681DAA">
        <w:rPr>
          <w:rFonts w:eastAsia="Calibri"/>
          <w:bCs/>
          <w:sz w:val="18"/>
          <w:szCs w:val="18"/>
        </w:rPr>
        <w:t xml:space="preserve"> Pool Plan 2017</w:t>
      </w:r>
      <w:r w:rsidRPr="00316837">
        <w:rPr>
          <w:rFonts w:eastAsia="Calibri"/>
          <w:bCs/>
          <w:sz w:val="18"/>
          <w:szCs w:val="18"/>
        </w:rPr>
        <w:t>)</w:t>
      </w:r>
      <w:bookmarkEnd w:id="63"/>
      <w:r w:rsidRPr="00316837">
        <w:rPr>
          <w:rFonts w:eastAsia="Calibri"/>
          <w:bCs/>
          <w:sz w:val="18"/>
          <w:szCs w:val="18"/>
        </w:rPr>
        <w:t xml:space="preserve"> </w:t>
      </w:r>
    </w:p>
    <w:p w14:paraId="30C9B62D" w14:textId="0E7EAB1A" w:rsidR="00370081" w:rsidRPr="00316837" w:rsidRDefault="00370081" w:rsidP="00365838">
      <w:pPr>
        <w:rPr>
          <w:szCs w:val="20"/>
        </w:rPr>
      </w:pPr>
      <w:r w:rsidRPr="00316837">
        <w:rPr>
          <w:szCs w:val="20"/>
        </w:rPr>
        <w:t>SAPP c</w:t>
      </w:r>
      <w:r w:rsidR="006E7A59" w:rsidRPr="00316837">
        <w:rPr>
          <w:szCs w:val="20"/>
        </w:rPr>
        <w:t>oordinat</w:t>
      </w:r>
      <w:r w:rsidRPr="00316837">
        <w:rPr>
          <w:szCs w:val="20"/>
        </w:rPr>
        <w:t>es</w:t>
      </w:r>
      <w:r w:rsidR="006E7A59" w:rsidRPr="00316837">
        <w:rPr>
          <w:szCs w:val="20"/>
        </w:rPr>
        <w:t xml:space="preserve"> </w:t>
      </w:r>
      <w:r w:rsidRPr="00316837">
        <w:rPr>
          <w:szCs w:val="20"/>
        </w:rPr>
        <w:t xml:space="preserve">not only </w:t>
      </w:r>
      <w:r w:rsidR="006E7A59" w:rsidRPr="00316837">
        <w:rPr>
          <w:szCs w:val="20"/>
        </w:rPr>
        <w:t xml:space="preserve">the planning of the </w:t>
      </w:r>
      <w:r w:rsidRPr="00316837">
        <w:rPr>
          <w:szCs w:val="20"/>
        </w:rPr>
        <w:t xml:space="preserve">regional </w:t>
      </w:r>
      <w:r w:rsidR="006E7A59" w:rsidRPr="00316837">
        <w:rPr>
          <w:szCs w:val="20"/>
        </w:rPr>
        <w:t>power system</w:t>
      </w:r>
      <w:r w:rsidRPr="00316837">
        <w:rPr>
          <w:szCs w:val="20"/>
        </w:rPr>
        <w:t>, but also the operation</w:t>
      </w:r>
      <w:r w:rsidR="00A47797" w:rsidRPr="00316837">
        <w:rPr>
          <w:szCs w:val="20"/>
        </w:rPr>
        <w:t xml:space="preserve"> </w:t>
      </w:r>
      <w:r w:rsidR="00703397" w:rsidRPr="00316837">
        <w:rPr>
          <w:szCs w:val="20"/>
        </w:rPr>
        <w:t xml:space="preserve">in order to alleviate main transmission bottlenecks that could affect market integration </w:t>
      </w:r>
      <w:r w:rsidR="00A47797" w:rsidRPr="00316837">
        <w:rPr>
          <w:szCs w:val="20"/>
        </w:rPr>
        <w:t xml:space="preserve">(see </w:t>
      </w:r>
      <w:r w:rsidR="00A47797" w:rsidRPr="00681DAA">
        <w:rPr>
          <w:szCs w:val="20"/>
        </w:rPr>
        <w:fldChar w:fldCharType="begin"/>
      </w:r>
      <w:r w:rsidR="00A47797" w:rsidRPr="00316837">
        <w:rPr>
          <w:szCs w:val="20"/>
        </w:rPr>
        <w:instrText xml:space="preserve"> REF _Ref74151977 \h  \* MERGEFORMAT </w:instrText>
      </w:r>
      <w:r w:rsidR="00A47797" w:rsidRPr="00681DAA">
        <w:rPr>
          <w:szCs w:val="20"/>
        </w:rPr>
      </w:r>
      <w:r w:rsidR="00A47797" w:rsidRPr="00681DAA">
        <w:rPr>
          <w:szCs w:val="20"/>
        </w:rPr>
        <w:fldChar w:fldCharType="separate"/>
      </w:r>
      <w:r w:rsidR="00703397" w:rsidRPr="00681DAA">
        <w:rPr>
          <w:rFonts w:eastAsia="Calibri"/>
          <w:bCs/>
          <w:szCs w:val="20"/>
        </w:rPr>
        <w:t>Figure 3</w:t>
      </w:r>
      <w:r w:rsidR="00703397" w:rsidRPr="00681DAA">
        <w:rPr>
          <w:rFonts w:eastAsia="Calibri"/>
          <w:bCs/>
          <w:szCs w:val="20"/>
        </w:rPr>
        <w:noBreakHyphen/>
        <w:t>3</w:t>
      </w:r>
      <w:r w:rsidR="00A47797" w:rsidRPr="00681DAA">
        <w:rPr>
          <w:szCs w:val="20"/>
        </w:rPr>
        <w:fldChar w:fldCharType="end"/>
      </w:r>
      <w:r w:rsidR="00A47797" w:rsidRPr="00C632F6">
        <w:rPr>
          <w:szCs w:val="20"/>
        </w:rPr>
        <w:t>)</w:t>
      </w:r>
      <w:r w:rsidRPr="00681DAA">
        <w:rPr>
          <w:szCs w:val="20"/>
        </w:rPr>
        <w:t>. In that view, it performs the follow</w:t>
      </w:r>
      <w:r w:rsidRPr="00316837">
        <w:rPr>
          <w:szCs w:val="20"/>
        </w:rPr>
        <w:t xml:space="preserve">ing activities: </w:t>
      </w:r>
    </w:p>
    <w:p w14:paraId="603110F3" w14:textId="77777777" w:rsidR="00370081" w:rsidRPr="00316837" w:rsidRDefault="00656D94" w:rsidP="00AB7DB1">
      <w:pPr>
        <w:pStyle w:val="ListParagraph"/>
        <w:numPr>
          <w:ilvl w:val="0"/>
          <w:numId w:val="4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calculates and publishes the operating reserve </w:t>
      </w:r>
      <w:r w:rsidR="00370081" w:rsidRPr="00316837">
        <w:rPr>
          <w:rFonts w:ascii="Arial" w:hAnsi="Arial" w:cs="Arial"/>
          <w:sz w:val="20"/>
          <w:szCs w:val="20"/>
          <w:lang w:val="en-GB"/>
        </w:rPr>
        <w:t xml:space="preserve">which </w:t>
      </w:r>
      <w:r w:rsidRPr="00316837">
        <w:rPr>
          <w:rFonts w:ascii="Arial" w:hAnsi="Arial" w:cs="Arial"/>
          <w:sz w:val="20"/>
          <w:szCs w:val="20"/>
          <w:lang w:val="en-GB"/>
        </w:rPr>
        <w:t>each of the 10 operating members shall keep (this operating reserve is composed of the spinning reserve and the quick reserve, which are based on the size of the largest generator and the maximum demand in each of the national systems)</w:t>
      </w:r>
      <w:r w:rsidR="00370081" w:rsidRPr="00316837">
        <w:rPr>
          <w:rFonts w:ascii="Arial" w:hAnsi="Arial" w:cs="Arial"/>
          <w:sz w:val="20"/>
          <w:szCs w:val="20"/>
          <w:lang w:val="en-GB"/>
        </w:rPr>
        <w:t>,</w:t>
      </w:r>
      <w:r w:rsidRPr="00316837">
        <w:rPr>
          <w:rFonts w:ascii="Arial" w:hAnsi="Arial" w:cs="Arial"/>
          <w:sz w:val="20"/>
          <w:szCs w:val="20"/>
          <w:lang w:val="en-GB"/>
        </w:rPr>
        <w:t xml:space="preserve"> </w:t>
      </w:r>
    </w:p>
    <w:p w14:paraId="4CEF2E97" w14:textId="5533C8AA" w:rsidR="00370081" w:rsidRPr="00316837" w:rsidRDefault="00370081" w:rsidP="00AB7DB1">
      <w:pPr>
        <w:pStyle w:val="ListParagraph"/>
        <w:numPr>
          <w:ilvl w:val="0"/>
          <w:numId w:val="4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defines transfer limits between the electricity utilities per each of the </w:t>
      </w:r>
      <w:r w:rsidR="00BB21DB" w:rsidRPr="00316837">
        <w:rPr>
          <w:rFonts w:ascii="Arial" w:hAnsi="Arial" w:cs="Arial"/>
          <w:sz w:val="20"/>
          <w:szCs w:val="20"/>
          <w:lang w:val="en-GB"/>
        </w:rPr>
        <w:t>cross-border</w:t>
      </w:r>
      <w:r w:rsidRPr="00316837">
        <w:rPr>
          <w:rFonts w:ascii="Arial" w:hAnsi="Arial" w:cs="Arial"/>
          <w:sz w:val="20"/>
          <w:szCs w:val="20"/>
          <w:lang w:val="en-GB"/>
        </w:rPr>
        <w:t xml:space="preserve"> interconnections (these limits are thermal limit, voltage limit, stability transfer limit, and applicable transfer limit), </w:t>
      </w:r>
    </w:p>
    <w:p w14:paraId="7FD67EB2" w14:textId="2B72F908" w:rsidR="00BB21DB" w:rsidRPr="00316837" w:rsidRDefault="00BB21DB" w:rsidP="00AB7DB1">
      <w:pPr>
        <w:pStyle w:val="ListParagraph"/>
        <w:numPr>
          <w:ilvl w:val="0"/>
          <w:numId w:val="4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applies an imbalance management mechanism to minimise imbalance energy at the cross-border interconnections (this will be complemented by the introduction of the Balancing Market that SAPP will soon implement instead of the intraday market), </w:t>
      </w:r>
    </w:p>
    <w:p w14:paraId="2C55F37C" w14:textId="48FAF1AC" w:rsidR="006E7A59" w:rsidRPr="00316837" w:rsidRDefault="00370081" w:rsidP="00AB7DB1">
      <w:pPr>
        <w:pStyle w:val="ListParagraph"/>
        <w:numPr>
          <w:ilvl w:val="0"/>
          <w:numId w:val="4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publishes the SAPP transmission maintenance schedule for planned outages (annually and quarterly), </w:t>
      </w:r>
    </w:p>
    <w:p w14:paraId="5E1621B5" w14:textId="0917494B" w:rsidR="00370081" w:rsidRPr="00316837" w:rsidRDefault="00370081" w:rsidP="00AB7DB1">
      <w:pPr>
        <w:pStyle w:val="ListParagraph"/>
        <w:numPr>
          <w:ilvl w:val="0"/>
          <w:numId w:val="4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publishes main parameters of the demand and supply per the member country and the member utility (installed capacity, operating capacity, current peak demand, peak demand plus reserves, and capacity excess/shortfall including reserves). </w:t>
      </w:r>
    </w:p>
    <w:p w14:paraId="610EA688" w14:textId="0AD0D4F5" w:rsidR="000C2646" w:rsidRPr="00C632F6" w:rsidRDefault="00370081" w:rsidP="006273BD">
      <w:pPr>
        <w:jc w:val="center"/>
        <w:rPr>
          <w:rFonts w:eastAsia="Calibri"/>
          <w:szCs w:val="22"/>
        </w:rPr>
      </w:pPr>
      <w:r w:rsidRPr="006273BD">
        <w:rPr>
          <w:rFonts w:eastAsia="Calibri"/>
          <w:noProof/>
          <w:szCs w:val="22"/>
          <w:lang w:eastAsia="en-GB"/>
        </w:rPr>
        <w:lastRenderedPageBreak/>
        <w:drawing>
          <wp:inline distT="0" distB="0" distL="0" distR="0" wp14:anchorId="00BBF007" wp14:editId="7B05E9B9">
            <wp:extent cx="5114925" cy="553495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0555" cy="5551866"/>
                    </a:xfrm>
                    <a:prstGeom prst="rect">
                      <a:avLst/>
                    </a:prstGeom>
                    <a:noFill/>
                    <a:ln>
                      <a:noFill/>
                    </a:ln>
                  </pic:spPr>
                </pic:pic>
              </a:graphicData>
            </a:graphic>
          </wp:inline>
        </w:drawing>
      </w:r>
    </w:p>
    <w:p w14:paraId="51347BC4" w14:textId="6F49BCF4" w:rsidR="00370081" w:rsidRPr="00681DAA" w:rsidRDefault="00370081" w:rsidP="00370081">
      <w:pPr>
        <w:rPr>
          <w:rFonts w:eastAsia="Calibri"/>
          <w:bCs/>
          <w:sz w:val="18"/>
          <w:szCs w:val="18"/>
        </w:rPr>
      </w:pPr>
      <w:bookmarkStart w:id="64" w:name="_Ref74151977"/>
      <w:bookmarkStart w:id="65" w:name="_Toc77260265"/>
      <w:r w:rsidRPr="00681DAA">
        <w:rPr>
          <w:rFonts w:eastAsia="Calibri"/>
          <w:bCs/>
          <w:sz w:val="18"/>
          <w:szCs w:val="18"/>
        </w:rPr>
        <w:t xml:space="preserve">Figure </w:t>
      </w:r>
      <w:r w:rsidRPr="00681DAA">
        <w:rPr>
          <w:rFonts w:eastAsia="Calibri"/>
          <w:bCs/>
          <w:sz w:val="18"/>
          <w:szCs w:val="18"/>
        </w:rPr>
        <w:fldChar w:fldCharType="begin"/>
      </w:r>
      <w:r w:rsidRPr="00316837">
        <w:rPr>
          <w:rFonts w:eastAsia="Calibri"/>
          <w:bCs/>
          <w:sz w:val="18"/>
          <w:szCs w:val="18"/>
        </w:rPr>
        <w:instrText xml:space="preserve"> STYLEREF 1 \s </w:instrText>
      </w:r>
      <w:r w:rsidRPr="00681DAA">
        <w:rPr>
          <w:rFonts w:eastAsia="Calibri"/>
          <w:bCs/>
          <w:sz w:val="18"/>
          <w:szCs w:val="18"/>
        </w:rPr>
        <w:fldChar w:fldCharType="separate"/>
      </w:r>
      <w:r w:rsidR="00703397" w:rsidRPr="00681DAA">
        <w:rPr>
          <w:rFonts w:eastAsia="Calibri"/>
          <w:bCs/>
          <w:sz w:val="18"/>
          <w:szCs w:val="18"/>
        </w:rPr>
        <w:t>3</w:t>
      </w:r>
      <w:r w:rsidRPr="00681DAA">
        <w:rPr>
          <w:rFonts w:eastAsia="Calibri"/>
          <w:sz w:val="18"/>
          <w:szCs w:val="18"/>
        </w:rPr>
        <w:fldChar w:fldCharType="end"/>
      </w:r>
      <w:r w:rsidRPr="00C632F6">
        <w:rPr>
          <w:rFonts w:eastAsia="Calibri"/>
          <w:bCs/>
          <w:sz w:val="18"/>
          <w:szCs w:val="18"/>
        </w:rPr>
        <w:noBreakHyphen/>
      </w:r>
      <w:r w:rsidRPr="00681DAA">
        <w:rPr>
          <w:rFonts w:eastAsia="Calibri"/>
          <w:bCs/>
          <w:sz w:val="18"/>
          <w:szCs w:val="18"/>
        </w:rPr>
        <w:fldChar w:fldCharType="begin"/>
      </w:r>
      <w:r w:rsidRPr="00316837">
        <w:rPr>
          <w:rFonts w:eastAsia="Calibri"/>
          <w:bCs/>
          <w:sz w:val="18"/>
          <w:szCs w:val="18"/>
        </w:rPr>
        <w:instrText xml:space="preserve"> SEQ Figure \* ARABIC \s 1 </w:instrText>
      </w:r>
      <w:r w:rsidRPr="00681DAA">
        <w:rPr>
          <w:rFonts w:eastAsia="Calibri"/>
          <w:bCs/>
          <w:sz w:val="18"/>
          <w:szCs w:val="18"/>
        </w:rPr>
        <w:fldChar w:fldCharType="separate"/>
      </w:r>
      <w:r w:rsidR="00703397" w:rsidRPr="00681DAA">
        <w:rPr>
          <w:rFonts w:eastAsia="Calibri"/>
          <w:bCs/>
          <w:sz w:val="18"/>
          <w:szCs w:val="18"/>
        </w:rPr>
        <w:t>3</w:t>
      </w:r>
      <w:r w:rsidRPr="00681DAA">
        <w:rPr>
          <w:rFonts w:eastAsia="Calibri"/>
          <w:sz w:val="18"/>
          <w:szCs w:val="18"/>
        </w:rPr>
        <w:fldChar w:fldCharType="end"/>
      </w:r>
      <w:bookmarkEnd w:id="64"/>
      <w:r w:rsidRPr="00C632F6">
        <w:rPr>
          <w:rFonts w:eastAsia="Calibri"/>
          <w:bCs/>
          <w:sz w:val="18"/>
          <w:szCs w:val="18"/>
        </w:rPr>
        <w:t>: SAPP regional power system with interconnectors (source: SAPP)</w:t>
      </w:r>
      <w:bookmarkEnd w:id="65"/>
      <w:r w:rsidRPr="00C632F6">
        <w:rPr>
          <w:rFonts w:eastAsia="Calibri"/>
          <w:bCs/>
          <w:sz w:val="18"/>
          <w:szCs w:val="18"/>
        </w:rPr>
        <w:t xml:space="preserve"> </w:t>
      </w:r>
    </w:p>
    <w:p w14:paraId="3D2FEDCC" w14:textId="77777777" w:rsidR="006D730A" w:rsidRPr="00316837" w:rsidRDefault="00730395" w:rsidP="000C2646">
      <w:pPr>
        <w:rPr>
          <w:rFonts w:eastAsia="Calibri"/>
          <w:szCs w:val="22"/>
        </w:rPr>
      </w:pPr>
      <w:r w:rsidRPr="00316837">
        <w:rPr>
          <w:rFonts w:eastAsia="Calibri"/>
          <w:szCs w:val="22"/>
        </w:rPr>
        <w:t xml:space="preserve">The Coordination Centre undertakes various activities that include the SAPP regional </w:t>
      </w:r>
      <w:r w:rsidR="00703397" w:rsidRPr="00316837">
        <w:rPr>
          <w:rFonts w:eastAsia="Calibri"/>
          <w:szCs w:val="22"/>
        </w:rPr>
        <w:t>transmission network</w:t>
      </w:r>
      <w:r w:rsidRPr="00316837">
        <w:rPr>
          <w:rFonts w:eastAsia="Calibri"/>
          <w:szCs w:val="22"/>
        </w:rPr>
        <w:t xml:space="preserve"> and transaction monitoring, planning and operational system analysis, routine reporting, data provision, and advice to member utilities, as well as project preparations services. It has a SCADA/EMS system</w:t>
      </w:r>
      <w:r w:rsidR="00703397" w:rsidRPr="00316837">
        <w:rPr>
          <w:rFonts w:eastAsia="Calibri"/>
          <w:szCs w:val="22"/>
        </w:rPr>
        <w:t xml:space="preserve"> in place used for visualisation of interconnectors that is operational, and a project to upgrade it is in progress. However, since it is only a secretariat and not a real transmission system controller, its SCADA/EMS is a read-only – this means that the Coordination Centre observes all transmission systems in the SADC Region through its SCADA/EMS, but does not have a control mode. All operational measures relating to the real-time control and dispatch in SAPP are performed by the SAPP member utilities at their control centres, while the Coordination Centre only advises them how to operate. </w:t>
      </w:r>
    </w:p>
    <w:p w14:paraId="2B6D7036" w14:textId="77777777" w:rsidR="006D730A" w:rsidRPr="00316837" w:rsidRDefault="006D730A" w:rsidP="000C2646">
      <w:pPr>
        <w:rPr>
          <w:rFonts w:eastAsia="Calibri"/>
          <w:szCs w:val="22"/>
        </w:rPr>
      </w:pPr>
      <w:r w:rsidRPr="00316837">
        <w:rPr>
          <w:rFonts w:eastAsia="Calibri"/>
          <w:szCs w:val="22"/>
        </w:rPr>
        <w:t>Three c</w:t>
      </w:r>
      <w:r w:rsidR="00703397" w:rsidRPr="00316837">
        <w:rPr>
          <w:rFonts w:eastAsia="Calibri"/>
          <w:szCs w:val="22"/>
        </w:rPr>
        <w:t xml:space="preserve">ontrol areas </w:t>
      </w:r>
      <w:r w:rsidRPr="00316837">
        <w:rPr>
          <w:rFonts w:eastAsia="Calibri"/>
          <w:szCs w:val="22"/>
        </w:rPr>
        <w:t xml:space="preserve">(ESKOM (South), ZESA (Central), and ZESCO (North)) are designated to ensure the management of tie-line flows and the frequency of the SAPP interconnected system by utilising appropriate operational and ICT capabilities. These control areas deal with operating members not meeting requirements of the control areas that are responsible for controlling interconnectors. These control areas will be equipped with computers / software for dealing with dispatch requirements. </w:t>
      </w:r>
    </w:p>
    <w:p w14:paraId="66EF63F2" w14:textId="1A3472BA" w:rsidR="00730395" w:rsidRPr="00316837" w:rsidRDefault="00730395" w:rsidP="000C2646">
      <w:pPr>
        <w:rPr>
          <w:rFonts w:eastAsia="Calibri"/>
          <w:szCs w:val="22"/>
        </w:rPr>
      </w:pPr>
      <w:r w:rsidRPr="00316837">
        <w:rPr>
          <w:rFonts w:eastAsia="Calibri"/>
          <w:szCs w:val="22"/>
        </w:rPr>
        <w:t xml:space="preserve">The member utilities provide the Coordination Centre with metering data based on a data form prescribed by the Coordination Centre. Metering data come as a file and the entries are automated. All files are opened to the member utilities to see the details and calculation data. Since metering data are sent by the member utilities to the Coordination Centre, it does not guarantee their quality. The member utilities only ask the Coordination </w:t>
      </w:r>
      <w:r w:rsidRPr="00316837">
        <w:rPr>
          <w:rFonts w:eastAsia="Calibri"/>
          <w:szCs w:val="22"/>
        </w:rPr>
        <w:lastRenderedPageBreak/>
        <w:t>Centre for clarification of invoices (not for metering data).</w:t>
      </w:r>
      <w:r w:rsidR="00703397" w:rsidRPr="00316837">
        <w:t xml:space="preserve"> Standardised databases are needed, and data sharing needs to be improved.</w:t>
      </w:r>
      <w:r w:rsidR="001D4932" w:rsidRPr="00316837">
        <w:t xml:space="preserve"> </w:t>
      </w:r>
    </w:p>
    <w:p w14:paraId="1A3F653F" w14:textId="77777777" w:rsidR="006D730A" w:rsidRPr="00316837" w:rsidRDefault="006D730A" w:rsidP="006D730A">
      <w:pPr>
        <w:rPr>
          <w:rFonts w:eastAsia="Calibri"/>
          <w:szCs w:val="22"/>
        </w:rPr>
      </w:pPr>
      <w:r w:rsidRPr="00316837">
        <w:rPr>
          <w:rFonts w:eastAsia="Calibri"/>
          <w:szCs w:val="22"/>
        </w:rPr>
        <w:t xml:space="preserve">The Coordination Centre also offers the operational regional electricity market platform for trade that is available 24 hours. </w:t>
      </w:r>
    </w:p>
    <w:p w14:paraId="54B68FD6" w14:textId="1256AA68" w:rsidR="000C2646" w:rsidRPr="00316837" w:rsidRDefault="000C2646" w:rsidP="000C2646">
      <w:pPr>
        <w:rPr>
          <w:rFonts w:eastAsia="Calibri"/>
          <w:szCs w:val="20"/>
        </w:rPr>
      </w:pPr>
      <w:r w:rsidRPr="00316837">
        <w:rPr>
          <w:rFonts w:eastAsia="Calibri"/>
          <w:szCs w:val="22"/>
        </w:rPr>
        <w:t xml:space="preserve">SAPP </w:t>
      </w:r>
      <w:r w:rsidR="00A47797" w:rsidRPr="00316837">
        <w:rPr>
          <w:rFonts w:eastAsia="Calibri"/>
          <w:szCs w:val="22"/>
        </w:rPr>
        <w:t>has</w:t>
      </w:r>
      <w:r w:rsidR="00A47797" w:rsidRPr="00316837">
        <w:rPr>
          <w:rFonts w:eastAsia="Calibri"/>
          <w:szCs w:val="20"/>
        </w:rPr>
        <w:t xml:space="preserve"> developed and adopted a number of system and market governance documents to sustain the regional system and market operation </w:t>
      </w:r>
      <w:r w:rsidRPr="00316837">
        <w:rPr>
          <w:rFonts w:eastAsia="Calibri"/>
          <w:szCs w:val="20"/>
        </w:rPr>
        <w:t>(see</w:t>
      </w:r>
      <w:r w:rsidR="00507C15">
        <w:rPr>
          <w:rFonts w:eastAsia="Calibri"/>
          <w:szCs w:val="20"/>
        </w:rPr>
        <w:t xml:space="preserve"> Annex </w:t>
      </w:r>
      <w:r w:rsidR="00507C15">
        <w:rPr>
          <w:rFonts w:eastAsia="Calibri"/>
          <w:szCs w:val="20"/>
        </w:rPr>
        <w:fldChar w:fldCharType="begin"/>
      </w:r>
      <w:r w:rsidR="00507C15">
        <w:rPr>
          <w:rFonts w:eastAsia="Calibri"/>
          <w:szCs w:val="20"/>
        </w:rPr>
        <w:instrText xml:space="preserve"> REF _Ref77253872 \w \h </w:instrText>
      </w:r>
      <w:r w:rsidR="00507C15">
        <w:rPr>
          <w:rFonts w:eastAsia="Calibri"/>
          <w:szCs w:val="20"/>
        </w:rPr>
      </w:r>
      <w:r w:rsidR="00507C15">
        <w:rPr>
          <w:rFonts w:eastAsia="Calibri"/>
          <w:szCs w:val="20"/>
        </w:rPr>
        <w:fldChar w:fldCharType="separate"/>
      </w:r>
      <w:r w:rsidR="00507C15">
        <w:rPr>
          <w:rFonts w:eastAsia="Calibri"/>
          <w:szCs w:val="20"/>
        </w:rPr>
        <w:t>8.2</w:t>
      </w:r>
      <w:r w:rsidR="00507C15">
        <w:rPr>
          <w:rFonts w:eastAsia="Calibri"/>
          <w:szCs w:val="20"/>
        </w:rPr>
        <w:fldChar w:fldCharType="end"/>
      </w:r>
      <w:r w:rsidRPr="00C632F6">
        <w:rPr>
          <w:rFonts w:eastAsia="Calibri"/>
          <w:szCs w:val="20"/>
        </w:rPr>
        <w:t xml:space="preserve">). </w:t>
      </w:r>
    </w:p>
    <w:p w14:paraId="4EEF724A" w14:textId="120ACF7B" w:rsidR="00A47797" w:rsidRPr="00316837" w:rsidRDefault="00A47797" w:rsidP="006E7A59">
      <w:r w:rsidRPr="00316837">
        <w:t>Apart from promoting the development of cross-border transmission capacity and coordinating the planning and operation of the electric power system in the SADC Region, SAPP has been developing a competitive electricity market therein since 2001 and is now able to offer its member utilities a platform for electricity trading.</w:t>
      </w:r>
      <w:r w:rsidR="001D4932" w:rsidRPr="00316837">
        <w:t xml:space="preserve"> </w:t>
      </w:r>
    </w:p>
    <w:p w14:paraId="6730F4A0" w14:textId="3001C501" w:rsidR="00365838" w:rsidRPr="00316837" w:rsidRDefault="006E7A59" w:rsidP="006E7A59">
      <w:r w:rsidRPr="00316837">
        <w:t>In the beginning, the electricity</w:t>
      </w:r>
      <w:r w:rsidR="00365838" w:rsidRPr="00316837">
        <w:t xml:space="preserve"> </w:t>
      </w:r>
      <w:r w:rsidRPr="00316837">
        <w:t xml:space="preserve">market in the SADC Region was based on a </w:t>
      </w:r>
      <w:r w:rsidR="00365838" w:rsidRPr="00316837">
        <w:t xml:space="preserve">series of bilateral OTC/forward contracts between </w:t>
      </w:r>
      <w:r w:rsidRPr="00316837">
        <w:t xml:space="preserve">the electricity </w:t>
      </w:r>
      <w:r w:rsidR="00365838" w:rsidRPr="00316837">
        <w:t>utilities</w:t>
      </w:r>
      <w:r w:rsidRPr="00316837">
        <w:t xml:space="preserve">. Then, SAPP </w:t>
      </w:r>
      <w:r w:rsidR="00365838" w:rsidRPr="00316837">
        <w:t xml:space="preserve">implemented </w:t>
      </w:r>
      <w:r w:rsidRPr="00316837">
        <w:t xml:space="preserve">firstly </w:t>
      </w:r>
      <w:r w:rsidR="00365838" w:rsidRPr="00316837">
        <w:t>the short-term energy market in 2001, secondly the day-ahead market in 2009</w:t>
      </w:r>
      <w:r w:rsidRPr="00316837">
        <w:t>,</w:t>
      </w:r>
      <w:r w:rsidR="00365838" w:rsidRPr="00316837">
        <w:t xml:space="preserve"> and thirdly the periodic energy imbalance settlements in 2010. </w:t>
      </w:r>
      <w:r w:rsidRPr="00316837">
        <w:t>I</w:t>
      </w:r>
      <w:r w:rsidR="00365838" w:rsidRPr="00316837">
        <w:t xml:space="preserve">n 2016/2017, </w:t>
      </w:r>
      <w:r w:rsidRPr="00316837">
        <w:t>SAPP</w:t>
      </w:r>
      <w:r w:rsidR="00365838" w:rsidRPr="00316837">
        <w:t xml:space="preserve"> completed the Market Trading Platform</w:t>
      </w:r>
      <w:r w:rsidR="00393FE6" w:rsidRPr="00316837">
        <w:t xml:space="preserve"> which enabled it to move from a cooperative to a competitive Power Pool. </w:t>
      </w:r>
      <w:r w:rsidR="00C46074" w:rsidRPr="00316837">
        <w:t xml:space="preserve">In 2017/18, a total of USD 106.55 million was exchanged on the competitive market. A total of USD 95.02 million or 88% of the revenues from the competitive market was exchanged between buyers and sellers, while a total of USD 12.53 million or 12% was collected as congestion income, wheeling, transmission losses, and administration fees. The Market Trading Platform maintains bank accounts at Stanbic Bank Botswana Ltd primarily for clearing purposes, accounting for market transactions, security custodial services, administration fees, wheeling fees, and transmission losses. </w:t>
      </w:r>
    </w:p>
    <w:p w14:paraId="095CFF0F" w14:textId="10A5B18D" w:rsidR="006E7A59" w:rsidRPr="00316837" w:rsidRDefault="006E7A59" w:rsidP="006E7A59">
      <w:r w:rsidRPr="00316837">
        <w:t xml:space="preserve">Currently, the regional electricity market in the SADC Region under SAPP comprises the bilateral market, the </w:t>
      </w:r>
      <w:r w:rsidRPr="00316837">
        <w:rPr>
          <w:szCs w:val="20"/>
        </w:rPr>
        <w:t>forward physical market, the day-ahead market, and the intraday market</w:t>
      </w:r>
      <w:r w:rsidR="00DE4B69" w:rsidRPr="00316837">
        <w:rPr>
          <w:szCs w:val="20"/>
        </w:rPr>
        <w:t xml:space="preserve"> (see </w:t>
      </w:r>
      <w:r w:rsidR="00DE4B69" w:rsidRPr="00316837">
        <w:rPr>
          <w:szCs w:val="20"/>
        </w:rPr>
        <w:fldChar w:fldCharType="begin"/>
      </w:r>
      <w:r w:rsidR="00DE4B69" w:rsidRPr="00316837">
        <w:rPr>
          <w:szCs w:val="20"/>
        </w:rPr>
        <w:instrText xml:space="preserve"> REF _Ref74144757 \h  \* MERGEFORMAT </w:instrText>
      </w:r>
      <w:r w:rsidR="00DE4B69" w:rsidRPr="00316837">
        <w:rPr>
          <w:szCs w:val="20"/>
        </w:rPr>
      </w:r>
      <w:r w:rsidR="00DE4B69" w:rsidRPr="00316837">
        <w:rPr>
          <w:szCs w:val="20"/>
        </w:rPr>
        <w:fldChar w:fldCharType="separate"/>
      </w:r>
      <w:r w:rsidR="00507C15" w:rsidRPr="006273BD">
        <w:rPr>
          <w:rFonts w:cs="Arial"/>
          <w:bCs/>
          <w:szCs w:val="20"/>
        </w:rPr>
        <w:t>Table 3</w:t>
      </w:r>
      <w:r w:rsidR="00507C15" w:rsidRPr="006273BD">
        <w:rPr>
          <w:rFonts w:cs="Arial"/>
          <w:bCs/>
          <w:szCs w:val="20"/>
        </w:rPr>
        <w:noBreakHyphen/>
        <w:t>2</w:t>
      </w:r>
      <w:r w:rsidR="00DE4B69" w:rsidRPr="00316837">
        <w:rPr>
          <w:szCs w:val="20"/>
        </w:rPr>
        <w:fldChar w:fldCharType="end"/>
      </w:r>
      <w:r w:rsidR="00DE4B69" w:rsidRPr="00C632F6">
        <w:rPr>
          <w:szCs w:val="20"/>
        </w:rPr>
        <w:t>)</w:t>
      </w:r>
      <w:r w:rsidRPr="00316837">
        <w:rPr>
          <w:szCs w:val="20"/>
        </w:rPr>
        <w:t xml:space="preserve">. </w:t>
      </w:r>
      <w:r w:rsidR="00393FE6" w:rsidRPr="00316837">
        <w:rPr>
          <w:szCs w:val="20"/>
        </w:rPr>
        <w:t>These markets are</w:t>
      </w:r>
      <w:r w:rsidR="00393FE6" w:rsidRPr="00316837">
        <w:t xml:space="preserve"> not meant to compete against each other, rather these should complement each other. </w:t>
      </w:r>
      <w:r w:rsidR="00DE4B69" w:rsidRPr="00316837">
        <w:t xml:space="preserve">In the near future, SAPP plans to transform the intraday market into the balancing market making it the real-time market by mid-2021. Also, it has plans to establish anew the ancillary services market and the financial instruments markets. </w:t>
      </w:r>
    </w:p>
    <w:p w14:paraId="2716B612" w14:textId="3F991F27" w:rsidR="00DE4B69" w:rsidRPr="00316837" w:rsidRDefault="00DE4B69" w:rsidP="00DE4B69">
      <w:pPr>
        <w:suppressAutoHyphens w:val="0"/>
        <w:spacing w:before="120"/>
        <w:ind w:left="1134" w:hanging="1134"/>
        <w:rPr>
          <w:rFonts w:cs="Arial"/>
          <w:bCs/>
          <w:sz w:val="18"/>
          <w:szCs w:val="18"/>
        </w:rPr>
      </w:pPr>
      <w:bookmarkStart w:id="66" w:name="_Ref74144757"/>
      <w:bookmarkStart w:id="67" w:name="_Toc77260239"/>
      <w:r w:rsidRPr="00316837">
        <w:rPr>
          <w:rFonts w:cs="Arial"/>
          <w:bCs/>
          <w:sz w:val="18"/>
          <w:szCs w:val="18"/>
        </w:rPr>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507C15">
        <w:rPr>
          <w:rFonts w:cs="Arial"/>
          <w:bCs/>
          <w:noProof/>
          <w:sz w:val="18"/>
          <w:szCs w:val="18"/>
        </w:rPr>
        <w:t>2</w:t>
      </w:r>
      <w:r w:rsidRPr="00316837">
        <w:rPr>
          <w:rFonts w:cs="Arial"/>
          <w:bCs/>
          <w:sz w:val="18"/>
          <w:szCs w:val="18"/>
        </w:rPr>
        <w:fldChar w:fldCharType="end"/>
      </w:r>
      <w:bookmarkEnd w:id="66"/>
      <w:r w:rsidRPr="00C632F6">
        <w:rPr>
          <w:rFonts w:cs="Arial"/>
          <w:bCs/>
          <w:sz w:val="18"/>
          <w:szCs w:val="18"/>
        </w:rPr>
        <w:t>: The regional electricity market in the SADC Region under SAPP</w:t>
      </w:r>
      <w:bookmarkEnd w:id="67"/>
      <w:r w:rsidR="001D4932" w:rsidRPr="00316837">
        <w:rPr>
          <w:rFonts w:cs="Arial"/>
          <w:bCs/>
          <w:sz w:val="18"/>
          <w:szCs w:val="18"/>
        </w:rPr>
        <w:t xml:space="preserve"> </w:t>
      </w:r>
    </w:p>
    <w:tbl>
      <w:tblPr>
        <w:tblStyle w:val="TableGrid"/>
        <w:tblW w:w="0" w:type="auto"/>
        <w:tblLook w:val="04A0" w:firstRow="1" w:lastRow="0" w:firstColumn="1" w:lastColumn="0" w:noHBand="0" w:noVBand="1"/>
      </w:tblPr>
      <w:tblGrid>
        <w:gridCol w:w="1696"/>
        <w:gridCol w:w="2552"/>
        <w:gridCol w:w="5381"/>
      </w:tblGrid>
      <w:tr w:rsidR="00DE4B69" w:rsidRPr="00316837" w14:paraId="2697489D" w14:textId="77777777" w:rsidTr="00DE4B69">
        <w:tc>
          <w:tcPr>
            <w:tcW w:w="1696" w:type="dxa"/>
            <w:shd w:val="clear" w:color="auto" w:fill="F2F2F2" w:themeFill="background1" w:themeFillShade="F2"/>
          </w:tcPr>
          <w:p w14:paraId="1AD96CDD" w14:textId="35C07C7B" w:rsidR="00DE4B69" w:rsidRPr="006273BD" w:rsidRDefault="00DE4B69" w:rsidP="00DE4B69">
            <w:pPr>
              <w:spacing w:before="120" w:after="120"/>
              <w:jc w:val="left"/>
              <w:rPr>
                <w:b/>
                <w:bCs/>
                <w:sz w:val="18"/>
                <w:szCs w:val="18"/>
              </w:rPr>
            </w:pPr>
            <w:r w:rsidRPr="006273BD">
              <w:rPr>
                <w:b/>
                <w:bCs/>
                <w:sz w:val="18"/>
                <w:szCs w:val="18"/>
              </w:rPr>
              <w:t>Market</w:t>
            </w:r>
          </w:p>
        </w:tc>
        <w:tc>
          <w:tcPr>
            <w:tcW w:w="2552" w:type="dxa"/>
            <w:shd w:val="clear" w:color="auto" w:fill="F2F2F2" w:themeFill="background1" w:themeFillShade="F2"/>
          </w:tcPr>
          <w:p w14:paraId="22321F25" w14:textId="3DCBAC91" w:rsidR="00DE4B69" w:rsidRPr="006273BD" w:rsidRDefault="00DE4B69" w:rsidP="00DE4B69">
            <w:pPr>
              <w:spacing w:before="120" w:after="120"/>
              <w:jc w:val="left"/>
              <w:rPr>
                <w:b/>
                <w:bCs/>
                <w:sz w:val="18"/>
                <w:szCs w:val="18"/>
              </w:rPr>
            </w:pPr>
            <w:r w:rsidRPr="006273BD">
              <w:rPr>
                <w:b/>
                <w:bCs/>
                <w:sz w:val="18"/>
                <w:szCs w:val="18"/>
              </w:rPr>
              <w:t>Main focus</w:t>
            </w:r>
          </w:p>
        </w:tc>
        <w:tc>
          <w:tcPr>
            <w:tcW w:w="5381" w:type="dxa"/>
            <w:shd w:val="clear" w:color="auto" w:fill="F2F2F2" w:themeFill="background1" w:themeFillShade="F2"/>
          </w:tcPr>
          <w:p w14:paraId="77E1A581" w14:textId="27A2D785" w:rsidR="00DE4B69" w:rsidRPr="006273BD" w:rsidRDefault="00DE4B69" w:rsidP="00DE4B69">
            <w:pPr>
              <w:spacing w:before="120" w:after="120"/>
              <w:jc w:val="left"/>
              <w:rPr>
                <w:b/>
                <w:bCs/>
                <w:sz w:val="18"/>
                <w:szCs w:val="18"/>
              </w:rPr>
            </w:pPr>
            <w:r w:rsidRPr="006273BD">
              <w:rPr>
                <w:b/>
                <w:bCs/>
                <w:sz w:val="18"/>
                <w:szCs w:val="18"/>
              </w:rPr>
              <w:t>Main characteristics</w:t>
            </w:r>
          </w:p>
        </w:tc>
      </w:tr>
      <w:tr w:rsidR="00DE4B69" w:rsidRPr="00316837" w14:paraId="464E4453" w14:textId="77777777" w:rsidTr="00DE4B69">
        <w:tc>
          <w:tcPr>
            <w:tcW w:w="1696" w:type="dxa"/>
          </w:tcPr>
          <w:p w14:paraId="14C98787" w14:textId="59C5BF27" w:rsidR="00DE4B69" w:rsidRPr="00316837" w:rsidRDefault="00DE4B69" w:rsidP="00DE4B69">
            <w:pPr>
              <w:spacing w:before="120" w:after="120"/>
              <w:jc w:val="left"/>
              <w:rPr>
                <w:sz w:val="18"/>
                <w:szCs w:val="18"/>
              </w:rPr>
            </w:pPr>
            <w:r w:rsidRPr="00316837">
              <w:rPr>
                <w:sz w:val="18"/>
                <w:szCs w:val="18"/>
              </w:rPr>
              <w:t xml:space="preserve">Bilateral market </w:t>
            </w:r>
          </w:p>
        </w:tc>
        <w:tc>
          <w:tcPr>
            <w:tcW w:w="2552" w:type="dxa"/>
          </w:tcPr>
          <w:p w14:paraId="12610D61" w14:textId="2C4A85B9" w:rsidR="00DE4B69" w:rsidRPr="00316837" w:rsidRDefault="00DE4B69" w:rsidP="00DE4B69">
            <w:pPr>
              <w:spacing w:before="120" w:after="120"/>
              <w:jc w:val="left"/>
              <w:rPr>
                <w:sz w:val="18"/>
                <w:szCs w:val="18"/>
              </w:rPr>
            </w:pPr>
            <w:r w:rsidRPr="00316837">
              <w:rPr>
                <w:sz w:val="18"/>
                <w:szCs w:val="18"/>
              </w:rPr>
              <w:t>Bilateral trading focuses mainly on meeting long-term demand and supply balance and on underpinning generation and transmission investments.</w:t>
            </w:r>
            <w:r w:rsidR="001D4932" w:rsidRPr="00316837">
              <w:rPr>
                <w:sz w:val="18"/>
                <w:szCs w:val="18"/>
              </w:rPr>
              <w:t xml:space="preserve"> </w:t>
            </w:r>
          </w:p>
        </w:tc>
        <w:tc>
          <w:tcPr>
            <w:tcW w:w="5381" w:type="dxa"/>
          </w:tcPr>
          <w:p w14:paraId="4345E7D9" w14:textId="636040DC" w:rsidR="00CE4D61" w:rsidRPr="00316837" w:rsidRDefault="00DE4B69" w:rsidP="00DE4B69">
            <w:pPr>
              <w:spacing w:before="120" w:after="120"/>
              <w:jc w:val="left"/>
              <w:rPr>
                <w:sz w:val="18"/>
                <w:szCs w:val="18"/>
              </w:rPr>
            </w:pPr>
            <w:r w:rsidRPr="00316837">
              <w:rPr>
                <w:sz w:val="18"/>
                <w:szCs w:val="18"/>
              </w:rPr>
              <w:t>Trading arrangements are mutually agreed bilaterally between two parties</w:t>
            </w:r>
            <w:r w:rsidR="001C601B" w:rsidRPr="00316837">
              <w:rPr>
                <w:sz w:val="18"/>
                <w:szCs w:val="18"/>
              </w:rPr>
              <w:t>, i.e. bilateral contracts are not negotiated through the central platform</w:t>
            </w:r>
            <w:r w:rsidRPr="00316837">
              <w:rPr>
                <w:sz w:val="18"/>
                <w:szCs w:val="18"/>
              </w:rPr>
              <w:t xml:space="preserve">. Volumes and prices are the key parameters. </w:t>
            </w:r>
            <w:r w:rsidR="001C601B" w:rsidRPr="00316837">
              <w:rPr>
                <w:sz w:val="18"/>
                <w:szCs w:val="18"/>
              </w:rPr>
              <w:t>Trading paths are to be secured in advance.</w:t>
            </w:r>
          </w:p>
          <w:p w14:paraId="7D6A987F" w14:textId="42CD745E" w:rsidR="00CE4D61" w:rsidRPr="00316837" w:rsidRDefault="001C601B" w:rsidP="00DE4B69">
            <w:pPr>
              <w:spacing w:before="120" w:after="120"/>
              <w:jc w:val="left"/>
              <w:rPr>
                <w:sz w:val="18"/>
                <w:szCs w:val="18"/>
              </w:rPr>
            </w:pPr>
            <w:r w:rsidRPr="00316837">
              <w:rPr>
                <w:sz w:val="18"/>
                <w:szCs w:val="18"/>
              </w:rPr>
              <w:t xml:space="preserve">All bilateral contracts are registered with their agreed trading paths, maximum volume and the two counterparts. All nominations and actual utilisation of bilateral contracts are maintained by SAPP daily. </w:t>
            </w:r>
          </w:p>
          <w:p w14:paraId="4A8E1313" w14:textId="77777777" w:rsidR="00CE4D61" w:rsidRPr="00316837" w:rsidRDefault="00DE4B69" w:rsidP="00DE4B69">
            <w:pPr>
              <w:spacing w:before="120" w:after="120"/>
              <w:jc w:val="left"/>
              <w:rPr>
                <w:sz w:val="18"/>
                <w:szCs w:val="18"/>
              </w:rPr>
            </w:pPr>
            <w:r w:rsidRPr="00316837">
              <w:rPr>
                <w:sz w:val="18"/>
                <w:szCs w:val="18"/>
              </w:rPr>
              <w:t xml:space="preserve">Firm contracts have penalties for non-delivery, and are generally not interruptible. Non-firm contracts are interruptible with notice (if notice is submitted on time, there are no penalties applied), and are generally less than 75% reliable. </w:t>
            </w:r>
          </w:p>
          <w:p w14:paraId="304AF2B8" w14:textId="41F8C3FA" w:rsidR="00DE4B69" w:rsidRPr="00316837" w:rsidRDefault="00DE4B69" w:rsidP="00DE4B69">
            <w:pPr>
              <w:spacing w:before="120" w:after="120"/>
              <w:jc w:val="left"/>
              <w:rPr>
                <w:sz w:val="18"/>
                <w:szCs w:val="18"/>
              </w:rPr>
            </w:pPr>
            <w:r w:rsidRPr="00316837">
              <w:rPr>
                <w:sz w:val="18"/>
                <w:szCs w:val="18"/>
              </w:rPr>
              <w:t xml:space="preserve">SAPP facilitates realisation of contracts, provides reconciliation of balance, </w:t>
            </w:r>
            <w:r w:rsidR="001C601B" w:rsidRPr="00316837">
              <w:rPr>
                <w:sz w:val="18"/>
                <w:szCs w:val="18"/>
              </w:rPr>
              <w:t xml:space="preserve">calculates imbalance energy and </w:t>
            </w:r>
            <w:r w:rsidR="00CE4D61" w:rsidRPr="00316837">
              <w:rPr>
                <w:sz w:val="18"/>
                <w:szCs w:val="18"/>
              </w:rPr>
              <w:t xml:space="preserve">coordinates </w:t>
            </w:r>
            <w:r w:rsidR="001C601B" w:rsidRPr="00316837">
              <w:rPr>
                <w:sz w:val="18"/>
                <w:szCs w:val="18"/>
              </w:rPr>
              <w:t>its management</w:t>
            </w:r>
            <w:r w:rsidR="00CE4D61" w:rsidRPr="00316837">
              <w:rPr>
                <w:sz w:val="18"/>
                <w:szCs w:val="18"/>
              </w:rPr>
              <w:t xml:space="preserve">, </w:t>
            </w:r>
            <w:r w:rsidRPr="00316837">
              <w:rPr>
                <w:sz w:val="18"/>
                <w:szCs w:val="18"/>
              </w:rPr>
              <w:t>calculates transmission losses</w:t>
            </w:r>
            <w:r w:rsidR="001C601B" w:rsidRPr="00316837">
              <w:rPr>
                <w:sz w:val="18"/>
                <w:szCs w:val="18"/>
              </w:rPr>
              <w:t xml:space="preserve"> and</w:t>
            </w:r>
            <w:r w:rsidRPr="00316837">
              <w:rPr>
                <w:sz w:val="18"/>
                <w:szCs w:val="18"/>
              </w:rPr>
              <w:t xml:space="preserve"> transmission pricing</w:t>
            </w:r>
            <w:r w:rsidR="00CE4D61" w:rsidRPr="00316837">
              <w:rPr>
                <w:sz w:val="18"/>
                <w:szCs w:val="18"/>
              </w:rPr>
              <w:t>/wheeling charges</w:t>
            </w:r>
            <w:r w:rsidR="001C601B" w:rsidRPr="00316837">
              <w:rPr>
                <w:sz w:val="18"/>
                <w:szCs w:val="18"/>
              </w:rPr>
              <w:t xml:space="preserve"> and</w:t>
            </w:r>
            <w:r w:rsidRPr="00316837">
              <w:rPr>
                <w:sz w:val="18"/>
                <w:szCs w:val="18"/>
              </w:rPr>
              <w:t xml:space="preserve"> </w:t>
            </w:r>
            <w:r w:rsidR="001C601B" w:rsidRPr="00316837">
              <w:rPr>
                <w:sz w:val="18"/>
                <w:szCs w:val="18"/>
              </w:rPr>
              <w:t xml:space="preserve">performs settlement of both losses and wheeling through a common methodology and acts as a central counterpart for the settlement of these, optimises the use of transmission capacity between the countries, </w:t>
            </w:r>
            <w:r w:rsidRPr="00316837">
              <w:rPr>
                <w:sz w:val="18"/>
                <w:szCs w:val="18"/>
              </w:rPr>
              <w:t>etc.</w:t>
            </w:r>
            <w:r w:rsidR="001D4932" w:rsidRPr="00316837">
              <w:rPr>
                <w:sz w:val="18"/>
                <w:szCs w:val="18"/>
              </w:rPr>
              <w:t xml:space="preserve"> </w:t>
            </w:r>
          </w:p>
        </w:tc>
      </w:tr>
      <w:tr w:rsidR="00DE4B69" w:rsidRPr="00316837" w14:paraId="489B5F3D" w14:textId="77777777" w:rsidTr="00DE4B69">
        <w:tc>
          <w:tcPr>
            <w:tcW w:w="1696" w:type="dxa"/>
          </w:tcPr>
          <w:p w14:paraId="43A008EE" w14:textId="7F832961" w:rsidR="00DE4B69" w:rsidRPr="00316837" w:rsidRDefault="00DE4B69" w:rsidP="00DE4B69">
            <w:pPr>
              <w:spacing w:before="120" w:after="120"/>
              <w:jc w:val="left"/>
              <w:rPr>
                <w:sz w:val="18"/>
                <w:szCs w:val="18"/>
              </w:rPr>
            </w:pPr>
            <w:r w:rsidRPr="00316837">
              <w:rPr>
                <w:sz w:val="18"/>
                <w:szCs w:val="18"/>
              </w:rPr>
              <w:t>Forward physical market</w:t>
            </w:r>
            <w:r w:rsidR="001D4932" w:rsidRPr="00316837">
              <w:rPr>
                <w:sz w:val="18"/>
                <w:szCs w:val="18"/>
              </w:rPr>
              <w:t xml:space="preserve"> </w:t>
            </w:r>
          </w:p>
        </w:tc>
        <w:tc>
          <w:tcPr>
            <w:tcW w:w="2552" w:type="dxa"/>
          </w:tcPr>
          <w:p w14:paraId="6D837810" w14:textId="65D76D17" w:rsidR="00DE4B69" w:rsidRPr="00316837" w:rsidRDefault="00DE4B69" w:rsidP="00DE4B69">
            <w:pPr>
              <w:spacing w:before="120" w:after="120"/>
              <w:jc w:val="left"/>
              <w:rPr>
                <w:sz w:val="18"/>
                <w:szCs w:val="18"/>
              </w:rPr>
            </w:pPr>
            <w:r w:rsidRPr="00316837">
              <w:rPr>
                <w:sz w:val="18"/>
                <w:szCs w:val="18"/>
              </w:rPr>
              <w:t>Competitive trading focuses mainly on meeting short-term demand and supply balance</w:t>
            </w:r>
            <w:r w:rsidR="00CE4D61" w:rsidRPr="00316837">
              <w:rPr>
                <w:sz w:val="18"/>
                <w:szCs w:val="18"/>
              </w:rPr>
              <w:t xml:space="preserve">, </w:t>
            </w:r>
            <w:r w:rsidR="00CE4D61" w:rsidRPr="00316837">
              <w:rPr>
                <w:sz w:val="18"/>
                <w:szCs w:val="18"/>
              </w:rPr>
              <w:lastRenderedPageBreak/>
              <w:t>i.e. allowing market participants to balance their monthly/weekly positions</w:t>
            </w:r>
            <w:r w:rsidRPr="00316837">
              <w:rPr>
                <w:sz w:val="18"/>
                <w:szCs w:val="18"/>
              </w:rPr>
              <w:t>.</w:t>
            </w:r>
            <w:r w:rsidR="001D4932" w:rsidRPr="00316837">
              <w:rPr>
                <w:sz w:val="18"/>
                <w:szCs w:val="18"/>
              </w:rPr>
              <w:t xml:space="preserve"> </w:t>
            </w:r>
          </w:p>
        </w:tc>
        <w:tc>
          <w:tcPr>
            <w:tcW w:w="5381" w:type="dxa"/>
          </w:tcPr>
          <w:p w14:paraId="4080D2CD" w14:textId="0459CDCD" w:rsidR="00DE4B69" w:rsidRPr="00316837" w:rsidRDefault="00DE4B69" w:rsidP="001C601B">
            <w:pPr>
              <w:spacing w:before="120" w:after="120"/>
              <w:jc w:val="left"/>
              <w:rPr>
                <w:sz w:val="18"/>
                <w:szCs w:val="18"/>
              </w:rPr>
            </w:pPr>
            <w:r w:rsidRPr="00316837">
              <w:rPr>
                <w:sz w:val="18"/>
                <w:szCs w:val="18"/>
              </w:rPr>
              <w:lastRenderedPageBreak/>
              <w:t xml:space="preserve">Trading is realised in monthly or weekly </w:t>
            </w:r>
            <w:r w:rsidR="00CE4D61" w:rsidRPr="00316837">
              <w:rPr>
                <w:sz w:val="18"/>
                <w:szCs w:val="18"/>
              </w:rPr>
              <w:t>auctions</w:t>
            </w:r>
            <w:r w:rsidRPr="00316837">
              <w:rPr>
                <w:sz w:val="18"/>
                <w:szCs w:val="18"/>
              </w:rPr>
              <w:t xml:space="preserve"> (or any other defined periods longer than one day ahead) for future delivery according to the contract specifications. </w:t>
            </w:r>
            <w:r w:rsidR="001C601B" w:rsidRPr="00316837">
              <w:rPr>
                <w:sz w:val="18"/>
                <w:szCs w:val="18"/>
              </w:rPr>
              <w:t xml:space="preserve">A single calculation is </w:t>
            </w:r>
            <w:r w:rsidR="001C601B" w:rsidRPr="00316837">
              <w:rPr>
                <w:sz w:val="18"/>
                <w:szCs w:val="18"/>
              </w:rPr>
              <w:lastRenderedPageBreak/>
              <w:t xml:space="preserve">executed based on the collection of all orders and available transmission capacity. Auctions are executed every trading day for a physical delivery of the traded volume the next delivery period. The delivery period is the next month, or the next week, where the market result is calculated with one price and scheduled volume for all hours defined for the given products. </w:t>
            </w:r>
          </w:p>
          <w:p w14:paraId="76E56680" w14:textId="4073150F" w:rsidR="00DE4B69" w:rsidRPr="00316837" w:rsidRDefault="00DE4B69" w:rsidP="00DE4B69">
            <w:pPr>
              <w:spacing w:before="120" w:after="120"/>
              <w:jc w:val="left"/>
              <w:rPr>
                <w:sz w:val="18"/>
                <w:szCs w:val="18"/>
              </w:rPr>
            </w:pPr>
            <w:r w:rsidRPr="00316837">
              <w:rPr>
                <w:sz w:val="18"/>
                <w:szCs w:val="18"/>
              </w:rPr>
              <w:t>The following energy contracts may be traded</w:t>
            </w:r>
            <w:r w:rsidR="001C601B" w:rsidRPr="00316837">
              <w:rPr>
                <w:sz w:val="18"/>
                <w:szCs w:val="18"/>
              </w:rPr>
              <w:t xml:space="preserve"> in auctions</w:t>
            </w:r>
            <w:r w:rsidRPr="00316837">
              <w:rPr>
                <w:sz w:val="18"/>
                <w:szCs w:val="18"/>
              </w:rPr>
              <w:t xml:space="preserve">: </w:t>
            </w:r>
          </w:p>
          <w:p w14:paraId="599A3A01" w14:textId="77777777" w:rsidR="00DE4B69" w:rsidRPr="00316837" w:rsidRDefault="00DE4B69" w:rsidP="00DE4B69">
            <w:pPr>
              <w:numPr>
                <w:ilvl w:val="0"/>
                <w:numId w:val="18"/>
              </w:numPr>
              <w:spacing w:before="120" w:after="120"/>
              <w:jc w:val="left"/>
              <w:rPr>
                <w:sz w:val="18"/>
                <w:szCs w:val="18"/>
              </w:rPr>
            </w:pPr>
            <w:r w:rsidRPr="00316837">
              <w:rPr>
                <w:sz w:val="18"/>
                <w:szCs w:val="18"/>
              </w:rPr>
              <w:t xml:space="preserve">monthly trade’s hourly energy baseload contracts for each of the 24 hours of all days in the following month, </w:t>
            </w:r>
          </w:p>
          <w:p w14:paraId="0CB01BCC" w14:textId="77777777" w:rsidR="00DE4B69" w:rsidRPr="00316837" w:rsidRDefault="00DE4B69" w:rsidP="00DE4B69">
            <w:pPr>
              <w:numPr>
                <w:ilvl w:val="0"/>
                <w:numId w:val="18"/>
              </w:numPr>
              <w:spacing w:before="120" w:after="120"/>
              <w:jc w:val="left"/>
              <w:rPr>
                <w:sz w:val="18"/>
                <w:szCs w:val="18"/>
              </w:rPr>
            </w:pPr>
            <w:r w:rsidRPr="00316837">
              <w:rPr>
                <w:sz w:val="18"/>
                <w:szCs w:val="18"/>
              </w:rPr>
              <w:t xml:space="preserve">hourly energy baseload contracts for the time-of-use contracts with different hourly patterns valid for all days in the following month (for off-peak hours and non off-peak hours), and </w:t>
            </w:r>
          </w:p>
          <w:p w14:paraId="67A1E357" w14:textId="4F84EAA3" w:rsidR="00CE4D61" w:rsidRPr="00316837" w:rsidRDefault="00DE4B69" w:rsidP="00CE4D61">
            <w:pPr>
              <w:numPr>
                <w:ilvl w:val="0"/>
                <w:numId w:val="18"/>
              </w:numPr>
              <w:spacing w:before="120" w:after="120"/>
              <w:jc w:val="left"/>
              <w:rPr>
                <w:sz w:val="18"/>
                <w:szCs w:val="18"/>
              </w:rPr>
            </w:pPr>
            <w:r w:rsidRPr="00316837">
              <w:rPr>
                <w:sz w:val="18"/>
                <w:szCs w:val="18"/>
              </w:rPr>
              <w:t xml:space="preserve">weekly trade’s hourly energy contracts for the time-of-use contracts with different hourly patterns valid for all days in the following week (for off-peak hours, peak hours, and standard hours). </w:t>
            </w:r>
          </w:p>
        </w:tc>
      </w:tr>
      <w:tr w:rsidR="00DE4B69" w:rsidRPr="00316837" w14:paraId="4802DB62" w14:textId="77777777" w:rsidTr="00DE4B69">
        <w:tc>
          <w:tcPr>
            <w:tcW w:w="1696" w:type="dxa"/>
          </w:tcPr>
          <w:p w14:paraId="0BA190D0" w14:textId="1480F921" w:rsidR="00DE4B69" w:rsidRPr="00316837" w:rsidRDefault="00DE4B69" w:rsidP="00DE4B69">
            <w:pPr>
              <w:spacing w:before="120" w:after="120"/>
              <w:jc w:val="left"/>
              <w:rPr>
                <w:sz w:val="18"/>
                <w:szCs w:val="18"/>
              </w:rPr>
            </w:pPr>
            <w:r w:rsidRPr="00316837">
              <w:rPr>
                <w:sz w:val="18"/>
                <w:szCs w:val="18"/>
              </w:rPr>
              <w:lastRenderedPageBreak/>
              <w:t>Day-ahead market</w:t>
            </w:r>
            <w:r w:rsidR="001D4932" w:rsidRPr="00316837">
              <w:rPr>
                <w:sz w:val="18"/>
                <w:szCs w:val="18"/>
              </w:rPr>
              <w:t xml:space="preserve"> </w:t>
            </w:r>
          </w:p>
        </w:tc>
        <w:tc>
          <w:tcPr>
            <w:tcW w:w="2552" w:type="dxa"/>
          </w:tcPr>
          <w:p w14:paraId="503D3362" w14:textId="32E21E70" w:rsidR="00DE4B69" w:rsidRPr="00316837" w:rsidRDefault="00DE4B69" w:rsidP="00DE4B69">
            <w:pPr>
              <w:spacing w:before="120" w:after="120"/>
              <w:jc w:val="left"/>
              <w:rPr>
                <w:sz w:val="18"/>
                <w:szCs w:val="18"/>
              </w:rPr>
            </w:pPr>
            <w:r w:rsidRPr="00316837">
              <w:rPr>
                <w:sz w:val="18"/>
                <w:szCs w:val="18"/>
              </w:rPr>
              <w:t>Electricity trading focuses mainly on assisting in managing load and generation fluctuations, and optimising supply and demand portfolios in a bid to minimise cost of supply and maximise participants profits.</w:t>
            </w:r>
            <w:r w:rsidR="001D4932" w:rsidRPr="00316837">
              <w:rPr>
                <w:sz w:val="18"/>
                <w:szCs w:val="18"/>
              </w:rPr>
              <w:t xml:space="preserve"> </w:t>
            </w:r>
          </w:p>
        </w:tc>
        <w:tc>
          <w:tcPr>
            <w:tcW w:w="5381" w:type="dxa"/>
          </w:tcPr>
          <w:p w14:paraId="17076FFB" w14:textId="0A05B465" w:rsidR="00CE4D61" w:rsidRPr="00316837" w:rsidRDefault="00DE4B69" w:rsidP="001C601B">
            <w:pPr>
              <w:spacing w:before="120" w:after="120"/>
              <w:jc w:val="left"/>
              <w:rPr>
                <w:sz w:val="18"/>
                <w:szCs w:val="18"/>
              </w:rPr>
            </w:pPr>
            <w:r w:rsidRPr="00316837">
              <w:rPr>
                <w:sz w:val="18"/>
                <w:szCs w:val="18"/>
              </w:rPr>
              <w:t xml:space="preserve">Trading takes place </w:t>
            </w:r>
            <w:r w:rsidR="00CE4D61" w:rsidRPr="00316837">
              <w:rPr>
                <w:sz w:val="18"/>
                <w:szCs w:val="18"/>
              </w:rPr>
              <w:t xml:space="preserve">in auctions </w:t>
            </w:r>
            <w:r w:rsidRPr="00316837">
              <w:rPr>
                <w:sz w:val="18"/>
                <w:szCs w:val="18"/>
              </w:rPr>
              <w:t xml:space="preserve">a day in advance of the delivery of such trades. </w:t>
            </w:r>
            <w:r w:rsidR="001C601B" w:rsidRPr="00316837">
              <w:rPr>
                <w:sz w:val="18"/>
                <w:szCs w:val="18"/>
              </w:rPr>
              <w:t>A single calculation is executed based on the collection of all orders and available transmission capacity.</w:t>
            </w:r>
            <w:r w:rsidR="001C601B" w:rsidRPr="00316837">
              <w:t xml:space="preserve"> </w:t>
            </w:r>
            <w:r w:rsidR="001C601B" w:rsidRPr="00316837">
              <w:rPr>
                <w:sz w:val="18"/>
                <w:szCs w:val="18"/>
              </w:rPr>
              <w:t xml:space="preserve">A balance price between generation and consumption is valid for all trades. A price and a volume is calculated for each hour in the next delivery period. </w:t>
            </w:r>
          </w:p>
          <w:p w14:paraId="56E91CCD" w14:textId="27B6720D" w:rsidR="00DE4B69" w:rsidRPr="00316837" w:rsidRDefault="00DE4B69" w:rsidP="00DE4B69">
            <w:pPr>
              <w:spacing w:before="120" w:after="120"/>
              <w:jc w:val="left"/>
              <w:rPr>
                <w:sz w:val="18"/>
                <w:szCs w:val="18"/>
              </w:rPr>
            </w:pPr>
            <w:r w:rsidRPr="00316837">
              <w:rPr>
                <w:sz w:val="18"/>
                <w:szCs w:val="18"/>
              </w:rPr>
              <w:t>Hourly energy contracts are enabled for each of the 24 hours of the following day, or a future day.</w:t>
            </w:r>
            <w:r w:rsidR="001D4932" w:rsidRPr="00316837">
              <w:rPr>
                <w:sz w:val="18"/>
                <w:szCs w:val="18"/>
              </w:rPr>
              <w:t xml:space="preserve"> </w:t>
            </w:r>
          </w:p>
        </w:tc>
      </w:tr>
      <w:tr w:rsidR="00DE4B69" w:rsidRPr="00316837" w14:paraId="02EA492F" w14:textId="77777777" w:rsidTr="00DE4B69">
        <w:tc>
          <w:tcPr>
            <w:tcW w:w="1696" w:type="dxa"/>
          </w:tcPr>
          <w:p w14:paraId="30A7228F" w14:textId="1D421B84" w:rsidR="00DE4B69" w:rsidRPr="00316837" w:rsidRDefault="00DE4B69" w:rsidP="00DE4B69">
            <w:pPr>
              <w:spacing w:before="120" w:after="120"/>
              <w:jc w:val="left"/>
              <w:rPr>
                <w:sz w:val="18"/>
                <w:szCs w:val="18"/>
              </w:rPr>
            </w:pPr>
            <w:r w:rsidRPr="00316837">
              <w:rPr>
                <w:sz w:val="18"/>
                <w:szCs w:val="18"/>
              </w:rPr>
              <w:t>Intraday market</w:t>
            </w:r>
            <w:r w:rsidR="00CE4D61" w:rsidRPr="00316837">
              <w:rPr>
                <w:sz w:val="18"/>
                <w:szCs w:val="18"/>
              </w:rPr>
              <w:t xml:space="preserve"> (to be replaced by the balancing market in mid-2021)</w:t>
            </w:r>
            <w:r w:rsidR="001D4932" w:rsidRPr="00316837">
              <w:rPr>
                <w:sz w:val="18"/>
                <w:szCs w:val="18"/>
              </w:rPr>
              <w:t xml:space="preserve"> </w:t>
            </w:r>
          </w:p>
        </w:tc>
        <w:tc>
          <w:tcPr>
            <w:tcW w:w="2552" w:type="dxa"/>
          </w:tcPr>
          <w:p w14:paraId="16E58744" w14:textId="0AAE4DA4" w:rsidR="00DE4B69" w:rsidRPr="00316837" w:rsidRDefault="00DE4B69" w:rsidP="00DE4B69">
            <w:pPr>
              <w:spacing w:before="120" w:after="120"/>
              <w:jc w:val="left"/>
              <w:rPr>
                <w:sz w:val="18"/>
                <w:szCs w:val="18"/>
              </w:rPr>
            </w:pPr>
            <w:r w:rsidRPr="00316837">
              <w:rPr>
                <w:sz w:val="18"/>
                <w:szCs w:val="18"/>
              </w:rPr>
              <w:t>Electricity trading focuses mainly on settling all the outstanding requirements after actual trading in the day-ahead market has been done</w:t>
            </w:r>
            <w:r w:rsidR="00CE4D61" w:rsidRPr="00316837">
              <w:rPr>
                <w:sz w:val="18"/>
                <w:szCs w:val="18"/>
              </w:rPr>
              <w:t xml:space="preserve">, i.e. balancing market participants’ portfolios during the day of trade. </w:t>
            </w:r>
          </w:p>
        </w:tc>
        <w:tc>
          <w:tcPr>
            <w:tcW w:w="5381" w:type="dxa"/>
          </w:tcPr>
          <w:p w14:paraId="0580C322" w14:textId="77777777" w:rsidR="00CE4D61" w:rsidRPr="00316837" w:rsidRDefault="00DE4B69" w:rsidP="00DE4B69">
            <w:pPr>
              <w:spacing w:before="120" w:after="120"/>
              <w:jc w:val="left"/>
              <w:rPr>
                <w:sz w:val="18"/>
                <w:szCs w:val="18"/>
              </w:rPr>
            </w:pPr>
            <w:r w:rsidRPr="00316837">
              <w:rPr>
                <w:sz w:val="18"/>
                <w:szCs w:val="18"/>
              </w:rPr>
              <w:t xml:space="preserve">Trading takes place continuously every day around the clock until one hour before delivery. </w:t>
            </w:r>
          </w:p>
          <w:p w14:paraId="26733FBD" w14:textId="77777777" w:rsidR="001C601B" w:rsidRPr="00316837" w:rsidRDefault="00DE4B69" w:rsidP="001C601B">
            <w:pPr>
              <w:spacing w:before="120" w:after="120"/>
              <w:jc w:val="left"/>
              <w:rPr>
                <w:sz w:val="18"/>
                <w:szCs w:val="18"/>
              </w:rPr>
            </w:pPr>
            <w:r w:rsidRPr="00316837">
              <w:rPr>
                <w:sz w:val="18"/>
                <w:szCs w:val="18"/>
              </w:rPr>
              <w:t xml:space="preserve">Prices are set based on a first-come, first-served principle. </w:t>
            </w:r>
          </w:p>
          <w:p w14:paraId="71D2E7D6" w14:textId="3D7E042E" w:rsidR="00CE4D61" w:rsidRPr="00316837" w:rsidRDefault="001C601B" w:rsidP="001C601B">
            <w:pPr>
              <w:spacing w:before="120" w:after="120"/>
              <w:jc w:val="left"/>
              <w:rPr>
                <w:sz w:val="18"/>
                <w:szCs w:val="18"/>
              </w:rPr>
            </w:pPr>
            <w:r w:rsidRPr="00316837">
              <w:rPr>
                <w:sz w:val="18"/>
                <w:szCs w:val="18"/>
              </w:rPr>
              <w:t xml:space="preserve">For information purposes only, a closing price for each hour is reported after the intraday market is closed. This price can be a volume-weighted price (average cost) for all trades in the given hour. </w:t>
            </w:r>
          </w:p>
          <w:p w14:paraId="3655B278" w14:textId="0C2652AD" w:rsidR="00DE4B69" w:rsidRPr="00316837" w:rsidRDefault="00DE4B69" w:rsidP="00DE4B69">
            <w:pPr>
              <w:spacing w:before="120" w:after="120"/>
              <w:jc w:val="left"/>
              <w:rPr>
                <w:sz w:val="18"/>
                <w:szCs w:val="18"/>
              </w:rPr>
            </w:pPr>
            <w:r w:rsidRPr="00316837">
              <w:rPr>
                <w:sz w:val="18"/>
                <w:szCs w:val="18"/>
              </w:rPr>
              <w:t>Hourly energy contracts are enabled for one or more hours for periods as specified by the SAPP Market Operator.</w:t>
            </w:r>
            <w:r w:rsidR="001D4932" w:rsidRPr="00316837">
              <w:rPr>
                <w:sz w:val="18"/>
                <w:szCs w:val="18"/>
              </w:rPr>
              <w:t xml:space="preserve"> </w:t>
            </w:r>
          </w:p>
          <w:p w14:paraId="5B352356" w14:textId="6FC64B6A" w:rsidR="001C601B" w:rsidRPr="00316837" w:rsidRDefault="001C601B" w:rsidP="001C601B">
            <w:pPr>
              <w:spacing w:before="120" w:after="120"/>
              <w:jc w:val="left"/>
              <w:rPr>
                <w:sz w:val="18"/>
                <w:szCs w:val="18"/>
              </w:rPr>
            </w:pPr>
            <w:r w:rsidRPr="00316837">
              <w:rPr>
                <w:sz w:val="18"/>
                <w:szCs w:val="18"/>
              </w:rPr>
              <w:t xml:space="preserve">The general rule is that whatever transmission capacity not utilised in the forward physical market and the day-ahead market is given to the intraday market. </w:t>
            </w:r>
          </w:p>
          <w:p w14:paraId="7E8301D5" w14:textId="6AE7992D" w:rsidR="00CE4D61" w:rsidRPr="00316837" w:rsidRDefault="00CE4D61" w:rsidP="00DE4B69">
            <w:pPr>
              <w:spacing w:before="120" w:after="120"/>
              <w:jc w:val="left"/>
              <w:rPr>
                <w:sz w:val="18"/>
                <w:szCs w:val="18"/>
              </w:rPr>
            </w:pPr>
            <w:r w:rsidRPr="00316837">
              <w:rPr>
                <w:sz w:val="18"/>
                <w:szCs w:val="18"/>
              </w:rPr>
              <w:t xml:space="preserve">The balancing market is </w:t>
            </w:r>
            <w:r w:rsidR="001C601B" w:rsidRPr="00316837">
              <w:rPr>
                <w:sz w:val="18"/>
                <w:szCs w:val="18"/>
              </w:rPr>
              <w:t>i</w:t>
            </w:r>
            <w:r w:rsidRPr="00316837">
              <w:rPr>
                <w:sz w:val="18"/>
                <w:szCs w:val="18"/>
              </w:rPr>
              <w:t>n its final stages of development and will be implemented soon</w:t>
            </w:r>
            <w:r w:rsidR="00D53D58" w:rsidRPr="00316837">
              <w:rPr>
                <w:sz w:val="18"/>
                <w:szCs w:val="18"/>
              </w:rPr>
              <w:t xml:space="preserve"> (with gate closure time 15 minutes in the beginning, and 5 minutes later on)</w:t>
            </w:r>
            <w:r w:rsidRPr="00316837">
              <w:rPr>
                <w:sz w:val="18"/>
                <w:szCs w:val="18"/>
              </w:rPr>
              <w:t xml:space="preserve">. </w:t>
            </w:r>
          </w:p>
        </w:tc>
      </w:tr>
    </w:tbl>
    <w:p w14:paraId="12EE0FE5" w14:textId="48F3C822" w:rsidR="001C601B" w:rsidRPr="00316837" w:rsidRDefault="001C601B" w:rsidP="001C601B">
      <w:r w:rsidRPr="00316837">
        <w:t xml:space="preserve">The </w:t>
      </w:r>
      <w:r w:rsidR="00AD70E2" w:rsidRPr="00316837">
        <w:t xml:space="preserve">forward </w:t>
      </w:r>
      <w:r w:rsidRPr="00316837">
        <w:t xml:space="preserve">physical market and the day-ahead market are based on the principle of the auction model, which means that all market participants trade on equal terms and that they have a physical grid point for delivery of generation or withdrawal of consumption, in a given market area. This requires an agreement with the national TSO and a Balance Responsible Party, responsible for the market participants’ portfolio balance in the physical grid point (area). The auction trading model uses the available transmission capacity of the area interconnections given by the national TSOs, to run an implicit auction. This calculation determines both a system price and an area price, if any congestion in the area model is detected. The system price is calculated assuming no grid congestion, and is the unconstrained price. If the contractual flow of power between the pre-defined areas exceeds the transmission capacity available for market trade, grid congestion occurs and </w:t>
      </w:r>
      <w:r w:rsidRPr="00316837">
        <w:lastRenderedPageBreak/>
        <w:t xml:space="preserve">separate price areas are created (“market splitting”). The auction model is a fully transparent trading methodology where market participants submit orders that are seen only by the Power Exchange and the submitting market participant. </w:t>
      </w:r>
    </w:p>
    <w:p w14:paraId="7FDF12EE" w14:textId="353E6168" w:rsidR="001C601B" w:rsidRPr="00316837" w:rsidRDefault="001C601B" w:rsidP="001C601B">
      <w:r w:rsidRPr="00316837">
        <w:t>On the other hand, the intraday market is based on the continuous trading model which means a continuing matching of the orders submitted to the intraday market that can be of type sell (sales order), or buy (purchase order). The continuous trading model means that the orders are either matched automatically by the system on price, or a buyer / seller can accept and “hit” an order in the intraday market. The intraday market contracts are settled at the matched price. The continuous trading model is fully transparent where all market participants’ orders are only seen by the Power Exchange, as well as the market participant that owns the order. Normally trading is open 24/7 every day, but can be configured to operate for only a part of the day.</w:t>
      </w:r>
      <w:r w:rsidR="001D4932" w:rsidRPr="00316837">
        <w:t xml:space="preserve"> </w:t>
      </w:r>
    </w:p>
    <w:p w14:paraId="2B60ABAB" w14:textId="5641FF4F" w:rsidR="001C601B" w:rsidRPr="00316837" w:rsidRDefault="001C601B" w:rsidP="001C601B">
      <w:r w:rsidRPr="00316837">
        <w:t xml:space="preserve">Management of transmission capacity is integrated in all market timeframes. Available transmission capacities of the interconnections between the market areas are given to the markets by the responsible TSOs and submitted to SAPP. Based on the market participants’ portfolio orders and the available transmission capacities, the market clearing engine calculates if there is congestion in the grid, or if demand for trade of electricity between the market areas is fulfilled with the available transmission capacity. TSOs are responsible for transmission capacity per hour between the market areas in both directions. The values are entered using the market trading platform and data is automatically stored in the platform’s database. </w:t>
      </w:r>
    </w:p>
    <w:p w14:paraId="3CEC6AFE" w14:textId="47125CE3" w:rsidR="001C601B" w:rsidRPr="00316837" w:rsidRDefault="001C601B" w:rsidP="001C601B">
      <w:r w:rsidRPr="00316837">
        <w:t xml:space="preserve">Available transmission capacities of all interconnections, which are open market information and required information the market participant needs before concluding the bidding process, have to be entered for the forward physical market products and the day-ahead market product. The intraday market will use the transmission capacity available after the forward physical market and the day-ahead market has closed the market. The intraday market system module will calculate for all interconnections, hour by hour for the next delivery day, the available transmission capacity for the intraday market. TSOs responsible for the interconnections can also use a system function to release more, or revoke, available transmission capacity for each interconnection at any time. If a TSO decides to stop trading in the intraday market between two areas, the available transmission capacity will be set to zero (0). The intraday market system module will, in real-time, re-calculate available transmission capacity based on the matched orders. New values will be made available to all users logged on the intraday market system. </w:t>
      </w:r>
    </w:p>
    <w:p w14:paraId="28BF1EEE" w14:textId="0C77099A" w:rsidR="001C601B" w:rsidRPr="00316837" w:rsidRDefault="001C601B" w:rsidP="001C601B">
      <w:r w:rsidRPr="00316837">
        <w:t xml:space="preserve">The whole process starts with the TSOs entering transmission capacities for the forward physical market and trading in the monthly and weekly products. Then, after bilateral contracts are nominated, the system module in the market trading platform calculates the transmission capacity available for the day-ahead market. Next, the intraday market system module calculates for all interconnections, hour by hour for the next trading period, the rest of transmission capacity that will be available for trading in the intraday market. TSOs responsible for the interconnections can, for every hourly shift, use a market trading platform system function to release more or revoke available transmission capacity for each interconnection at any time. Available transmission capacity set to zero (0) on an interconnection stops trading between the market areas. </w:t>
      </w:r>
    </w:p>
    <w:p w14:paraId="4DB804DA" w14:textId="352BB337" w:rsidR="001C601B" w:rsidRPr="00316837" w:rsidRDefault="001C601B" w:rsidP="001C601B">
      <w:r w:rsidRPr="00316837">
        <w:t>The financial settlement of all the market trades is also integrated in the market trading platform.</w:t>
      </w:r>
      <w:r w:rsidR="001D4932" w:rsidRPr="00316837">
        <w:t xml:space="preserve"> </w:t>
      </w:r>
    </w:p>
    <w:p w14:paraId="407FEADD" w14:textId="1B0D49F8" w:rsidR="001C601B" w:rsidRPr="00316837" w:rsidRDefault="001C601B" w:rsidP="001C601B">
      <w:r w:rsidRPr="00316837">
        <w:t xml:space="preserve">In addition to the organised wholesale electricity markets as outlined above, SAPP also calculates and settles the following services: </w:t>
      </w:r>
    </w:p>
    <w:p w14:paraId="68A94963" w14:textId="7D4D57E4" w:rsidR="001C601B" w:rsidRPr="00316837" w:rsidRDefault="001C601B" w:rsidP="00316837">
      <w:pPr>
        <w:pStyle w:val="ListParagraph"/>
        <w:numPr>
          <w:ilvl w:val="0"/>
          <w:numId w:val="4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Settlement of losses – collecting payments and distributing revenues for market and bilateral trades; </w:t>
      </w:r>
    </w:p>
    <w:p w14:paraId="79B0F92E" w14:textId="5D67AB2B" w:rsidR="001C601B" w:rsidRPr="00316837" w:rsidRDefault="001C601B" w:rsidP="00316837">
      <w:pPr>
        <w:pStyle w:val="ListParagraph"/>
        <w:numPr>
          <w:ilvl w:val="0"/>
          <w:numId w:val="4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Settlement of wheeling – collecting payments and distributing revenues for market and bilateral trades; </w:t>
      </w:r>
    </w:p>
    <w:p w14:paraId="1992D2B8" w14:textId="51FF74F3" w:rsidR="001C601B" w:rsidRPr="00316837" w:rsidRDefault="001C601B" w:rsidP="00316837">
      <w:pPr>
        <w:pStyle w:val="ListParagraph"/>
        <w:numPr>
          <w:ilvl w:val="0"/>
          <w:numId w:val="4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Calculation and settlement of imbalance energy. </w:t>
      </w:r>
    </w:p>
    <w:p w14:paraId="1895E3EF" w14:textId="1DB84D6C" w:rsidR="00DE4B69" w:rsidRPr="00316837" w:rsidRDefault="00DE4B69" w:rsidP="002A40D8">
      <w:r w:rsidRPr="00316837">
        <w:t xml:space="preserve">The regional electricity market in the SADC Region under SAPP is governed by a set of documents and </w:t>
      </w:r>
      <w:r w:rsidRPr="00316837">
        <w:rPr>
          <w:szCs w:val="20"/>
        </w:rPr>
        <w:t xml:space="preserve">implemented by a dedicated structure (see </w:t>
      </w:r>
      <w:r w:rsidRPr="00316837">
        <w:rPr>
          <w:szCs w:val="20"/>
        </w:rPr>
        <w:fldChar w:fldCharType="begin"/>
      </w:r>
      <w:r w:rsidRPr="00316837">
        <w:rPr>
          <w:szCs w:val="20"/>
        </w:rPr>
        <w:instrText xml:space="preserve"> REF _Ref74145406 \h </w:instrText>
      </w:r>
      <w:r w:rsidR="00730395" w:rsidRPr="00316837">
        <w:rPr>
          <w:szCs w:val="20"/>
        </w:rPr>
        <w:instrText xml:space="preserve"> \* MERGEFORMAT </w:instrText>
      </w:r>
      <w:r w:rsidRPr="00316837">
        <w:rPr>
          <w:szCs w:val="20"/>
        </w:rPr>
      </w:r>
      <w:r w:rsidRPr="00316837">
        <w:rPr>
          <w:szCs w:val="20"/>
        </w:rPr>
        <w:fldChar w:fldCharType="separate"/>
      </w:r>
      <w:r w:rsidR="003057F5" w:rsidRPr="006273BD">
        <w:rPr>
          <w:rFonts w:cs="Arial"/>
          <w:bCs/>
          <w:szCs w:val="20"/>
        </w:rPr>
        <w:t>Table 3</w:t>
      </w:r>
      <w:r w:rsidR="003057F5" w:rsidRPr="006273BD">
        <w:rPr>
          <w:rFonts w:cs="Arial"/>
          <w:bCs/>
          <w:szCs w:val="20"/>
        </w:rPr>
        <w:noBreakHyphen/>
        <w:t>3</w:t>
      </w:r>
      <w:r w:rsidRPr="00316837">
        <w:rPr>
          <w:szCs w:val="20"/>
        </w:rPr>
        <w:fldChar w:fldCharType="end"/>
      </w:r>
      <w:r w:rsidRPr="00C632F6">
        <w:rPr>
          <w:szCs w:val="20"/>
        </w:rPr>
        <w:t xml:space="preserve">). </w:t>
      </w:r>
      <w:r w:rsidR="00D53D58" w:rsidRPr="00316837">
        <w:t xml:space="preserve">The market surveillance responsibilities in SAPP are given to the SAPP Markets Monitoring and Surveillance Team in 2019, in line with the current market growth and expected participation of new market participants such as IPPs and others. </w:t>
      </w:r>
      <w:r w:rsidRPr="00316837">
        <w:rPr>
          <w:szCs w:val="20"/>
        </w:rPr>
        <w:t>The market surveillance function is, in principle, the</w:t>
      </w:r>
      <w:r w:rsidRPr="00316837">
        <w:t xml:space="preserve"> official established market regulatory body that has access to the database of the </w:t>
      </w:r>
      <w:r w:rsidRPr="00316837">
        <w:lastRenderedPageBreak/>
        <w:t xml:space="preserve">SAPP Market Operator. Market surveillance activities result in reports covering at least the evaluation of the market pricing, the evaluation of the individual participants’ behaviour, and the report on the status/trend in the development of fundamental figures with a potential influence on pricing. </w:t>
      </w:r>
    </w:p>
    <w:p w14:paraId="0D5A70A3" w14:textId="18AB5C30" w:rsidR="00DE4B69" w:rsidRPr="00316837" w:rsidRDefault="00DE4B69" w:rsidP="00DE4B69">
      <w:pPr>
        <w:suppressAutoHyphens w:val="0"/>
        <w:spacing w:before="120"/>
        <w:ind w:left="1134" w:hanging="1134"/>
        <w:rPr>
          <w:rFonts w:cs="Arial"/>
          <w:bCs/>
          <w:sz w:val="18"/>
          <w:szCs w:val="18"/>
        </w:rPr>
      </w:pPr>
      <w:bookmarkStart w:id="68" w:name="_Ref74145406"/>
      <w:bookmarkStart w:id="69" w:name="_Toc77260240"/>
      <w:r w:rsidRPr="00316837">
        <w:rPr>
          <w:rFonts w:cs="Arial"/>
          <w:bCs/>
          <w:sz w:val="18"/>
          <w:szCs w:val="18"/>
        </w:rPr>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3057F5">
        <w:rPr>
          <w:rFonts w:cs="Arial"/>
          <w:bCs/>
          <w:noProof/>
          <w:sz w:val="18"/>
          <w:szCs w:val="18"/>
        </w:rPr>
        <w:t>3</w:t>
      </w:r>
      <w:r w:rsidRPr="00316837">
        <w:rPr>
          <w:rFonts w:cs="Arial"/>
          <w:bCs/>
          <w:sz w:val="18"/>
          <w:szCs w:val="18"/>
        </w:rPr>
        <w:fldChar w:fldCharType="end"/>
      </w:r>
      <w:bookmarkEnd w:id="68"/>
      <w:r w:rsidRPr="00C632F6">
        <w:rPr>
          <w:rFonts w:cs="Arial"/>
          <w:bCs/>
          <w:sz w:val="18"/>
          <w:szCs w:val="18"/>
        </w:rPr>
        <w:t>: Governing documents and the structure for implementation of the regional electricity market under SAPP</w:t>
      </w:r>
      <w:bookmarkEnd w:id="69"/>
      <w:r w:rsidR="001D4932" w:rsidRPr="00316837">
        <w:rPr>
          <w:rFonts w:cs="Arial"/>
          <w:bCs/>
          <w:sz w:val="18"/>
          <w:szCs w:val="18"/>
        </w:rPr>
        <w:t xml:space="preserve"> </w:t>
      </w:r>
    </w:p>
    <w:tbl>
      <w:tblPr>
        <w:tblStyle w:val="TableGrid"/>
        <w:tblW w:w="0" w:type="auto"/>
        <w:tblLook w:val="04A0" w:firstRow="1" w:lastRow="0" w:firstColumn="1" w:lastColumn="0" w:noHBand="0" w:noVBand="1"/>
      </w:tblPr>
      <w:tblGrid>
        <w:gridCol w:w="4248"/>
        <w:gridCol w:w="5381"/>
      </w:tblGrid>
      <w:tr w:rsidR="00DE4B69" w:rsidRPr="00316837" w14:paraId="7A5B04D0" w14:textId="77777777" w:rsidTr="00DE4B69">
        <w:tc>
          <w:tcPr>
            <w:tcW w:w="4248" w:type="dxa"/>
            <w:shd w:val="clear" w:color="auto" w:fill="F2F2F2" w:themeFill="background1" w:themeFillShade="F2"/>
          </w:tcPr>
          <w:p w14:paraId="4219ED65" w14:textId="7549BE58" w:rsidR="00DE4B69" w:rsidRPr="006273BD" w:rsidRDefault="00DE4B69" w:rsidP="00370081">
            <w:pPr>
              <w:spacing w:before="120" w:after="120"/>
              <w:jc w:val="left"/>
              <w:rPr>
                <w:b/>
                <w:bCs/>
                <w:sz w:val="18"/>
                <w:szCs w:val="18"/>
              </w:rPr>
            </w:pPr>
            <w:r w:rsidRPr="006273BD">
              <w:rPr>
                <w:b/>
                <w:bCs/>
                <w:sz w:val="18"/>
                <w:szCs w:val="18"/>
              </w:rPr>
              <w:t xml:space="preserve">Governing documents </w:t>
            </w:r>
          </w:p>
        </w:tc>
        <w:tc>
          <w:tcPr>
            <w:tcW w:w="5381" w:type="dxa"/>
            <w:shd w:val="clear" w:color="auto" w:fill="F2F2F2" w:themeFill="background1" w:themeFillShade="F2"/>
          </w:tcPr>
          <w:p w14:paraId="77B51E5E" w14:textId="520844A0" w:rsidR="00DE4B69" w:rsidRPr="006273BD" w:rsidRDefault="00DE4B69" w:rsidP="00370081">
            <w:pPr>
              <w:spacing w:before="120" w:after="120"/>
              <w:jc w:val="left"/>
              <w:rPr>
                <w:b/>
                <w:bCs/>
                <w:sz w:val="18"/>
                <w:szCs w:val="18"/>
              </w:rPr>
            </w:pPr>
            <w:r w:rsidRPr="006273BD">
              <w:rPr>
                <w:b/>
                <w:bCs/>
                <w:sz w:val="18"/>
                <w:szCs w:val="18"/>
              </w:rPr>
              <w:t>Implementation structure</w:t>
            </w:r>
          </w:p>
        </w:tc>
      </w:tr>
      <w:tr w:rsidR="00DE4B69" w:rsidRPr="00316837" w14:paraId="79FAC023" w14:textId="77777777" w:rsidTr="00DE4B69">
        <w:tc>
          <w:tcPr>
            <w:tcW w:w="4248" w:type="dxa"/>
          </w:tcPr>
          <w:p w14:paraId="4AB050E5" w14:textId="2497A4ED" w:rsidR="00DE4B69" w:rsidRPr="00316837" w:rsidRDefault="00DE4B69" w:rsidP="00370081">
            <w:pPr>
              <w:spacing w:before="120" w:after="120"/>
              <w:jc w:val="left"/>
              <w:rPr>
                <w:sz w:val="18"/>
                <w:szCs w:val="18"/>
              </w:rPr>
            </w:pPr>
            <w:r w:rsidRPr="00316837">
              <w:rPr>
                <w:sz w:val="18"/>
                <w:szCs w:val="18"/>
              </w:rPr>
              <w:t xml:space="preserve">Market Book of Rules, as a set of rules governing the SAPP Market Operations, making the agreement between all participants and </w:t>
            </w:r>
            <w:r w:rsidR="00A47797" w:rsidRPr="00316837">
              <w:rPr>
                <w:sz w:val="18"/>
                <w:szCs w:val="18"/>
              </w:rPr>
              <w:t xml:space="preserve">the SAPP </w:t>
            </w:r>
            <w:r w:rsidRPr="00316837">
              <w:rPr>
                <w:sz w:val="18"/>
                <w:szCs w:val="18"/>
              </w:rPr>
              <w:t xml:space="preserve">Market Operator </w:t>
            </w:r>
          </w:p>
          <w:p w14:paraId="10D4ABC2" w14:textId="2165DF18" w:rsidR="00DE4B69" w:rsidRPr="00316837" w:rsidRDefault="007A4971" w:rsidP="00370081">
            <w:pPr>
              <w:spacing w:before="120" w:after="120"/>
              <w:jc w:val="left"/>
              <w:rPr>
                <w:sz w:val="18"/>
                <w:szCs w:val="18"/>
              </w:rPr>
            </w:pPr>
            <w:r w:rsidRPr="00316837">
              <w:rPr>
                <w:sz w:val="18"/>
                <w:szCs w:val="18"/>
              </w:rPr>
              <w:t xml:space="preserve">Market </w:t>
            </w:r>
            <w:r w:rsidR="00DE4B69" w:rsidRPr="00316837">
              <w:rPr>
                <w:sz w:val="18"/>
                <w:szCs w:val="18"/>
              </w:rPr>
              <w:t xml:space="preserve">Participation Agreement, between each participant and </w:t>
            </w:r>
            <w:r w:rsidR="00A47797" w:rsidRPr="00316837">
              <w:rPr>
                <w:sz w:val="18"/>
                <w:szCs w:val="18"/>
              </w:rPr>
              <w:t xml:space="preserve">the SAPP </w:t>
            </w:r>
            <w:r w:rsidR="00DE4B69" w:rsidRPr="00316837">
              <w:rPr>
                <w:sz w:val="18"/>
                <w:szCs w:val="18"/>
              </w:rPr>
              <w:t>Market Operator</w:t>
            </w:r>
            <w:r w:rsidR="001D4932" w:rsidRPr="00316837">
              <w:rPr>
                <w:sz w:val="18"/>
                <w:szCs w:val="18"/>
              </w:rPr>
              <w:t xml:space="preserve"> </w:t>
            </w:r>
          </w:p>
        </w:tc>
        <w:tc>
          <w:tcPr>
            <w:tcW w:w="5381" w:type="dxa"/>
          </w:tcPr>
          <w:p w14:paraId="75D29D3F" w14:textId="6CF7BA92" w:rsidR="00DE4B69" w:rsidRPr="00316837" w:rsidRDefault="00DE4B69" w:rsidP="00370081">
            <w:pPr>
              <w:spacing w:before="120" w:after="120"/>
              <w:jc w:val="left"/>
              <w:rPr>
                <w:sz w:val="18"/>
                <w:szCs w:val="18"/>
              </w:rPr>
            </w:pPr>
            <w:r w:rsidRPr="00316837">
              <w:rPr>
                <w:sz w:val="18"/>
                <w:szCs w:val="18"/>
              </w:rPr>
              <w:t xml:space="preserve">Markets Sub-Committee </w:t>
            </w:r>
          </w:p>
          <w:p w14:paraId="2BE77778" w14:textId="3FF349C8" w:rsidR="00DE4B69" w:rsidRPr="00316837" w:rsidRDefault="00DE4B69" w:rsidP="00370081">
            <w:pPr>
              <w:spacing w:before="120" w:after="120"/>
              <w:jc w:val="left"/>
              <w:rPr>
                <w:sz w:val="18"/>
                <w:szCs w:val="18"/>
              </w:rPr>
            </w:pPr>
            <w:r w:rsidRPr="00316837">
              <w:rPr>
                <w:sz w:val="18"/>
                <w:szCs w:val="18"/>
              </w:rPr>
              <w:t xml:space="preserve">Market Surveillance and Monitoring Team </w:t>
            </w:r>
          </w:p>
          <w:p w14:paraId="69DEFA8D" w14:textId="29AADDF4" w:rsidR="00DE4B69" w:rsidRPr="00316837" w:rsidRDefault="00DE4B69" w:rsidP="00370081">
            <w:pPr>
              <w:spacing w:before="120" w:after="120"/>
              <w:jc w:val="left"/>
              <w:rPr>
                <w:sz w:val="18"/>
                <w:szCs w:val="18"/>
              </w:rPr>
            </w:pPr>
            <w:r w:rsidRPr="00316837">
              <w:rPr>
                <w:sz w:val="18"/>
                <w:szCs w:val="18"/>
              </w:rPr>
              <w:t xml:space="preserve">Market Operator </w:t>
            </w:r>
          </w:p>
          <w:p w14:paraId="49CDDF42" w14:textId="1EEC4DFF" w:rsidR="00DE4B69" w:rsidRPr="00316837" w:rsidRDefault="00DE4B69" w:rsidP="00370081">
            <w:pPr>
              <w:spacing w:before="120" w:after="120"/>
              <w:jc w:val="left"/>
              <w:rPr>
                <w:sz w:val="18"/>
                <w:szCs w:val="18"/>
              </w:rPr>
            </w:pPr>
            <w:r w:rsidRPr="00316837">
              <w:rPr>
                <w:sz w:val="18"/>
                <w:szCs w:val="18"/>
              </w:rPr>
              <w:t>Control Area</w:t>
            </w:r>
            <w:r w:rsidR="00B6101C" w:rsidRPr="00316837">
              <w:rPr>
                <w:sz w:val="18"/>
                <w:szCs w:val="18"/>
              </w:rPr>
              <w:t xml:space="preserve"> Operators</w:t>
            </w:r>
            <w:r w:rsidRPr="00316837">
              <w:rPr>
                <w:sz w:val="18"/>
                <w:szCs w:val="18"/>
              </w:rPr>
              <w:t xml:space="preserve"> and </w:t>
            </w:r>
            <w:r w:rsidR="00B6101C" w:rsidRPr="00316837">
              <w:rPr>
                <w:sz w:val="18"/>
                <w:szCs w:val="18"/>
              </w:rPr>
              <w:t xml:space="preserve">national </w:t>
            </w:r>
            <w:r w:rsidRPr="00316837">
              <w:rPr>
                <w:sz w:val="18"/>
                <w:szCs w:val="18"/>
              </w:rPr>
              <w:t xml:space="preserve">TSOs for dispatch, scheduling and imbalance management </w:t>
            </w:r>
          </w:p>
        </w:tc>
      </w:tr>
    </w:tbl>
    <w:p w14:paraId="7FF4DC29" w14:textId="44CFBDF4" w:rsidR="00507C15" w:rsidRDefault="00365838" w:rsidP="00A21496">
      <w:r w:rsidRPr="00316837">
        <w:t xml:space="preserve">SAPP is aware of the </w:t>
      </w:r>
      <w:r w:rsidR="00703397" w:rsidRPr="00316837">
        <w:t>changes expected</w:t>
      </w:r>
      <w:r w:rsidRPr="00316837">
        <w:t xml:space="preserve"> in the near future</w:t>
      </w:r>
      <w:r w:rsidR="00703397" w:rsidRPr="00316837">
        <w:t>, especially i</w:t>
      </w:r>
      <w:r w:rsidRPr="00316837">
        <w:t>n view of the SAPP-EAPP Interconnection</w:t>
      </w:r>
      <w:r w:rsidR="00703397" w:rsidRPr="00316837">
        <w:t>. T</w:t>
      </w:r>
      <w:r w:rsidRPr="00316837">
        <w:t xml:space="preserve">he rules, standards, </w:t>
      </w:r>
      <w:r w:rsidR="00703397" w:rsidRPr="00316837">
        <w:t xml:space="preserve">and </w:t>
      </w:r>
      <w:r w:rsidRPr="00316837">
        <w:t xml:space="preserve">guidelines </w:t>
      </w:r>
      <w:r w:rsidR="00703397" w:rsidRPr="00316837">
        <w:t xml:space="preserve">(particularly the operational rules) </w:t>
      </w:r>
      <w:r w:rsidRPr="00316837">
        <w:t>are needed</w:t>
      </w:r>
      <w:r w:rsidR="00703397" w:rsidRPr="00316837">
        <w:t xml:space="preserve"> for such inter-Power Pool operation</w:t>
      </w:r>
      <w:r w:rsidRPr="00316837">
        <w:t xml:space="preserve">. The work on the SAPP-EAPP Interconnection has </w:t>
      </w:r>
      <w:r w:rsidR="00703397" w:rsidRPr="00316837">
        <w:t>been underway</w:t>
      </w:r>
      <w:r w:rsidRPr="00316837">
        <w:t xml:space="preserve"> </w:t>
      </w:r>
      <w:r w:rsidR="00703397" w:rsidRPr="00316837">
        <w:t xml:space="preserve">for </w:t>
      </w:r>
      <w:r w:rsidRPr="00316837">
        <w:t xml:space="preserve">some time </w:t>
      </w:r>
      <w:r w:rsidR="00703397" w:rsidRPr="00316837">
        <w:t xml:space="preserve">and </w:t>
      </w:r>
      <w:r w:rsidRPr="00316837">
        <w:t xml:space="preserve">the </w:t>
      </w:r>
      <w:r w:rsidR="00703397" w:rsidRPr="00316837">
        <w:t xml:space="preserve">two </w:t>
      </w:r>
      <w:r w:rsidRPr="00316837">
        <w:t xml:space="preserve">Power Pools have made the governance structure to manage the whole process. The structure also contains a block separately reserved to the regulators. </w:t>
      </w:r>
    </w:p>
    <w:p w14:paraId="0A6B21B8" w14:textId="526CB3F1" w:rsidR="00A21496" w:rsidRPr="00316837" w:rsidRDefault="00744D32" w:rsidP="00A21496">
      <w:pPr>
        <w:pStyle w:val="Heading2"/>
      </w:pPr>
      <w:bookmarkStart w:id="70" w:name="_Toc77260298"/>
      <w:r w:rsidRPr="00C632F6">
        <w:t>WAPP</w:t>
      </w:r>
      <w:bookmarkEnd w:id="70"/>
    </w:p>
    <w:p w14:paraId="2028B4D0" w14:textId="04341645" w:rsidR="0068151A" w:rsidRPr="00316837" w:rsidRDefault="0068151A" w:rsidP="0068151A">
      <w:pPr>
        <w:rPr>
          <w:rFonts w:eastAsia="Calibri"/>
          <w:szCs w:val="22"/>
        </w:rPr>
      </w:pPr>
      <w:r w:rsidRPr="00316837">
        <w:rPr>
          <w:rFonts w:eastAsia="Calibri"/>
          <w:szCs w:val="22"/>
        </w:rPr>
        <w:t xml:space="preserve">WAPP was created </w:t>
      </w:r>
      <w:r w:rsidR="00351D43" w:rsidRPr="00316837">
        <w:rPr>
          <w:rFonts w:eastAsia="Calibri"/>
          <w:szCs w:val="22"/>
        </w:rPr>
        <w:t xml:space="preserve">as a Power Pool </w:t>
      </w:r>
      <w:r w:rsidRPr="00316837">
        <w:rPr>
          <w:rFonts w:eastAsia="Calibri"/>
          <w:szCs w:val="22"/>
        </w:rPr>
        <w:t>in 1999 by Decision A/DEC.5/12/99 of the 22</w:t>
      </w:r>
      <w:r w:rsidRPr="00316837">
        <w:rPr>
          <w:rFonts w:eastAsia="Calibri"/>
          <w:szCs w:val="22"/>
          <w:vertAlign w:val="superscript"/>
        </w:rPr>
        <w:t>nd</w:t>
      </w:r>
      <w:r w:rsidRPr="00316837">
        <w:rPr>
          <w:rFonts w:eastAsia="Calibri"/>
          <w:szCs w:val="22"/>
        </w:rPr>
        <w:t xml:space="preserve"> Summit of the ECOWAS Authority of Heads of State and Government. In 2006, </w:t>
      </w:r>
      <w:r w:rsidR="00844B0C" w:rsidRPr="00316837">
        <w:rPr>
          <w:rFonts w:eastAsia="Calibri"/>
          <w:szCs w:val="22"/>
        </w:rPr>
        <w:t xml:space="preserve">the Articles of Agreement for WAPP organisation and functions were adopted </w:t>
      </w:r>
      <w:r w:rsidRPr="00316837">
        <w:rPr>
          <w:rFonts w:eastAsia="Calibri"/>
          <w:szCs w:val="22"/>
        </w:rPr>
        <w:t>by Decision A/DEC.18/01/06 of the 29</w:t>
      </w:r>
      <w:r w:rsidRPr="00316837">
        <w:rPr>
          <w:rFonts w:eastAsia="Calibri"/>
          <w:szCs w:val="22"/>
          <w:vertAlign w:val="superscript"/>
        </w:rPr>
        <w:t>th</w:t>
      </w:r>
      <w:r w:rsidRPr="00316837">
        <w:rPr>
          <w:rFonts w:eastAsia="Calibri"/>
          <w:szCs w:val="22"/>
        </w:rPr>
        <w:t xml:space="preserve"> Summit of the ECOWAS Authority of Heads of State and Government. Also </w:t>
      </w:r>
      <w:r w:rsidR="00844B0C" w:rsidRPr="00316837">
        <w:rPr>
          <w:rFonts w:eastAsia="Calibri"/>
          <w:szCs w:val="22"/>
        </w:rPr>
        <w:t>in</w:t>
      </w:r>
      <w:r w:rsidRPr="00316837">
        <w:rPr>
          <w:rFonts w:eastAsia="Calibri"/>
          <w:szCs w:val="22"/>
        </w:rPr>
        <w:t xml:space="preserve"> 2006 in the same Summit, WAPP was granted the status of Specialised Institution of ECOWAS </w:t>
      </w:r>
      <w:r w:rsidR="00844B0C" w:rsidRPr="00316837">
        <w:rPr>
          <w:rFonts w:eastAsia="Calibri"/>
          <w:szCs w:val="22"/>
        </w:rPr>
        <w:t xml:space="preserve">by Decision A/DEC.20/01/06 </w:t>
      </w:r>
      <w:r w:rsidRPr="00316837">
        <w:rPr>
          <w:rFonts w:eastAsia="Calibri"/>
          <w:szCs w:val="22"/>
        </w:rPr>
        <w:t xml:space="preserve">(the WAPP Secretariat </w:t>
      </w:r>
      <w:r w:rsidR="00E55408" w:rsidRPr="00316837">
        <w:rPr>
          <w:rFonts w:eastAsia="Calibri"/>
          <w:szCs w:val="22"/>
        </w:rPr>
        <w:t xml:space="preserve">headquartered in Cotonou, Benin </w:t>
      </w:r>
      <w:r w:rsidRPr="00316837">
        <w:rPr>
          <w:rFonts w:eastAsia="Calibri"/>
          <w:szCs w:val="22"/>
        </w:rPr>
        <w:t>has been granted such status).</w:t>
      </w:r>
      <w:r w:rsidRPr="00316837">
        <w:t xml:space="preserve"> </w:t>
      </w:r>
      <w:r w:rsidR="00E55408" w:rsidRPr="00316837">
        <w:t xml:space="preserve">Since the regulatory role is indispensable for WAPP, </w:t>
      </w:r>
      <w:r w:rsidR="00B6101C" w:rsidRPr="00316837">
        <w:t xml:space="preserve">the ECOWAS Regional Electricity Regulatory Authority </w:t>
      </w:r>
      <w:r w:rsidR="00E55408" w:rsidRPr="00316837">
        <w:t xml:space="preserve">was established in 2008 also as Specialised Institution of ECOWAS with headquarters in Accra, Ghana. </w:t>
      </w:r>
    </w:p>
    <w:p w14:paraId="262E8793" w14:textId="77777777" w:rsidR="0056640A" w:rsidRPr="00316837" w:rsidRDefault="0068151A" w:rsidP="0068151A">
      <w:pPr>
        <w:rPr>
          <w:rFonts w:eastAsia="Calibri"/>
          <w:szCs w:val="22"/>
        </w:rPr>
      </w:pPr>
      <w:r w:rsidRPr="00316837">
        <w:rPr>
          <w:rFonts w:eastAsia="Calibri"/>
          <w:szCs w:val="22"/>
        </w:rPr>
        <w:t xml:space="preserve">WAPP </w:t>
      </w:r>
      <w:r w:rsidR="00351D43" w:rsidRPr="00316837">
        <w:rPr>
          <w:rFonts w:eastAsia="Calibri"/>
          <w:szCs w:val="22"/>
        </w:rPr>
        <w:t xml:space="preserve">was established to leverage on the electricity generation potentials of the Western Africa Region, electrically interconnect the ECOWAS Member States, and establish the regional electricity market with a view of solving the power supply crisis. Hence, it </w:t>
      </w:r>
      <w:r w:rsidRPr="00316837">
        <w:rPr>
          <w:rFonts w:eastAsia="Calibri"/>
          <w:szCs w:val="22"/>
        </w:rPr>
        <w:t xml:space="preserve">promotes and develops electricity generation and transmission infrastructures, and coordinates exchanges in electricity among the ECOWAS Member States. </w:t>
      </w:r>
    </w:p>
    <w:p w14:paraId="1428DE67" w14:textId="7EDB46B5" w:rsidR="0068151A" w:rsidRPr="00316837" w:rsidRDefault="0068151A" w:rsidP="0068151A">
      <w:pPr>
        <w:rPr>
          <w:rFonts w:eastAsia="Calibri"/>
          <w:szCs w:val="22"/>
        </w:rPr>
      </w:pPr>
      <w:bookmarkStart w:id="71" w:name="_Hlk76560056"/>
      <w:r w:rsidRPr="00316837">
        <w:rPr>
          <w:rFonts w:eastAsia="Calibri"/>
          <w:szCs w:val="22"/>
        </w:rPr>
        <w:t xml:space="preserve">Currently, </w:t>
      </w:r>
      <w:r w:rsidR="0056640A" w:rsidRPr="00316837">
        <w:rPr>
          <w:rFonts w:eastAsia="Calibri"/>
          <w:szCs w:val="22"/>
        </w:rPr>
        <w:t>WAPP</w:t>
      </w:r>
      <w:r w:rsidRPr="00316837">
        <w:rPr>
          <w:rFonts w:eastAsia="Calibri"/>
          <w:szCs w:val="22"/>
        </w:rPr>
        <w:t xml:space="preserve"> covers 14 of the 15 ECOWAS Member States and is made up of </w:t>
      </w:r>
      <w:r w:rsidR="00520050" w:rsidRPr="00316837">
        <w:rPr>
          <w:rFonts w:eastAsia="Calibri"/>
          <w:szCs w:val="22"/>
        </w:rPr>
        <w:t xml:space="preserve">36 </w:t>
      </w:r>
      <w:r w:rsidRPr="00316837">
        <w:rPr>
          <w:rFonts w:eastAsia="Calibri"/>
          <w:szCs w:val="22"/>
        </w:rPr>
        <w:t>member utilities,</w:t>
      </w:r>
      <w:bookmarkEnd w:id="71"/>
      <w:r w:rsidRPr="00316837">
        <w:rPr>
          <w:rFonts w:eastAsia="Calibri"/>
          <w:szCs w:val="22"/>
        </w:rPr>
        <w:t xml:space="preserve"> i.e. public and private </w:t>
      </w:r>
      <w:r w:rsidR="00EC7630" w:rsidRPr="00316837">
        <w:rPr>
          <w:rFonts w:eastAsia="Calibri"/>
          <w:szCs w:val="22"/>
        </w:rPr>
        <w:t>companies that are either “transmission using members” and/or “transmission owning/operating members”. Hence, WAPP member utilit</w:t>
      </w:r>
      <w:r w:rsidR="00C2232E" w:rsidRPr="00316837">
        <w:rPr>
          <w:rFonts w:eastAsia="Calibri"/>
          <w:szCs w:val="22"/>
        </w:rPr>
        <w:t>i</w:t>
      </w:r>
      <w:r w:rsidR="00EC7630" w:rsidRPr="00316837">
        <w:rPr>
          <w:rFonts w:eastAsia="Calibri"/>
          <w:szCs w:val="22"/>
        </w:rPr>
        <w:t xml:space="preserve">es are </w:t>
      </w:r>
      <w:r w:rsidRPr="00316837">
        <w:rPr>
          <w:rFonts w:eastAsia="Calibri"/>
          <w:szCs w:val="22"/>
        </w:rPr>
        <w:t>generation, transmission</w:t>
      </w:r>
      <w:r w:rsidR="00EC7630" w:rsidRPr="00316837">
        <w:rPr>
          <w:rFonts w:eastAsia="Calibri"/>
          <w:szCs w:val="22"/>
        </w:rPr>
        <w:t>,</w:t>
      </w:r>
      <w:r w:rsidRPr="00316837">
        <w:rPr>
          <w:rFonts w:eastAsia="Calibri"/>
          <w:szCs w:val="22"/>
        </w:rPr>
        <w:t xml:space="preserve"> distribution </w:t>
      </w:r>
      <w:r w:rsidR="00EC7630" w:rsidRPr="00316837">
        <w:rPr>
          <w:rFonts w:eastAsia="Calibri"/>
          <w:szCs w:val="22"/>
        </w:rPr>
        <w:t xml:space="preserve">and retail supply </w:t>
      </w:r>
      <w:r w:rsidRPr="00316837">
        <w:rPr>
          <w:rFonts w:eastAsia="Calibri"/>
          <w:szCs w:val="22"/>
        </w:rPr>
        <w:t>companies operati</w:t>
      </w:r>
      <w:r w:rsidR="00EC7630" w:rsidRPr="00316837">
        <w:rPr>
          <w:rFonts w:eastAsia="Calibri"/>
          <w:szCs w:val="22"/>
        </w:rPr>
        <w:t>ng</w:t>
      </w:r>
      <w:r w:rsidRPr="00316837">
        <w:rPr>
          <w:rFonts w:eastAsia="Calibri"/>
          <w:szCs w:val="22"/>
        </w:rPr>
        <w:t xml:space="preserve"> </w:t>
      </w:r>
      <w:r w:rsidR="00EC7630" w:rsidRPr="00316837">
        <w:rPr>
          <w:rFonts w:eastAsia="Calibri"/>
          <w:szCs w:val="22"/>
        </w:rPr>
        <w:t>in</w:t>
      </w:r>
      <w:r w:rsidRPr="00316837">
        <w:rPr>
          <w:rFonts w:eastAsia="Calibri"/>
          <w:szCs w:val="22"/>
        </w:rPr>
        <w:t xml:space="preserve"> the electricity systems in </w:t>
      </w:r>
      <w:r w:rsidR="00351D43" w:rsidRPr="00316837">
        <w:rPr>
          <w:rFonts w:eastAsia="Calibri"/>
          <w:szCs w:val="22"/>
        </w:rPr>
        <w:t xml:space="preserve">the </w:t>
      </w:r>
      <w:r w:rsidRPr="00316837">
        <w:rPr>
          <w:rFonts w:eastAsia="Calibri"/>
          <w:szCs w:val="22"/>
        </w:rPr>
        <w:t>Western Africa</w:t>
      </w:r>
      <w:r w:rsidR="00351D43" w:rsidRPr="00316837">
        <w:rPr>
          <w:rFonts w:eastAsia="Calibri"/>
          <w:szCs w:val="22"/>
        </w:rPr>
        <w:t xml:space="preserve"> Region to which </w:t>
      </w:r>
      <w:r w:rsidR="00EC7630" w:rsidRPr="00316837">
        <w:rPr>
          <w:rFonts w:eastAsia="Calibri"/>
          <w:szCs w:val="22"/>
        </w:rPr>
        <w:t>WAPP</w:t>
      </w:r>
      <w:r w:rsidRPr="00316837">
        <w:rPr>
          <w:rFonts w:eastAsia="Calibri"/>
          <w:szCs w:val="22"/>
        </w:rPr>
        <w:t xml:space="preserve"> ensure</w:t>
      </w:r>
      <w:r w:rsidR="00351D43" w:rsidRPr="00316837">
        <w:rPr>
          <w:rFonts w:eastAsia="Calibri"/>
          <w:szCs w:val="22"/>
        </w:rPr>
        <w:t>s</w:t>
      </w:r>
      <w:r w:rsidRPr="00316837">
        <w:rPr>
          <w:rFonts w:eastAsia="Calibri"/>
          <w:szCs w:val="22"/>
        </w:rPr>
        <w:t xml:space="preserve"> regional integration of the electricity system and market. </w:t>
      </w:r>
    </w:p>
    <w:p w14:paraId="13858A1A" w14:textId="02884C06" w:rsidR="0068151A" w:rsidRPr="00316837" w:rsidRDefault="0068151A" w:rsidP="0068151A">
      <w:pPr>
        <w:rPr>
          <w:rFonts w:eastAsia="Calibri"/>
          <w:szCs w:val="20"/>
        </w:rPr>
      </w:pPr>
      <w:r w:rsidRPr="00316837">
        <w:rPr>
          <w:rFonts w:eastAsia="Calibri"/>
          <w:szCs w:val="20"/>
        </w:rPr>
        <w:t>WAPP</w:t>
      </w:r>
      <w:r w:rsidR="00F37C4D" w:rsidRPr="00316837">
        <w:rPr>
          <w:rFonts w:eastAsia="Calibri"/>
          <w:szCs w:val="20"/>
        </w:rPr>
        <w:t>’s</w:t>
      </w:r>
      <w:r w:rsidRPr="00316837">
        <w:rPr>
          <w:rFonts w:eastAsia="Calibri"/>
          <w:szCs w:val="20"/>
        </w:rPr>
        <w:t xml:space="preserve"> governing structure</w:t>
      </w:r>
      <w:r w:rsidR="00F37C4D" w:rsidRPr="00316837">
        <w:rPr>
          <w:rFonts w:eastAsia="Calibri"/>
          <w:szCs w:val="20"/>
        </w:rPr>
        <w:t xml:space="preserve"> has four main levels</w:t>
      </w:r>
      <w:r w:rsidR="00E55408" w:rsidRPr="00316837">
        <w:rPr>
          <w:rFonts w:eastAsia="Calibri"/>
          <w:szCs w:val="20"/>
        </w:rPr>
        <w:t xml:space="preserve"> (see </w:t>
      </w:r>
      <w:r w:rsidR="00E55408" w:rsidRPr="00316837">
        <w:rPr>
          <w:rFonts w:eastAsia="Calibri"/>
          <w:szCs w:val="20"/>
        </w:rPr>
        <w:fldChar w:fldCharType="begin"/>
      </w:r>
      <w:r w:rsidR="00E55408" w:rsidRPr="00316837">
        <w:rPr>
          <w:rFonts w:eastAsia="Calibri"/>
          <w:szCs w:val="20"/>
        </w:rPr>
        <w:instrText xml:space="preserve"> REF _Ref71906256 \h  \* MERGEFORMAT </w:instrText>
      </w:r>
      <w:r w:rsidR="00E55408" w:rsidRPr="00316837">
        <w:rPr>
          <w:rFonts w:eastAsia="Calibri"/>
          <w:szCs w:val="20"/>
        </w:rPr>
      </w:r>
      <w:r w:rsidR="00E55408" w:rsidRPr="00316837">
        <w:rPr>
          <w:rFonts w:eastAsia="Calibri"/>
          <w:szCs w:val="20"/>
        </w:rPr>
        <w:fldChar w:fldCharType="separate"/>
      </w:r>
      <w:r w:rsidR="00507C15" w:rsidRPr="006273BD">
        <w:rPr>
          <w:rFonts w:cs="Arial"/>
          <w:bCs/>
          <w:szCs w:val="20"/>
        </w:rPr>
        <w:t>Table 3</w:t>
      </w:r>
      <w:r w:rsidR="00507C15" w:rsidRPr="006273BD">
        <w:rPr>
          <w:rFonts w:cs="Arial"/>
          <w:bCs/>
          <w:szCs w:val="20"/>
        </w:rPr>
        <w:noBreakHyphen/>
        <w:t>4</w:t>
      </w:r>
      <w:r w:rsidR="00E55408" w:rsidRPr="00316837">
        <w:rPr>
          <w:rFonts w:eastAsia="Calibri"/>
          <w:szCs w:val="20"/>
        </w:rPr>
        <w:fldChar w:fldCharType="end"/>
      </w:r>
      <w:r w:rsidR="00E55408" w:rsidRPr="00C632F6">
        <w:rPr>
          <w:rFonts w:eastAsia="Calibri"/>
          <w:szCs w:val="20"/>
        </w:rPr>
        <w:t xml:space="preserve">). </w:t>
      </w:r>
    </w:p>
    <w:p w14:paraId="6EAA389B" w14:textId="41D9459E" w:rsidR="00E55408" w:rsidRPr="00316837" w:rsidRDefault="00E55408" w:rsidP="00E55408">
      <w:pPr>
        <w:suppressAutoHyphens w:val="0"/>
        <w:spacing w:before="120"/>
        <w:ind w:left="1134" w:hanging="1134"/>
        <w:rPr>
          <w:rFonts w:cs="Arial"/>
          <w:bCs/>
          <w:sz w:val="18"/>
          <w:szCs w:val="18"/>
        </w:rPr>
      </w:pPr>
      <w:bookmarkStart w:id="72" w:name="_Ref71906256"/>
      <w:bookmarkStart w:id="73" w:name="_Hlk72145029"/>
      <w:bookmarkStart w:id="74" w:name="_Toc77260241"/>
      <w:r w:rsidRPr="00316837">
        <w:rPr>
          <w:rFonts w:cs="Arial"/>
          <w:bCs/>
          <w:sz w:val="18"/>
          <w:szCs w:val="18"/>
        </w:rPr>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3057F5">
        <w:rPr>
          <w:rFonts w:cs="Arial"/>
          <w:bCs/>
          <w:noProof/>
          <w:sz w:val="18"/>
          <w:szCs w:val="18"/>
        </w:rPr>
        <w:t>4</w:t>
      </w:r>
      <w:r w:rsidRPr="00316837">
        <w:rPr>
          <w:rFonts w:cs="Arial"/>
          <w:bCs/>
          <w:sz w:val="18"/>
          <w:szCs w:val="18"/>
        </w:rPr>
        <w:fldChar w:fldCharType="end"/>
      </w:r>
      <w:bookmarkEnd w:id="72"/>
      <w:r w:rsidRPr="00C632F6">
        <w:rPr>
          <w:rFonts w:cs="Arial"/>
          <w:bCs/>
          <w:sz w:val="18"/>
          <w:szCs w:val="18"/>
        </w:rPr>
        <w:t>: WAPP’s governing structures</w:t>
      </w:r>
      <w:bookmarkEnd w:id="74"/>
      <w:r w:rsidRPr="00C632F6">
        <w:rPr>
          <w:rFonts w:cs="Arial"/>
          <w:bCs/>
          <w:sz w:val="18"/>
          <w:szCs w:val="18"/>
        </w:rPr>
        <w:t xml:space="preserve"> </w:t>
      </w:r>
    </w:p>
    <w:tbl>
      <w:tblPr>
        <w:tblStyle w:val="TableGrid"/>
        <w:tblW w:w="0" w:type="auto"/>
        <w:tblLook w:val="04A0" w:firstRow="1" w:lastRow="0" w:firstColumn="1" w:lastColumn="0" w:noHBand="0" w:noVBand="1"/>
      </w:tblPr>
      <w:tblGrid>
        <w:gridCol w:w="562"/>
        <w:gridCol w:w="1985"/>
        <w:gridCol w:w="7082"/>
      </w:tblGrid>
      <w:tr w:rsidR="00E55408" w:rsidRPr="00316837" w14:paraId="6149FCE0" w14:textId="77777777" w:rsidTr="00520050">
        <w:tc>
          <w:tcPr>
            <w:tcW w:w="562" w:type="dxa"/>
            <w:shd w:val="clear" w:color="auto" w:fill="F2F2F2" w:themeFill="background1" w:themeFillShade="F2"/>
          </w:tcPr>
          <w:bookmarkEnd w:id="73"/>
          <w:p w14:paraId="0B0D7445" w14:textId="4E62BB78" w:rsidR="00E55408" w:rsidRPr="006273BD" w:rsidRDefault="00E55408" w:rsidP="0056640A">
            <w:pPr>
              <w:spacing w:before="120" w:after="120"/>
              <w:jc w:val="left"/>
              <w:rPr>
                <w:rFonts w:eastAsia="Calibri"/>
                <w:b/>
                <w:bCs/>
                <w:sz w:val="18"/>
                <w:szCs w:val="18"/>
              </w:rPr>
            </w:pPr>
            <w:r w:rsidRPr="006273BD">
              <w:rPr>
                <w:rFonts w:eastAsia="Calibri"/>
                <w:b/>
                <w:bCs/>
                <w:sz w:val="18"/>
                <w:szCs w:val="18"/>
              </w:rPr>
              <w:t>No.</w:t>
            </w:r>
          </w:p>
        </w:tc>
        <w:tc>
          <w:tcPr>
            <w:tcW w:w="1985" w:type="dxa"/>
            <w:shd w:val="clear" w:color="auto" w:fill="F2F2F2" w:themeFill="background1" w:themeFillShade="F2"/>
          </w:tcPr>
          <w:p w14:paraId="1E321F8F" w14:textId="5283E2E2" w:rsidR="00E55408" w:rsidRPr="006273BD" w:rsidRDefault="00E55408" w:rsidP="0056640A">
            <w:pPr>
              <w:spacing w:before="120" w:after="120"/>
              <w:jc w:val="left"/>
              <w:rPr>
                <w:rFonts w:eastAsia="Calibri"/>
                <w:b/>
                <w:bCs/>
                <w:sz w:val="18"/>
                <w:szCs w:val="18"/>
              </w:rPr>
            </w:pPr>
            <w:r w:rsidRPr="006273BD">
              <w:rPr>
                <w:rFonts w:eastAsia="Calibri"/>
                <w:b/>
                <w:bCs/>
                <w:sz w:val="18"/>
                <w:szCs w:val="18"/>
              </w:rPr>
              <w:t xml:space="preserve">Organ </w:t>
            </w:r>
          </w:p>
        </w:tc>
        <w:tc>
          <w:tcPr>
            <w:tcW w:w="7082" w:type="dxa"/>
            <w:shd w:val="clear" w:color="auto" w:fill="F2F2F2" w:themeFill="background1" w:themeFillShade="F2"/>
          </w:tcPr>
          <w:p w14:paraId="03F17609" w14:textId="23E2809C" w:rsidR="00E55408" w:rsidRPr="006273BD" w:rsidRDefault="00E55408" w:rsidP="0056640A">
            <w:pPr>
              <w:spacing w:before="120" w:after="120"/>
              <w:jc w:val="left"/>
              <w:rPr>
                <w:rFonts w:eastAsia="Calibri"/>
                <w:b/>
                <w:bCs/>
                <w:sz w:val="18"/>
                <w:szCs w:val="18"/>
              </w:rPr>
            </w:pPr>
            <w:r w:rsidRPr="006273BD">
              <w:rPr>
                <w:rFonts w:eastAsia="Calibri"/>
                <w:b/>
                <w:bCs/>
                <w:sz w:val="18"/>
                <w:szCs w:val="18"/>
              </w:rPr>
              <w:t>Description</w:t>
            </w:r>
          </w:p>
        </w:tc>
      </w:tr>
      <w:tr w:rsidR="00E55408" w:rsidRPr="00316837" w14:paraId="2E8E44CD" w14:textId="77777777" w:rsidTr="00E55408">
        <w:tc>
          <w:tcPr>
            <w:tcW w:w="562" w:type="dxa"/>
          </w:tcPr>
          <w:p w14:paraId="6E7713C2" w14:textId="436C9499" w:rsidR="00E55408" w:rsidRPr="00316837" w:rsidRDefault="00E55408" w:rsidP="0056640A">
            <w:pPr>
              <w:spacing w:before="120" w:after="120"/>
              <w:jc w:val="left"/>
              <w:rPr>
                <w:rFonts w:eastAsia="Calibri"/>
                <w:sz w:val="18"/>
                <w:szCs w:val="18"/>
              </w:rPr>
            </w:pPr>
            <w:r w:rsidRPr="00316837">
              <w:rPr>
                <w:rFonts w:eastAsia="Calibri"/>
                <w:sz w:val="18"/>
                <w:szCs w:val="18"/>
              </w:rPr>
              <w:t>1</w:t>
            </w:r>
          </w:p>
        </w:tc>
        <w:tc>
          <w:tcPr>
            <w:tcW w:w="1985" w:type="dxa"/>
          </w:tcPr>
          <w:p w14:paraId="693DF961" w14:textId="2E1A3DFB" w:rsidR="00E55408" w:rsidRPr="00316837" w:rsidRDefault="00E55408" w:rsidP="0056640A">
            <w:pPr>
              <w:spacing w:before="120" w:after="120"/>
              <w:jc w:val="left"/>
              <w:rPr>
                <w:rFonts w:eastAsia="Calibri"/>
                <w:sz w:val="18"/>
                <w:szCs w:val="18"/>
              </w:rPr>
            </w:pPr>
            <w:r w:rsidRPr="00316837">
              <w:rPr>
                <w:rFonts w:eastAsia="Calibri"/>
                <w:sz w:val="18"/>
                <w:szCs w:val="18"/>
              </w:rPr>
              <w:t>General Assembly</w:t>
            </w:r>
            <w:r w:rsidR="001D4932" w:rsidRPr="00316837">
              <w:rPr>
                <w:rFonts w:eastAsia="Calibri"/>
                <w:sz w:val="18"/>
                <w:szCs w:val="18"/>
              </w:rPr>
              <w:t xml:space="preserve"> </w:t>
            </w:r>
          </w:p>
        </w:tc>
        <w:tc>
          <w:tcPr>
            <w:tcW w:w="7082" w:type="dxa"/>
          </w:tcPr>
          <w:p w14:paraId="0994DA7B" w14:textId="5C2C648C" w:rsidR="00E55408" w:rsidRPr="00316837" w:rsidRDefault="00E55408" w:rsidP="0056640A">
            <w:pPr>
              <w:spacing w:before="120" w:after="120"/>
              <w:jc w:val="left"/>
              <w:rPr>
                <w:rFonts w:eastAsia="Calibri"/>
                <w:sz w:val="18"/>
                <w:szCs w:val="18"/>
              </w:rPr>
            </w:pPr>
            <w:r w:rsidRPr="00316837">
              <w:rPr>
                <w:rFonts w:eastAsia="Calibri"/>
                <w:sz w:val="18"/>
                <w:szCs w:val="18"/>
              </w:rPr>
              <w:t xml:space="preserve">The highest decision-making body of WAPP, which is composed of all </w:t>
            </w:r>
            <w:r w:rsidR="00351D43" w:rsidRPr="00316837">
              <w:rPr>
                <w:rFonts w:eastAsia="Calibri"/>
                <w:sz w:val="18"/>
                <w:szCs w:val="18"/>
              </w:rPr>
              <w:t xml:space="preserve">36 </w:t>
            </w:r>
            <w:r w:rsidRPr="00316837">
              <w:rPr>
                <w:rFonts w:eastAsia="Calibri"/>
                <w:sz w:val="18"/>
                <w:szCs w:val="18"/>
              </w:rPr>
              <w:t>member utilities</w:t>
            </w:r>
            <w:r w:rsidR="00351D43" w:rsidRPr="00316837">
              <w:t xml:space="preserve"> </w:t>
            </w:r>
            <w:r w:rsidR="00351D43" w:rsidRPr="00316837">
              <w:rPr>
                <w:rFonts w:eastAsia="Calibri"/>
                <w:sz w:val="18"/>
                <w:szCs w:val="18"/>
              </w:rPr>
              <w:t>that are the electricity companies from the ECOWAS Member States</w:t>
            </w:r>
            <w:r w:rsidRPr="00316837">
              <w:rPr>
                <w:rFonts w:eastAsia="Calibri"/>
                <w:sz w:val="18"/>
                <w:szCs w:val="18"/>
              </w:rPr>
              <w:t>.</w:t>
            </w:r>
            <w:r w:rsidR="001D4932" w:rsidRPr="00316837">
              <w:rPr>
                <w:rFonts w:eastAsia="Calibri"/>
                <w:sz w:val="18"/>
                <w:szCs w:val="18"/>
              </w:rPr>
              <w:t xml:space="preserve"> </w:t>
            </w:r>
          </w:p>
        </w:tc>
      </w:tr>
      <w:tr w:rsidR="00E55408" w:rsidRPr="00316837" w14:paraId="09370C88" w14:textId="77777777" w:rsidTr="00E55408">
        <w:tc>
          <w:tcPr>
            <w:tcW w:w="562" w:type="dxa"/>
          </w:tcPr>
          <w:p w14:paraId="22F23515" w14:textId="54D9A368" w:rsidR="00E55408" w:rsidRPr="00316837" w:rsidRDefault="00E55408" w:rsidP="0056640A">
            <w:pPr>
              <w:spacing w:before="120" w:after="120"/>
              <w:jc w:val="left"/>
              <w:rPr>
                <w:rFonts w:eastAsia="Calibri"/>
                <w:sz w:val="18"/>
                <w:szCs w:val="18"/>
              </w:rPr>
            </w:pPr>
            <w:r w:rsidRPr="00316837">
              <w:rPr>
                <w:rFonts w:eastAsia="Calibri"/>
                <w:sz w:val="18"/>
                <w:szCs w:val="18"/>
              </w:rPr>
              <w:t>2</w:t>
            </w:r>
          </w:p>
        </w:tc>
        <w:tc>
          <w:tcPr>
            <w:tcW w:w="1985" w:type="dxa"/>
          </w:tcPr>
          <w:p w14:paraId="40EB1A7B" w14:textId="3FC887F9" w:rsidR="00E55408" w:rsidRPr="00316837" w:rsidRDefault="00E55408" w:rsidP="0056640A">
            <w:pPr>
              <w:spacing w:before="120" w:after="120"/>
              <w:jc w:val="left"/>
              <w:rPr>
                <w:rFonts w:eastAsia="Calibri"/>
                <w:sz w:val="18"/>
                <w:szCs w:val="18"/>
              </w:rPr>
            </w:pPr>
            <w:r w:rsidRPr="00316837">
              <w:rPr>
                <w:rFonts w:eastAsia="Calibri"/>
                <w:sz w:val="18"/>
                <w:szCs w:val="18"/>
              </w:rPr>
              <w:t>Executive Board</w:t>
            </w:r>
            <w:r w:rsidR="001D4932" w:rsidRPr="00316837">
              <w:rPr>
                <w:rFonts w:eastAsia="Calibri"/>
                <w:sz w:val="18"/>
                <w:szCs w:val="18"/>
              </w:rPr>
              <w:t xml:space="preserve"> </w:t>
            </w:r>
          </w:p>
        </w:tc>
        <w:tc>
          <w:tcPr>
            <w:tcW w:w="7082" w:type="dxa"/>
          </w:tcPr>
          <w:p w14:paraId="1663AED6" w14:textId="583A5674" w:rsidR="00E55408" w:rsidRPr="00316837" w:rsidRDefault="00E55408" w:rsidP="0056640A">
            <w:pPr>
              <w:spacing w:before="120" w:after="120"/>
              <w:jc w:val="left"/>
              <w:rPr>
                <w:rFonts w:eastAsia="Calibri"/>
                <w:sz w:val="18"/>
                <w:szCs w:val="18"/>
              </w:rPr>
            </w:pPr>
            <w:r w:rsidRPr="00316837">
              <w:rPr>
                <w:rFonts w:eastAsia="Calibri"/>
                <w:sz w:val="18"/>
                <w:szCs w:val="18"/>
              </w:rPr>
              <w:t>Responsible for implementing the decisions of the General Assembly</w:t>
            </w:r>
            <w:r w:rsidR="00351D43" w:rsidRPr="00316837">
              <w:rPr>
                <w:rFonts w:eastAsia="Calibri"/>
                <w:sz w:val="18"/>
                <w:szCs w:val="18"/>
              </w:rPr>
              <w:t>, and composed of 15 members whereof the Secretary General, an Honorary Member, and 13 Directors General and Managing Directors and Chiefs Executive Officers of the ECOWAS national electricity utilities. T</w:t>
            </w:r>
            <w:r w:rsidRPr="00316837">
              <w:rPr>
                <w:rFonts w:eastAsia="Calibri"/>
                <w:sz w:val="18"/>
                <w:szCs w:val="18"/>
              </w:rPr>
              <w:t>o this effect</w:t>
            </w:r>
            <w:r w:rsidR="00351D43" w:rsidRPr="00316837">
              <w:rPr>
                <w:rFonts w:eastAsia="Calibri"/>
                <w:sz w:val="18"/>
                <w:szCs w:val="18"/>
              </w:rPr>
              <w:t>,</w:t>
            </w:r>
            <w:r w:rsidRPr="00316837">
              <w:rPr>
                <w:rFonts w:eastAsia="Calibri"/>
                <w:sz w:val="18"/>
                <w:szCs w:val="18"/>
              </w:rPr>
              <w:t xml:space="preserve"> it has the largest power to ensure the realisation of </w:t>
            </w:r>
            <w:r w:rsidR="00351D43" w:rsidRPr="00316837">
              <w:rPr>
                <w:rFonts w:eastAsia="Calibri"/>
                <w:sz w:val="18"/>
                <w:szCs w:val="18"/>
              </w:rPr>
              <w:t xml:space="preserve">the </w:t>
            </w:r>
            <w:r w:rsidRPr="00316837">
              <w:rPr>
                <w:rFonts w:eastAsia="Calibri"/>
                <w:sz w:val="18"/>
                <w:szCs w:val="18"/>
              </w:rPr>
              <w:t xml:space="preserve">WAPP mission and objectives. </w:t>
            </w:r>
          </w:p>
        </w:tc>
      </w:tr>
      <w:tr w:rsidR="00E55408" w:rsidRPr="00316837" w14:paraId="036D45A9" w14:textId="77777777" w:rsidTr="00E55408">
        <w:tc>
          <w:tcPr>
            <w:tcW w:w="562" w:type="dxa"/>
          </w:tcPr>
          <w:p w14:paraId="1FE86725" w14:textId="0B31C364" w:rsidR="00E55408" w:rsidRPr="00316837" w:rsidRDefault="00E55408" w:rsidP="0056640A">
            <w:pPr>
              <w:spacing w:before="120" w:after="120"/>
              <w:jc w:val="left"/>
              <w:rPr>
                <w:rFonts w:eastAsia="Calibri"/>
                <w:sz w:val="18"/>
                <w:szCs w:val="18"/>
              </w:rPr>
            </w:pPr>
            <w:r w:rsidRPr="00316837">
              <w:rPr>
                <w:rFonts w:eastAsia="Calibri"/>
                <w:sz w:val="18"/>
                <w:szCs w:val="18"/>
              </w:rPr>
              <w:lastRenderedPageBreak/>
              <w:t>3</w:t>
            </w:r>
          </w:p>
        </w:tc>
        <w:tc>
          <w:tcPr>
            <w:tcW w:w="1985" w:type="dxa"/>
          </w:tcPr>
          <w:p w14:paraId="31C9B096" w14:textId="0B15215E" w:rsidR="00E55408" w:rsidRPr="00316837" w:rsidRDefault="00E55408" w:rsidP="0056640A">
            <w:pPr>
              <w:spacing w:before="120" w:after="120"/>
              <w:jc w:val="left"/>
              <w:rPr>
                <w:rFonts w:eastAsia="Calibri"/>
                <w:sz w:val="18"/>
                <w:szCs w:val="18"/>
              </w:rPr>
            </w:pPr>
            <w:r w:rsidRPr="00316837">
              <w:rPr>
                <w:rFonts w:eastAsia="Calibri"/>
                <w:sz w:val="18"/>
                <w:szCs w:val="18"/>
              </w:rPr>
              <w:t>Organisational Committees</w:t>
            </w:r>
            <w:r w:rsidR="001D4932" w:rsidRPr="00316837">
              <w:rPr>
                <w:rFonts w:eastAsia="Calibri"/>
                <w:sz w:val="18"/>
                <w:szCs w:val="18"/>
              </w:rPr>
              <w:t xml:space="preserve"> </w:t>
            </w:r>
          </w:p>
        </w:tc>
        <w:tc>
          <w:tcPr>
            <w:tcW w:w="7082" w:type="dxa"/>
          </w:tcPr>
          <w:p w14:paraId="3BF4CB45" w14:textId="155D65F2" w:rsidR="00E55408" w:rsidRPr="00316837" w:rsidRDefault="00E55408" w:rsidP="0056640A">
            <w:pPr>
              <w:spacing w:before="120" w:after="120"/>
              <w:jc w:val="left"/>
              <w:rPr>
                <w:rFonts w:eastAsia="Calibri"/>
                <w:sz w:val="18"/>
                <w:szCs w:val="18"/>
              </w:rPr>
            </w:pPr>
            <w:r w:rsidRPr="00316837">
              <w:rPr>
                <w:rFonts w:eastAsia="Calibri"/>
                <w:sz w:val="18"/>
                <w:szCs w:val="18"/>
              </w:rPr>
              <w:t xml:space="preserve">Provide support and expertise to the Executive Board on all matters in respect of collective policy formulation functions for developing, maintaining and updating common “rules of practices” on technical, planning, operational, and environmental aspects of WAPP. </w:t>
            </w:r>
            <w:r w:rsidR="00351D43" w:rsidRPr="00316837">
              <w:rPr>
                <w:rFonts w:eastAsia="Calibri"/>
                <w:sz w:val="18"/>
                <w:szCs w:val="18"/>
              </w:rPr>
              <w:t xml:space="preserve">There are five such Committees: </w:t>
            </w:r>
          </w:p>
          <w:p w14:paraId="516552A3" w14:textId="0D02F85A" w:rsidR="00E55408" w:rsidRPr="00316837" w:rsidRDefault="00E55408" w:rsidP="00AB7DB1">
            <w:pPr>
              <w:numPr>
                <w:ilvl w:val="0"/>
                <w:numId w:val="44"/>
              </w:numPr>
              <w:spacing w:before="120" w:after="120"/>
              <w:jc w:val="left"/>
              <w:rPr>
                <w:rFonts w:eastAsia="Calibri"/>
                <w:sz w:val="18"/>
                <w:szCs w:val="18"/>
              </w:rPr>
            </w:pPr>
            <w:r w:rsidRPr="00316837">
              <w:rPr>
                <w:rFonts w:eastAsia="Calibri"/>
                <w:sz w:val="18"/>
                <w:szCs w:val="18"/>
              </w:rPr>
              <w:t xml:space="preserve">Engineering and Operations Committee, </w:t>
            </w:r>
          </w:p>
          <w:p w14:paraId="37200D15" w14:textId="45FE5B6D" w:rsidR="00E55408" w:rsidRPr="00316837" w:rsidRDefault="00E55408" w:rsidP="00AB7DB1">
            <w:pPr>
              <w:numPr>
                <w:ilvl w:val="0"/>
                <w:numId w:val="44"/>
              </w:numPr>
              <w:spacing w:before="120" w:after="120"/>
              <w:jc w:val="left"/>
              <w:rPr>
                <w:rFonts w:eastAsia="Calibri"/>
                <w:sz w:val="18"/>
                <w:szCs w:val="18"/>
              </w:rPr>
            </w:pPr>
            <w:r w:rsidRPr="00316837">
              <w:rPr>
                <w:rFonts w:eastAsia="Calibri"/>
                <w:sz w:val="18"/>
                <w:szCs w:val="18"/>
              </w:rPr>
              <w:t xml:space="preserve">Strategic Planning and Environment Committee, </w:t>
            </w:r>
          </w:p>
          <w:p w14:paraId="63A2BE9C" w14:textId="4A06506B" w:rsidR="00E55408" w:rsidRPr="00316837" w:rsidRDefault="00E55408" w:rsidP="00AB7DB1">
            <w:pPr>
              <w:numPr>
                <w:ilvl w:val="0"/>
                <w:numId w:val="44"/>
              </w:numPr>
              <w:spacing w:before="120" w:after="120"/>
              <w:jc w:val="left"/>
              <w:rPr>
                <w:rFonts w:eastAsia="Calibri"/>
                <w:sz w:val="18"/>
                <w:szCs w:val="18"/>
              </w:rPr>
            </w:pPr>
            <w:r w:rsidRPr="00316837">
              <w:rPr>
                <w:rFonts w:eastAsia="Calibri"/>
                <w:sz w:val="18"/>
                <w:szCs w:val="18"/>
              </w:rPr>
              <w:t xml:space="preserve">Finance Committee, </w:t>
            </w:r>
          </w:p>
          <w:p w14:paraId="75775AA8" w14:textId="6F480152" w:rsidR="00E55408" w:rsidRPr="00316837" w:rsidRDefault="00E55408" w:rsidP="00AB7DB1">
            <w:pPr>
              <w:numPr>
                <w:ilvl w:val="0"/>
                <w:numId w:val="44"/>
              </w:numPr>
              <w:spacing w:before="120" w:after="120"/>
              <w:jc w:val="left"/>
              <w:rPr>
                <w:rFonts w:eastAsia="Calibri"/>
                <w:sz w:val="18"/>
                <w:szCs w:val="18"/>
              </w:rPr>
            </w:pPr>
            <w:r w:rsidRPr="00316837">
              <w:rPr>
                <w:rFonts w:eastAsia="Calibri"/>
                <w:sz w:val="18"/>
                <w:szCs w:val="18"/>
              </w:rPr>
              <w:t xml:space="preserve">Human Resource and Governance Committee, and </w:t>
            </w:r>
          </w:p>
          <w:p w14:paraId="21884289" w14:textId="49DB8018" w:rsidR="00E55408" w:rsidRPr="00316837" w:rsidRDefault="00E55408" w:rsidP="00AB7DB1">
            <w:pPr>
              <w:numPr>
                <w:ilvl w:val="0"/>
                <w:numId w:val="44"/>
              </w:numPr>
              <w:spacing w:before="120" w:after="120"/>
              <w:jc w:val="left"/>
              <w:rPr>
                <w:rFonts w:eastAsia="Calibri"/>
                <w:sz w:val="18"/>
                <w:szCs w:val="18"/>
              </w:rPr>
            </w:pPr>
            <w:r w:rsidRPr="00316837">
              <w:rPr>
                <w:rFonts w:eastAsia="Calibri"/>
                <w:sz w:val="18"/>
                <w:szCs w:val="18"/>
              </w:rPr>
              <w:t>Distribution and Commercial</w:t>
            </w:r>
            <w:r w:rsidR="00533C25" w:rsidRPr="00316837">
              <w:rPr>
                <w:rFonts w:eastAsia="Calibri"/>
                <w:sz w:val="18"/>
                <w:szCs w:val="18"/>
              </w:rPr>
              <w:t>isation</w:t>
            </w:r>
            <w:r w:rsidRPr="00316837">
              <w:rPr>
                <w:rFonts w:eastAsia="Calibri"/>
                <w:sz w:val="18"/>
                <w:szCs w:val="18"/>
              </w:rPr>
              <w:t xml:space="preserve"> Committee. </w:t>
            </w:r>
          </w:p>
        </w:tc>
      </w:tr>
      <w:tr w:rsidR="00E55408" w:rsidRPr="00316837" w14:paraId="37E15E04" w14:textId="77777777" w:rsidTr="00E55408">
        <w:tc>
          <w:tcPr>
            <w:tcW w:w="562" w:type="dxa"/>
          </w:tcPr>
          <w:p w14:paraId="1216073D" w14:textId="1431C39F" w:rsidR="00E55408" w:rsidRPr="00316837" w:rsidRDefault="00E55408" w:rsidP="0056640A">
            <w:pPr>
              <w:spacing w:before="120" w:after="120"/>
              <w:jc w:val="left"/>
              <w:rPr>
                <w:rFonts w:eastAsia="Calibri"/>
                <w:sz w:val="18"/>
                <w:szCs w:val="18"/>
              </w:rPr>
            </w:pPr>
            <w:r w:rsidRPr="00316837">
              <w:rPr>
                <w:rFonts w:eastAsia="Calibri"/>
                <w:sz w:val="18"/>
                <w:szCs w:val="18"/>
              </w:rPr>
              <w:t>4</w:t>
            </w:r>
          </w:p>
        </w:tc>
        <w:tc>
          <w:tcPr>
            <w:tcW w:w="1985" w:type="dxa"/>
          </w:tcPr>
          <w:p w14:paraId="72207464" w14:textId="44ADD8AF" w:rsidR="00E55408" w:rsidRPr="00316837" w:rsidRDefault="00E55408" w:rsidP="0056640A">
            <w:pPr>
              <w:spacing w:before="120" w:after="120"/>
              <w:jc w:val="left"/>
              <w:rPr>
                <w:rFonts w:eastAsia="Calibri"/>
                <w:sz w:val="18"/>
                <w:szCs w:val="18"/>
              </w:rPr>
            </w:pPr>
            <w:r w:rsidRPr="00316837">
              <w:rPr>
                <w:rFonts w:eastAsia="Calibri"/>
                <w:sz w:val="18"/>
                <w:szCs w:val="18"/>
              </w:rPr>
              <w:t>General Secretariat</w:t>
            </w:r>
            <w:r w:rsidR="001D4932" w:rsidRPr="00316837">
              <w:rPr>
                <w:rFonts w:eastAsia="Calibri"/>
                <w:sz w:val="18"/>
                <w:szCs w:val="18"/>
              </w:rPr>
              <w:t xml:space="preserve"> </w:t>
            </w:r>
          </w:p>
        </w:tc>
        <w:tc>
          <w:tcPr>
            <w:tcW w:w="7082" w:type="dxa"/>
          </w:tcPr>
          <w:p w14:paraId="268524A9" w14:textId="5C5E7AA1" w:rsidR="00E55408" w:rsidRPr="00316837" w:rsidRDefault="00E55408" w:rsidP="0056640A">
            <w:pPr>
              <w:spacing w:before="120" w:after="120"/>
              <w:jc w:val="left"/>
              <w:rPr>
                <w:rFonts w:eastAsia="Calibri"/>
                <w:sz w:val="18"/>
                <w:szCs w:val="18"/>
              </w:rPr>
            </w:pPr>
            <w:r w:rsidRPr="00316837">
              <w:rPr>
                <w:rFonts w:eastAsia="Calibri"/>
                <w:sz w:val="18"/>
                <w:szCs w:val="18"/>
              </w:rPr>
              <w:t>The administrative and technical organ in charge of the day-to-day management of the activities of WAPP, composed of three Departments:</w:t>
            </w:r>
            <w:r w:rsidR="001D4932" w:rsidRPr="00316837">
              <w:rPr>
                <w:rFonts w:eastAsia="Calibri"/>
                <w:sz w:val="18"/>
                <w:szCs w:val="18"/>
              </w:rPr>
              <w:t xml:space="preserve"> </w:t>
            </w:r>
          </w:p>
          <w:p w14:paraId="70F319E3" w14:textId="77777777" w:rsidR="00E55408" w:rsidRPr="00316837" w:rsidRDefault="00E55408" w:rsidP="00AB7DB1">
            <w:pPr>
              <w:numPr>
                <w:ilvl w:val="0"/>
                <w:numId w:val="22"/>
              </w:numPr>
              <w:spacing w:before="120" w:after="120"/>
              <w:jc w:val="left"/>
              <w:rPr>
                <w:rFonts w:eastAsia="Calibri"/>
                <w:sz w:val="18"/>
                <w:szCs w:val="18"/>
              </w:rPr>
            </w:pPr>
            <w:r w:rsidRPr="00316837">
              <w:rPr>
                <w:rFonts w:eastAsia="Calibri"/>
                <w:sz w:val="18"/>
                <w:szCs w:val="18"/>
              </w:rPr>
              <w:t xml:space="preserve">Information and Coordination Centre, </w:t>
            </w:r>
          </w:p>
          <w:p w14:paraId="39350FA1" w14:textId="77777777" w:rsidR="00E55408" w:rsidRPr="00316837" w:rsidRDefault="00E55408" w:rsidP="00AB7DB1">
            <w:pPr>
              <w:numPr>
                <w:ilvl w:val="0"/>
                <w:numId w:val="22"/>
              </w:numPr>
              <w:spacing w:before="120" w:after="120"/>
              <w:jc w:val="left"/>
              <w:rPr>
                <w:rFonts w:eastAsia="Calibri"/>
                <w:sz w:val="18"/>
                <w:szCs w:val="18"/>
              </w:rPr>
            </w:pPr>
            <w:r w:rsidRPr="00316837">
              <w:rPr>
                <w:rFonts w:eastAsia="Calibri"/>
                <w:sz w:val="18"/>
                <w:szCs w:val="18"/>
              </w:rPr>
              <w:t xml:space="preserve">Administration and Finance, and </w:t>
            </w:r>
          </w:p>
          <w:p w14:paraId="621E1A3C" w14:textId="28B4CE81" w:rsidR="00E55408" w:rsidRPr="00316837" w:rsidRDefault="00E55408" w:rsidP="00AB7DB1">
            <w:pPr>
              <w:numPr>
                <w:ilvl w:val="0"/>
                <w:numId w:val="22"/>
              </w:numPr>
              <w:spacing w:before="120" w:after="120"/>
              <w:jc w:val="left"/>
              <w:rPr>
                <w:rFonts w:eastAsia="Calibri"/>
                <w:sz w:val="18"/>
                <w:szCs w:val="18"/>
              </w:rPr>
            </w:pPr>
            <w:r w:rsidRPr="00316837">
              <w:rPr>
                <w:rFonts w:eastAsia="Calibri"/>
                <w:sz w:val="18"/>
                <w:szCs w:val="18"/>
              </w:rPr>
              <w:t xml:space="preserve">Planning, Investment, Programming and Environmental Safeguards. </w:t>
            </w:r>
          </w:p>
        </w:tc>
      </w:tr>
    </w:tbl>
    <w:p w14:paraId="3913AE05" w14:textId="6A5E7798" w:rsidR="00D6366F" w:rsidRPr="00316837" w:rsidRDefault="00D6366F" w:rsidP="00D6366F">
      <w:pPr>
        <w:rPr>
          <w:rFonts w:eastAsia="Calibri"/>
          <w:szCs w:val="22"/>
        </w:rPr>
      </w:pPr>
      <w:r w:rsidRPr="00316837">
        <w:rPr>
          <w:rFonts w:eastAsia="Calibri"/>
          <w:szCs w:val="22"/>
        </w:rPr>
        <w:t>As the development of adequate regional generation capacity and the regional transmission interconnectivity an essential condition precedent to establishing a regional electricity market, WAPP concentrated majorly on developing and progressing towards the implementation of the Regional Generation and Transmission Infrastructure Masterplan</w:t>
      </w:r>
      <w:r w:rsidR="001427C5" w:rsidRPr="00316837">
        <w:rPr>
          <w:rFonts w:eastAsia="Calibri"/>
          <w:szCs w:val="22"/>
        </w:rPr>
        <w:t>,</w:t>
      </w:r>
      <w:r w:rsidRPr="00316837">
        <w:rPr>
          <w:rFonts w:eastAsia="Calibri"/>
          <w:szCs w:val="22"/>
        </w:rPr>
        <w:t xml:space="preserve"> reviewed every five to six years, </w:t>
      </w:r>
      <w:r w:rsidR="001427C5" w:rsidRPr="00316837">
        <w:rPr>
          <w:rFonts w:eastAsia="Calibri"/>
          <w:szCs w:val="22"/>
        </w:rPr>
        <w:t xml:space="preserve">which has </w:t>
      </w:r>
      <w:r w:rsidRPr="00316837">
        <w:rPr>
          <w:rFonts w:eastAsia="Calibri"/>
          <w:szCs w:val="22"/>
        </w:rPr>
        <w:t>already resulted with completing some milestone projects, some are in the execution stage, and others are in the planning stage.</w:t>
      </w:r>
      <w:r w:rsidR="001427C5" w:rsidRPr="00316837">
        <w:t xml:space="preserve"> </w:t>
      </w:r>
      <w:r w:rsidR="00316837" w:rsidRPr="00316837">
        <w:t xml:space="preserve">The priority generation and transmission (integration) projects for WAPP have </w:t>
      </w:r>
      <w:r w:rsidR="00316837">
        <w:t xml:space="preserve">also </w:t>
      </w:r>
      <w:r w:rsidR="00316837" w:rsidRPr="00316837">
        <w:t>been identified and listed in the Continental Master Plan 1 Baseline Study (Deliverables 2&amp;3) for the short-, medium- and long terms.</w:t>
      </w:r>
      <w:r w:rsidR="00316837">
        <w:t xml:space="preserve"> </w:t>
      </w:r>
    </w:p>
    <w:p w14:paraId="3C4838CF" w14:textId="310FECD6" w:rsidR="00D6366F" w:rsidRPr="00316837" w:rsidRDefault="00D6366F" w:rsidP="00D6366F">
      <w:pPr>
        <w:rPr>
          <w:rFonts w:eastAsia="Calibri"/>
          <w:szCs w:val="20"/>
        </w:rPr>
      </w:pPr>
      <w:bookmarkStart w:id="75" w:name="_Hlk76559591"/>
      <w:r w:rsidRPr="00316837">
        <w:rPr>
          <w:rFonts w:eastAsia="Calibri"/>
          <w:szCs w:val="22"/>
        </w:rPr>
        <w:t xml:space="preserve">Currently, although there are some interconnections among different ECOWAS Member States, WAPP does not operate as a single synchronous zone due to power system stability issues. More precisely, 9 ECOWAS </w:t>
      </w:r>
      <w:r w:rsidRPr="00316837">
        <w:rPr>
          <w:rFonts w:eastAsia="Calibri"/>
          <w:szCs w:val="20"/>
        </w:rPr>
        <w:t xml:space="preserve">Member States </w:t>
      </w:r>
      <w:r w:rsidR="003A5217" w:rsidRPr="00316837">
        <w:rPr>
          <w:rFonts w:eastAsia="Calibri"/>
          <w:szCs w:val="20"/>
        </w:rPr>
        <w:t>are</w:t>
      </w:r>
      <w:r w:rsidRPr="00316837">
        <w:rPr>
          <w:rFonts w:eastAsia="Calibri"/>
          <w:szCs w:val="20"/>
        </w:rPr>
        <w:t xml:space="preserve"> electrically interconnected, but operate as three synchronous networks</w:t>
      </w:r>
      <w:r w:rsidR="003A5217" w:rsidRPr="00316837">
        <w:rPr>
          <w:rFonts w:eastAsia="Calibri"/>
          <w:szCs w:val="20"/>
        </w:rPr>
        <w:t xml:space="preserve"> (see </w:t>
      </w:r>
      <w:r w:rsidR="003A5217" w:rsidRPr="00316837">
        <w:rPr>
          <w:rFonts w:eastAsia="Calibri"/>
          <w:szCs w:val="20"/>
        </w:rPr>
        <w:fldChar w:fldCharType="begin"/>
      </w:r>
      <w:r w:rsidR="003A5217" w:rsidRPr="00316837">
        <w:rPr>
          <w:rFonts w:eastAsia="Calibri"/>
          <w:szCs w:val="20"/>
        </w:rPr>
        <w:instrText xml:space="preserve"> REF _Ref72154332 \h  \* MERGEFORMAT </w:instrText>
      </w:r>
      <w:r w:rsidR="003A5217" w:rsidRPr="00316837">
        <w:rPr>
          <w:rFonts w:eastAsia="Calibri"/>
          <w:szCs w:val="20"/>
        </w:rPr>
      </w:r>
      <w:r w:rsidR="003A5217" w:rsidRPr="00316837">
        <w:rPr>
          <w:rFonts w:eastAsia="Calibri"/>
          <w:szCs w:val="20"/>
        </w:rPr>
        <w:fldChar w:fldCharType="separate"/>
      </w:r>
      <w:r w:rsidR="00507C15" w:rsidRPr="006273BD">
        <w:rPr>
          <w:rFonts w:cs="Arial"/>
          <w:bCs/>
          <w:szCs w:val="20"/>
        </w:rPr>
        <w:t>Table 3</w:t>
      </w:r>
      <w:r w:rsidR="00507C15" w:rsidRPr="006273BD">
        <w:rPr>
          <w:rFonts w:cs="Arial"/>
          <w:bCs/>
          <w:szCs w:val="20"/>
        </w:rPr>
        <w:noBreakHyphen/>
        <w:t>5</w:t>
      </w:r>
      <w:r w:rsidR="003A5217" w:rsidRPr="00316837">
        <w:rPr>
          <w:rFonts w:eastAsia="Calibri"/>
          <w:szCs w:val="20"/>
        </w:rPr>
        <w:fldChar w:fldCharType="end"/>
      </w:r>
      <w:r w:rsidR="003A5217" w:rsidRPr="00C632F6">
        <w:rPr>
          <w:rFonts w:eastAsia="Calibri"/>
          <w:szCs w:val="20"/>
        </w:rPr>
        <w:t>)</w:t>
      </w:r>
      <w:r w:rsidR="004E1A6F" w:rsidRPr="00316837">
        <w:rPr>
          <w:rFonts w:eastAsia="Calibri"/>
          <w:szCs w:val="20"/>
        </w:rPr>
        <w:t xml:space="preserve"> with predictable directions of electricity flows (see </w:t>
      </w:r>
      <w:r w:rsidR="004E1A6F" w:rsidRPr="00316837">
        <w:rPr>
          <w:rFonts w:eastAsia="Calibri"/>
          <w:szCs w:val="20"/>
        </w:rPr>
        <w:fldChar w:fldCharType="begin"/>
      </w:r>
      <w:r w:rsidR="004E1A6F" w:rsidRPr="00316837">
        <w:rPr>
          <w:rFonts w:eastAsia="Calibri"/>
          <w:szCs w:val="20"/>
        </w:rPr>
        <w:instrText xml:space="preserve"> REF _Ref72232950 \h  \* MERGEFORMAT </w:instrText>
      </w:r>
      <w:r w:rsidR="004E1A6F" w:rsidRPr="00316837">
        <w:rPr>
          <w:rFonts w:eastAsia="Calibri"/>
          <w:szCs w:val="20"/>
        </w:rPr>
      </w:r>
      <w:r w:rsidR="004E1A6F" w:rsidRPr="00316837">
        <w:rPr>
          <w:rFonts w:eastAsia="Calibri"/>
          <w:szCs w:val="20"/>
        </w:rPr>
        <w:fldChar w:fldCharType="separate"/>
      </w:r>
      <w:r w:rsidR="00507C15" w:rsidRPr="006273BD">
        <w:rPr>
          <w:rFonts w:eastAsia="Calibri"/>
          <w:bCs/>
          <w:szCs w:val="20"/>
        </w:rPr>
        <w:t>Figure 3</w:t>
      </w:r>
      <w:r w:rsidR="00507C15" w:rsidRPr="006273BD">
        <w:rPr>
          <w:rFonts w:eastAsia="Calibri"/>
          <w:bCs/>
          <w:szCs w:val="20"/>
        </w:rPr>
        <w:noBreakHyphen/>
        <w:t>4</w:t>
      </w:r>
      <w:r w:rsidR="004E1A6F" w:rsidRPr="00316837">
        <w:rPr>
          <w:rFonts w:eastAsia="Calibri"/>
          <w:szCs w:val="20"/>
        </w:rPr>
        <w:fldChar w:fldCharType="end"/>
      </w:r>
      <w:r w:rsidR="004E1A6F" w:rsidRPr="00C632F6">
        <w:rPr>
          <w:rFonts w:eastAsia="Calibri"/>
          <w:szCs w:val="20"/>
        </w:rPr>
        <w:t>)</w:t>
      </w:r>
      <w:r w:rsidR="003A5217" w:rsidRPr="00316837">
        <w:rPr>
          <w:rFonts w:eastAsia="Calibri"/>
          <w:szCs w:val="20"/>
        </w:rPr>
        <w:t xml:space="preserve">. </w:t>
      </w:r>
    </w:p>
    <w:p w14:paraId="378550AC" w14:textId="4AFD8916" w:rsidR="003A5217" w:rsidRPr="00316837" w:rsidRDefault="003A5217" w:rsidP="003A5217">
      <w:pPr>
        <w:suppressAutoHyphens w:val="0"/>
        <w:spacing w:before="120"/>
        <w:ind w:left="1134" w:hanging="1134"/>
        <w:rPr>
          <w:rFonts w:cs="Arial"/>
          <w:bCs/>
          <w:sz w:val="18"/>
          <w:szCs w:val="18"/>
        </w:rPr>
      </w:pPr>
      <w:bookmarkStart w:id="76" w:name="_Ref72154332"/>
      <w:bookmarkStart w:id="77" w:name="_Toc77260242"/>
      <w:r w:rsidRPr="00316837">
        <w:rPr>
          <w:rFonts w:cs="Arial"/>
          <w:bCs/>
          <w:sz w:val="18"/>
          <w:szCs w:val="18"/>
        </w:rPr>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507C15">
        <w:rPr>
          <w:rFonts w:cs="Arial"/>
          <w:bCs/>
          <w:noProof/>
          <w:sz w:val="18"/>
          <w:szCs w:val="18"/>
        </w:rPr>
        <w:t>5</w:t>
      </w:r>
      <w:r w:rsidRPr="00316837">
        <w:rPr>
          <w:rFonts w:cs="Arial"/>
          <w:bCs/>
          <w:sz w:val="18"/>
          <w:szCs w:val="18"/>
        </w:rPr>
        <w:fldChar w:fldCharType="end"/>
      </w:r>
      <w:bookmarkEnd w:id="76"/>
      <w:r w:rsidRPr="00C632F6">
        <w:rPr>
          <w:rFonts w:cs="Arial"/>
          <w:bCs/>
          <w:sz w:val="18"/>
          <w:szCs w:val="18"/>
        </w:rPr>
        <w:t>: WAPP’s three main synchronous zones</w:t>
      </w:r>
      <w:bookmarkEnd w:id="77"/>
      <w:r w:rsidRPr="00C632F6">
        <w:rPr>
          <w:rFonts w:cs="Arial"/>
          <w:bCs/>
          <w:sz w:val="18"/>
          <w:szCs w:val="18"/>
        </w:rPr>
        <w:t xml:space="preserve"> </w:t>
      </w:r>
    </w:p>
    <w:tbl>
      <w:tblPr>
        <w:tblStyle w:val="TableGrid"/>
        <w:tblW w:w="0" w:type="auto"/>
        <w:tblLook w:val="04A0" w:firstRow="1" w:lastRow="0" w:firstColumn="1" w:lastColumn="0" w:noHBand="0" w:noVBand="1"/>
      </w:tblPr>
      <w:tblGrid>
        <w:gridCol w:w="562"/>
        <w:gridCol w:w="1701"/>
        <w:gridCol w:w="1985"/>
        <w:gridCol w:w="2551"/>
        <w:gridCol w:w="2830"/>
      </w:tblGrid>
      <w:tr w:rsidR="003A5217" w:rsidRPr="00316837" w14:paraId="546E3DF4" w14:textId="77777777" w:rsidTr="003A5217">
        <w:tc>
          <w:tcPr>
            <w:tcW w:w="562" w:type="dxa"/>
            <w:shd w:val="clear" w:color="auto" w:fill="F2F2F2" w:themeFill="background1" w:themeFillShade="F2"/>
          </w:tcPr>
          <w:p w14:paraId="592B6F79" w14:textId="694FCA0E" w:rsidR="003A5217" w:rsidRPr="006273BD" w:rsidRDefault="003A5217" w:rsidP="003A5217">
            <w:pPr>
              <w:spacing w:before="120" w:after="120"/>
              <w:jc w:val="left"/>
              <w:rPr>
                <w:rFonts w:eastAsia="Calibri"/>
                <w:b/>
                <w:bCs/>
                <w:sz w:val="18"/>
                <w:szCs w:val="18"/>
              </w:rPr>
            </w:pPr>
            <w:r w:rsidRPr="006273BD">
              <w:rPr>
                <w:rFonts w:eastAsia="Calibri"/>
                <w:b/>
                <w:bCs/>
                <w:sz w:val="18"/>
                <w:szCs w:val="18"/>
              </w:rPr>
              <w:t xml:space="preserve">No. </w:t>
            </w:r>
          </w:p>
        </w:tc>
        <w:tc>
          <w:tcPr>
            <w:tcW w:w="1701" w:type="dxa"/>
            <w:shd w:val="clear" w:color="auto" w:fill="F2F2F2" w:themeFill="background1" w:themeFillShade="F2"/>
          </w:tcPr>
          <w:p w14:paraId="786AFF6E" w14:textId="3F4E1444" w:rsidR="003A5217" w:rsidRPr="006273BD" w:rsidRDefault="003A5217" w:rsidP="003A5217">
            <w:pPr>
              <w:spacing w:before="120" w:after="120"/>
              <w:jc w:val="left"/>
              <w:rPr>
                <w:rFonts w:eastAsia="Calibri"/>
                <w:b/>
                <w:bCs/>
                <w:sz w:val="18"/>
                <w:szCs w:val="18"/>
              </w:rPr>
            </w:pPr>
            <w:r w:rsidRPr="006273BD">
              <w:rPr>
                <w:rFonts w:eastAsia="Calibri"/>
                <w:b/>
                <w:bCs/>
                <w:sz w:val="18"/>
                <w:szCs w:val="18"/>
              </w:rPr>
              <w:t>Zone</w:t>
            </w:r>
          </w:p>
        </w:tc>
        <w:tc>
          <w:tcPr>
            <w:tcW w:w="1985" w:type="dxa"/>
            <w:shd w:val="clear" w:color="auto" w:fill="F2F2F2" w:themeFill="background1" w:themeFillShade="F2"/>
          </w:tcPr>
          <w:p w14:paraId="72604BF2" w14:textId="3355D8D4" w:rsidR="003A5217" w:rsidRPr="006273BD" w:rsidRDefault="003A5217" w:rsidP="003A5217">
            <w:pPr>
              <w:spacing w:before="120" w:after="120"/>
              <w:jc w:val="left"/>
              <w:rPr>
                <w:rFonts w:eastAsia="Calibri"/>
                <w:b/>
                <w:bCs/>
                <w:sz w:val="18"/>
                <w:szCs w:val="18"/>
              </w:rPr>
            </w:pPr>
            <w:r w:rsidRPr="006273BD">
              <w:rPr>
                <w:rFonts w:eastAsia="Calibri"/>
                <w:b/>
                <w:bCs/>
                <w:sz w:val="18"/>
                <w:szCs w:val="18"/>
              </w:rPr>
              <w:t xml:space="preserve">Countries </w:t>
            </w:r>
          </w:p>
        </w:tc>
        <w:tc>
          <w:tcPr>
            <w:tcW w:w="2551" w:type="dxa"/>
            <w:shd w:val="clear" w:color="auto" w:fill="F2F2F2" w:themeFill="background1" w:themeFillShade="F2"/>
          </w:tcPr>
          <w:p w14:paraId="734E7EB1" w14:textId="4BB52B6F" w:rsidR="003A5217" w:rsidRPr="006273BD" w:rsidRDefault="003A5217" w:rsidP="003A5217">
            <w:pPr>
              <w:spacing w:before="120" w:after="120"/>
              <w:jc w:val="left"/>
              <w:rPr>
                <w:rFonts w:eastAsia="Calibri"/>
                <w:b/>
                <w:bCs/>
                <w:sz w:val="18"/>
                <w:szCs w:val="18"/>
              </w:rPr>
            </w:pPr>
            <w:r w:rsidRPr="006273BD">
              <w:rPr>
                <w:rFonts w:eastAsia="Calibri"/>
                <w:b/>
                <w:bCs/>
                <w:sz w:val="18"/>
                <w:szCs w:val="18"/>
              </w:rPr>
              <w:t xml:space="preserve">Composition </w:t>
            </w:r>
          </w:p>
        </w:tc>
        <w:tc>
          <w:tcPr>
            <w:tcW w:w="2830" w:type="dxa"/>
            <w:shd w:val="clear" w:color="auto" w:fill="F2F2F2" w:themeFill="background1" w:themeFillShade="F2"/>
          </w:tcPr>
          <w:p w14:paraId="255F4F34" w14:textId="076F6A30" w:rsidR="003A5217" w:rsidRPr="006273BD" w:rsidRDefault="003A5217" w:rsidP="003A5217">
            <w:pPr>
              <w:spacing w:before="120" w:after="120"/>
              <w:jc w:val="left"/>
              <w:rPr>
                <w:rFonts w:eastAsia="Calibri"/>
                <w:b/>
                <w:bCs/>
                <w:sz w:val="18"/>
                <w:szCs w:val="18"/>
              </w:rPr>
            </w:pPr>
            <w:r w:rsidRPr="006273BD">
              <w:rPr>
                <w:rFonts w:eastAsia="Calibri"/>
                <w:b/>
                <w:bCs/>
                <w:sz w:val="18"/>
                <w:szCs w:val="18"/>
              </w:rPr>
              <w:t xml:space="preserve">Companies </w:t>
            </w:r>
          </w:p>
        </w:tc>
      </w:tr>
      <w:tr w:rsidR="003A5217" w:rsidRPr="00316837" w14:paraId="62A0994F" w14:textId="77777777" w:rsidTr="003A5217">
        <w:tc>
          <w:tcPr>
            <w:tcW w:w="562" w:type="dxa"/>
          </w:tcPr>
          <w:p w14:paraId="244B9F18" w14:textId="16CA3577" w:rsidR="003A5217" w:rsidRPr="00316837" w:rsidRDefault="003A5217" w:rsidP="003A5217">
            <w:pPr>
              <w:spacing w:before="120" w:after="120"/>
              <w:jc w:val="left"/>
              <w:rPr>
                <w:rFonts w:eastAsia="Calibri"/>
                <w:sz w:val="18"/>
                <w:szCs w:val="18"/>
              </w:rPr>
            </w:pPr>
            <w:r w:rsidRPr="00316837">
              <w:rPr>
                <w:rFonts w:eastAsia="Calibri"/>
                <w:sz w:val="18"/>
                <w:szCs w:val="18"/>
              </w:rPr>
              <w:t>1</w:t>
            </w:r>
          </w:p>
        </w:tc>
        <w:tc>
          <w:tcPr>
            <w:tcW w:w="1701" w:type="dxa"/>
          </w:tcPr>
          <w:p w14:paraId="1CC4AAA1" w14:textId="47B69CFB" w:rsidR="003A5217" w:rsidRPr="00316837" w:rsidRDefault="003A5217" w:rsidP="003A5217">
            <w:pPr>
              <w:spacing w:before="120" w:after="120"/>
              <w:jc w:val="left"/>
              <w:rPr>
                <w:rFonts w:eastAsia="Calibri"/>
                <w:sz w:val="18"/>
                <w:szCs w:val="18"/>
              </w:rPr>
            </w:pPr>
            <w:r w:rsidRPr="00316837">
              <w:rPr>
                <w:rFonts w:eastAsia="Calibri"/>
                <w:sz w:val="18"/>
                <w:szCs w:val="18"/>
              </w:rPr>
              <w:t>Synchronised Eastern Network</w:t>
            </w:r>
          </w:p>
        </w:tc>
        <w:tc>
          <w:tcPr>
            <w:tcW w:w="1985" w:type="dxa"/>
          </w:tcPr>
          <w:p w14:paraId="04233350" w14:textId="39A4E375" w:rsidR="003A5217" w:rsidRPr="00316837" w:rsidRDefault="003A5217" w:rsidP="003A5217">
            <w:pPr>
              <w:spacing w:before="120" w:after="120"/>
              <w:jc w:val="left"/>
              <w:rPr>
                <w:rFonts w:eastAsia="Calibri"/>
                <w:sz w:val="18"/>
                <w:szCs w:val="18"/>
              </w:rPr>
            </w:pPr>
            <w:r w:rsidRPr="00316837">
              <w:rPr>
                <w:rFonts w:eastAsia="Calibri"/>
                <w:sz w:val="18"/>
                <w:szCs w:val="18"/>
              </w:rPr>
              <w:t>Part of Togo/Benin, Nigeria, Niger</w:t>
            </w:r>
          </w:p>
        </w:tc>
        <w:tc>
          <w:tcPr>
            <w:tcW w:w="2551" w:type="dxa"/>
          </w:tcPr>
          <w:p w14:paraId="55744480" w14:textId="26DD0596" w:rsidR="003A5217" w:rsidRPr="00316837" w:rsidRDefault="003A5217" w:rsidP="003A5217">
            <w:pPr>
              <w:spacing w:before="120" w:after="120"/>
              <w:jc w:val="left"/>
              <w:rPr>
                <w:rFonts w:eastAsia="Calibri"/>
                <w:sz w:val="18"/>
                <w:szCs w:val="18"/>
              </w:rPr>
            </w:pPr>
            <w:r w:rsidRPr="00316837">
              <w:rPr>
                <w:rFonts w:eastAsia="Calibri"/>
                <w:sz w:val="18"/>
                <w:szCs w:val="18"/>
              </w:rPr>
              <w:t>Three power subsystems managed by three companies</w:t>
            </w:r>
          </w:p>
        </w:tc>
        <w:tc>
          <w:tcPr>
            <w:tcW w:w="2830" w:type="dxa"/>
          </w:tcPr>
          <w:p w14:paraId="6874C46E" w14:textId="6B48BFA6" w:rsidR="003A5217" w:rsidRPr="00316837" w:rsidRDefault="003A5217" w:rsidP="003A5217">
            <w:pPr>
              <w:spacing w:before="120" w:after="120"/>
              <w:jc w:val="left"/>
              <w:rPr>
                <w:rFonts w:eastAsia="Calibri"/>
                <w:sz w:val="18"/>
                <w:szCs w:val="18"/>
              </w:rPr>
            </w:pPr>
            <w:r w:rsidRPr="00316837">
              <w:rPr>
                <w:rFonts w:eastAsia="Calibri"/>
                <w:sz w:val="18"/>
                <w:szCs w:val="18"/>
              </w:rPr>
              <w:t>CEB of Togo/Benin, TCN of Nigeria, and NIGELEC of Niger</w:t>
            </w:r>
          </w:p>
        </w:tc>
      </w:tr>
      <w:tr w:rsidR="003A5217" w:rsidRPr="00316837" w14:paraId="52342D6C" w14:textId="77777777" w:rsidTr="003A5217">
        <w:tc>
          <w:tcPr>
            <w:tcW w:w="562" w:type="dxa"/>
          </w:tcPr>
          <w:p w14:paraId="46265460" w14:textId="6671D132" w:rsidR="003A5217" w:rsidRPr="00316837" w:rsidRDefault="003A5217" w:rsidP="003A5217">
            <w:pPr>
              <w:spacing w:before="120" w:after="120"/>
              <w:jc w:val="left"/>
              <w:rPr>
                <w:rFonts w:eastAsia="Calibri"/>
                <w:sz w:val="18"/>
                <w:szCs w:val="18"/>
              </w:rPr>
            </w:pPr>
            <w:r w:rsidRPr="00316837">
              <w:rPr>
                <w:rFonts w:eastAsia="Calibri"/>
                <w:sz w:val="18"/>
                <w:szCs w:val="18"/>
              </w:rPr>
              <w:t>2</w:t>
            </w:r>
          </w:p>
        </w:tc>
        <w:tc>
          <w:tcPr>
            <w:tcW w:w="1701" w:type="dxa"/>
          </w:tcPr>
          <w:p w14:paraId="10CC687F" w14:textId="1C217D35" w:rsidR="003A5217" w:rsidRPr="00316837" w:rsidRDefault="003A5217" w:rsidP="003A5217">
            <w:pPr>
              <w:spacing w:before="120" w:after="120"/>
              <w:jc w:val="left"/>
              <w:rPr>
                <w:rFonts w:eastAsia="Calibri"/>
                <w:sz w:val="18"/>
                <w:szCs w:val="18"/>
              </w:rPr>
            </w:pPr>
            <w:r w:rsidRPr="00316837">
              <w:rPr>
                <w:rFonts w:eastAsia="Calibri"/>
                <w:sz w:val="18"/>
                <w:szCs w:val="18"/>
              </w:rPr>
              <w:t>Synchronised Central Network</w:t>
            </w:r>
          </w:p>
        </w:tc>
        <w:tc>
          <w:tcPr>
            <w:tcW w:w="1985" w:type="dxa"/>
          </w:tcPr>
          <w:p w14:paraId="477FB733" w14:textId="4EFDE47F" w:rsidR="003A5217" w:rsidRPr="00316837" w:rsidRDefault="003A5217" w:rsidP="003A5217">
            <w:pPr>
              <w:spacing w:before="120" w:after="120"/>
              <w:jc w:val="left"/>
              <w:rPr>
                <w:rFonts w:eastAsia="Calibri"/>
                <w:sz w:val="18"/>
                <w:szCs w:val="18"/>
              </w:rPr>
            </w:pPr>
            <w:r w:rsidRPr="00316837">
              <w:rPr>
                <w:rFonts w:eastAsia="Calibri"/>
                <w:sz w:val="18"/>
                <w:szCs w:val="18"/>
              </w:rPr>
              <w:t>Burkina Faso, Cote d’Ivoire, Ghana, part of Togo/Benin, and part of Mali</w:t>
            </w:r>
          </w:p>
        </w:tc>
        <w:tc>
          <w:tcPr>
            <w:tcW w:w="2551" w:type="dxa"/>
          </w:tcPr>
          <w:p w14:paraId="09A3EE95" w14:textId="44E28978" w:rsidR="003A5217" w:rsidRPr="00316837" w:rsidRDefault="003A5217" w:rsidP="003A5217">
            <w:pPr>
              <w:spacing w:before="120" w:after="120"/>
              <w:jc w:val="left"/>
              <w:rPr>
                <w:rFonts w:eastAsia="Calibri"/>
                <w:sz w:val="18"/>
                <w:szCs w:val="18"/>
              </w:rPr>
            </w:pPr>
            <w:r w:rsidRPr="00316837">
              <w:rPr>
                <w:rFonts w:eastAsia="Calibri"/>
                <w:sz w:val="18"/>
                <w:szCs w:val="18"/>
              </w:rPr>
              <w:t>Four power subsystems managed by five companies</w:t>
            </w:r>
          </w:p>
        </w:tc>
        <w:tc>
          <w:tcPr>
            <w:tcW w:w="2830" w:type="dxa"/>
          </w:tcPr>
          <w:p w14:paraId="71046F71" w14:textId="2892F38E" w:rsidR="003A5217" w:rsidRPr="00316837" w:rsidRDefault="003A5217" w:rsidP="003A5217">
            <w:pPr>
              <w:spacing w:before="120" w:after="120"/>
              <w:jc w:val="left"/>
              <w:rPr>
                <w:rFonts w:eastAsia="Calibri"/>
                <w:sz w:val="18"/>
                <w:szCs w:val="18"/>
              </w:rPr>
            </w:pPr>
            <w:r w:rsidRPr="00316837">
              <w:rPr>
                <w:rFonts w:eastAsia="Calibri"/>
                <w:sz w:val="18"/>
                <w:szCs w:val="18"/>
              </w:rPr>
              <w:t>SONABEL of Burkina Faso, CIE of Cote d’Ivoire, GRIDCo of Ghana, CEB of Benin/Togo, and EDM-SA of Mali</w:t>
            </w:r>
          </w:p>
        </w:tc>
      </w:tr>
      <w:tr w:rsidR="003A5217" w:rsidRPr="00316837" w14:paraId="4927368F" w14:textId="77777777" w:rsidTr="003A5217">
        <w:tc>
          <w:tcPr>
            <w:tcW w:w="562" w:type="dxa"/>
          </w:tcPr>
          <w:p w14:paraId="36BF6D50" w14:textId="3773697E" w:rsidR="003A5217" w:rsidRPr="00316837" w:rsidRDefault="003A5217" w:rsidP="003A5217">
            <w:pPr>
              <w:spacing w:before="120" w:after="120"/>
              <w:jc w:val="left"/>
              <w:rPr>
                <w:rFonts w:eastAsia="Calibri"/>
                <w:sz w:val="18"/>
                <w:szCs w:val="18"/>
              </w:rPr>
            </w:pPr>
            <w:r w:rsidRPr="00316837">
              <w:rPr>
                <w:rFonts w:eastAsia="Calibri"/>
                <w:sz w:val="18"/>
                <w:szCs w:val="18"/>
              </w:rPr>
              <w:t>3</w:t>
            </w:r>
          </w:p>
        </w:tc>
        <w:tc>
          <w:tcPr>
            <w:tcW w:w="1701" w:type="dxa"/>
          </w:tcPr>
          <w:p w14:paraId="5BDB5968" w14:textId="0D57A6C5" w:rsidR="003A5217" w:rsidRPr="00316837" w:rsidRDefault="003A5217" w:rsidP="003A5217">
            <w:pPr>
              <w:spacing w:before="120" w:after="120"/>
              <w:jc w:val="left"/>
              <w:rPr>
                <w:rFonts w:eastAsia="Calibri"/>
                <w:sz w:val="18"/>
                <w:szCs w:val="18"/>
              </w:rPr>
            </w:pPr>
            <w:r w:rsidRPr="00316837">
              <w:rPr>
                <w:rFonts w:eastAsia="Calibri"/>
                <w:sz w:val="18"/>
                <w:szCs w:val="18"/>
              </w:rPr>
              <w:t>Synchronised Western Network</w:t>
            </w:r>
          </w:p>
        </w:tc>
        <w:tc>
          <w:tcPr>
            <w:tcW w:w="1985" w:type="dxa"/>
          </w:tcPr>
          <w:p w14:paraId="68D1712C" w14:textId="21FDC158" w:rsidR="003A5217" w:rsidRPr="00316837" w:rsidRDefault="003A5217" w:rsidP="003A5217">
            <w:pPr>
              <w:spacing w:before="120" w:after="120"/>
              <w:jc w:val="left"/>
              <w:rPr>
                <w:rFonts w:eastAsia="Calibri"/>
                <w:sz w:val="18"/>
                <w:szCs w:val="18"/>
              </w:rPr>
            </w:pPr>
            <w:r w:rsidRPr="00316837">
              <w:rPr>
                <w:rFonts w:eastAsia="Calibri"/>
                <w:sz w:val="18"/>
                <w:szCs w:val="18"/>
              </w:rPr>
              <w:t>The second part of Mali, Senegal, and Mauritania</w:t>
            </w:r>
          </w:p>
        </w:tc>
        <w:tc>
          <w:tcPr>
            <w:tcW w:w="2551" w:type="dxa"/>
          </w:tcPr>
          <w:p w14:paraId="45EFA064" w14:textId="36FE06A0" w:rsidR="003A5217" w:rsidRPr="00316837" w:rsidRDefault="003A5217" w:rsidP="003A5217">
            <w:pPr>
              <w:spacing w:before="120" w:after="120"/>
              <w:jc w:val="left"/>
              <w:rPr>
                <w:rFonts w:eastAsia="Calibri"/>
                <w:sz w:val="18"/>
                <w:szCs w:val="18"/>
              </w:rPr>
            </w:pPr>
            <w:r w:rsidRPr="00316837">
              <w:rPr>
                <w:rFonts w:eastAsia="Calibri"/>
                <w:sz w:val="18"/>
                <w:szCs w:val="18"/>
              </w:rPr>
              <w:t xml:space="preserve">The Senegal River Development Organization (OMVS), which operates a common power system made of two </w:t>
            </w:r>
            <w:r w:rsidR="008F32C0" w:rsidRPr="00316837">
              <w:rPr>
                <w:rFonts w:eastAsia="Calibri"/>
                <w:sz w:val="18"/>
                <w:szCs w:val="18"/>
              </w:rPr>
              <w:t xml:space="preserve">WAPP </w:t>
            </w:r>
            <w:r w:rsidRPr="00316837">
              <w:rPr>
                <w:rFonts w:eastAsia="Calibri"/>
                <w:sz w:val="18"/>
                <w:szCs w:val="18"/>
              </w:rPr>
              <w:t xml:space="preserve">member </w:t>
            </w:r>
            <w:r w:rsidR="008F32C0" w:rsidRPr="00316837">
              <w:rPr>
                <w:rFonts w:eastAsia="Calibri"/>
                <w:sz w:val="18"/>
                <w:szCs w:val="18"/>
              </w:rPr>
              <w:t>states</w:t>
            </w:r>
            <w:r w:rsidRPr="00316837">
              <w:rPr>
                <w:rFonts w:eastAsia="Calibri"/>
                <w:sz w:val="18"/>
                <w:szCs w:val="18"/>
              </w:rPr>
              <w:t xml:space="preserve"> and distributes the output from HPPs Manantali and Felou</w:t>
            </w:r>
          </w:p>
        </w:tc>
        <w:tc>
          <w:tcPr>
            <w:tcW w:w="2830" w:type="dxa"/>
          </w:tcPr>
          <w:p w14:paraId="14E8FC64" w14:textId="4FDB025D" w:rsidR="003A5217" w:rsidRPr="00316837" w:rsidRDefault="003A5217" w:rsidP="003A5217">
            <w:pPr>
              <w:spacing w:before="120" w:after="120"/>
              <w:jc w:val="left"/>
              <w:rPr>
                <w:rFonts w:eastAsia="Calibri"/>
                <w:sz w:val="18"/>
                <w:szCs w:val="18"/>
              </w:rPr>
            </w:pPr>
            <w:r w:rsidRPr="00316837">
              <w:rPr>
                <w:rFonts w:eastAsia="Calibri"/>
                <w:sz w:val="18"/>
                <w:szCs w:val="18"/>
              </w:rPr>
              <w:t>SENELEC of Senegal and EDM of EDM</w:t>
            </w:r>
          </w:p>
        </w:tc>
      </w:tr>
    </w:tbl>
    <w:p w14:paraId="08639F66" w14:textId="68DAA70C" w:rsidR="00D5560E" w:rsidRPr="00C632F6" w:rsidRDefault="00D5560E" w:rsidP="006273BD">
      <w:pPr>
        <w:jc w:val="center"/>
        <w:rPr>
          <w:rFonts w:eastAsia="Calibri"/>
          <w:szCs w:val="22"/>
        </w:rPr>
      </w:pPr>
      <w:r w:rsidRPr="006273BD">
        <w:rPr>
          <w:rFonts w:eastAsia="Calibri"/>
          <w:noProof/>
          <w:szCs w:val="22"/>
          <w:lang w:eastAsia="en-GB"/>
        </w:rPr>
        <w:lastRenderedPageBreak/>
        <w:drawing>
          <wp:inline distT="0" distB="0" distL="0" distR="0" wp14:anchorId="1180FA09" wp14:editId="16B1162C">
            <wp:extent cx="5373112" cy="30564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8166"/>
                    <a:stretch/>
                  </pic:blipFill>
                  <pic:spPr bwMode="auto">
                    <a:xfrm>
                      <a:off x="0" y="0"/>
                      <a:ext cx="5403319" cy="3073604"/>
                    </a:xfrm>
                    <a:prstGeom prst="rect">
                      <a:avLst/>
                    </a:prstGeom>
                    <a:noFill/>
                    <a:ln>
                      <a:noFill/>
                    </a:ln>
                    <a:extLst>
                      <a:ext uri="{53640926-AAD7-44D8-BBD7-CCE9431645EC}">
                        <a14:shadowObscured xmlns:a14="http://schemas.microsoft.com/office/drawing/2010/main"/>
                      </a:ext>
                    </a:extLst>
                  </pic:spPr>
                </pic:pic>
              </a:graphicData>
            </a:graphic>
          </wp:inline>
        </w:drawing>
      </w:r>
    </w:p>
    <w:p w14:paraId="796F535D" w14:textId="4EA702D2" w:rsidR="004E1A6F" w:rsidRPr="00316837" w:rsidRDefault="004E1A6F" w:rsidP="004E1A6F">
      <w:pPr>
        <w:rPr>
          <w:rFonts w:eastAsia="Calibri"/>
          <w:bCs/>
          <w:sz w:val="18"/>
          <w:szCs w:val="18"/>
        </w:rPr>
      </w:pPr>
      <w:bookmarkStart w:id="78" w:name="_Ref72232950"/>
      <w:bookmarkStart w:id="79" w:name="_Toc77260266"/>
      <w:r w:rsidRPr="00316837">
        <w:rPr>
          <w:rFonts w:eastAsia="Calibri"/>
          <w:bCs/>
          <w:sz w:val="18"/>
          <w:szCs w:val="18"/>
        </w:rPr>
        <w:t xml:space="preserve">Figure </w:t>
      </w:r>
      <w:r w:rsidRPr="00316837">
        <w:rPr>
          <w:rFonts w:eastAsia="Calibri"/>
          <w:bCs/>
          <w:sz w:val="18"/>
          <w:szCs w:val="18"/>
        </w:rPr>
        <w:fldChar w:fldCharType="begin"/>
      </w:r>
      <w:r w:rsidRPr="00316837">
        <w:rPr>
          <w:rFonts w:eastAsia="Calibri"/>
          <w:bCs/>
          <w:sz w:val="18"/>
          <w:szCs w:val="18"/>
        </w:rPr>
        <w:instrText xml:space="preserve"> STYLEREF 1 \s </w:instrText>
      </w:r>
      <w:r w:rsidRPr="00316837">
        <w:rPr>
          <w:rFonts w:eastAsia="Calibri"/>
          <w:bCs/>
          <w:sz w:val="18"/>
          <w:szCs w:val="18"/>
        </w:rPr>
        <w:fldChar w:fldCharType="separate"/>
      </w:r>
      <w:r w:rsidR="00703397" w:rsidRPr="00316837">
        <w:rPr>
          <w:rFonts w:eastAsia="Calibri"/>
          <w:bCs/>
          <w:sz w:val="18"/>
          <w:szCs w:val="18"/>
        </w:rPr>
        <w:t>3</w:t>
      </w:r>
      <w:r w:rsidRPr="00316837">
        <w:rPr>
          <w:rFonts w:eastAsia="Calibri"/>
          <w:sz w:val="18"/>
          <w:szCs w:val="18"/>
        </w:rPr>
        <w:fldChar w:fldCharType="end"/>
      </w:r>
      <w:r w:rsidRPr="00C632F6">
        <w:rPr>
          <w:rFonts w:eastAsia="Calibri"/>
          <w:bCs/>
          <w:sz w:val="18"/>
          <w:szCs w:val="18"/>
        </w:rPr>
        <w:noBreakHyphen/>
      </w:r>
      <w:r w:rsidRPr="00316837">
        <w:rPr>
          <w:rFonts w:eastAsia="Calibri"/>
          <w:bCs/>
          <w:sz w:val="18"/>
          <w:szCs w:val="18"/>
        </w:rPr>
        <w:fldChar w:fldCharType="begin"/>
      </w:r>
      <w:r w:rsidRPr="00316837">
        <w:rPr>
          <w:rFonts w:eastAsia="Calibri"/>
          <w:bCs/>
          <w:sz w:val="18"/>
          <w:szCs w:val="18"/>
        </w:rPr>
        <w:instrText xml:space="preserve"> SEQ Figure \* ARABIC \s 1 </w:instrText>
      </w:r>
      <w:r w:rsidRPr="00316837">
        <w:rPr>
          <w:rFonts w:eastAsia="Calibri"/>
          <w:bCs/>
          <w:sz w:val="18"/>
          <w:szCs w:val="18"/>
        </w:rPr>
        <w:fldChar w:fldCharType="separate"/>
      </w:r>
      <w:r w:rsidR="00703397" w:rsidRPr="00316837">
        <w:rPr>
          <w:rFonts w:eastAsia="Calibri"/>
          <w:bCs/>
          <w:sz w:val="18"/>
          <w:szCs w:val="18"/>
        </w:rPr>
        <w:t>4</w:t>
      </w:r>
      <w:r w:rsidRPr="00316837">
        <w:rPr>
          <w:rFonts w:eastAsia="Calibri"/>
          <w:sz w:val="18"/>
          <w:szCs w:val="18"/>
        </w:rPr>
        <w:fldChar w:fldCharType="end"/>
      </w:r>
      <w:bookmarkEnd w:id="78"/>
      <w:r w:rsidRPr="00C632F6">
        <w:rPr>
          <w:rFonts w:eastAsia="Calibri"/>
          <w:bCs/>
          <w:sz w:val="18"/>
          <w:szCs w:val="18"/>
        </w:rPr>
        <w:t>: Directions of electricity flows in the WAPP three main synchronous zones (source: WAPP)</w:t>
      </w:r>
      <w:bookmarkEnd w:id="79"/>
      <w:r w:rsidRPr="00C632F6">
        <w:rPr>
          <w:rFonts w:eastAsia="Calibri"/>
          <w:bCs/>
          <w:sz w:val="18"/>
          <w:szCs w:val="18"/>
        </w:rPr>
        <w:t xml:space="preserve"> </w:t>
      </w:r>
    </w:p>
    <w:bookmarkEnd w:id="75"/>
    <w:p w14:paraId="6FFF7884" w14:textId="13466AE8" w:rsidR="009F4289" w:rsidRPr="00316837" w:rsidRDefault="0068151A" w:rsidP="0068151A">
      <w:pPr>
        <w:rPr>
          <w:rFonts w:eastAsia="Calibri"/>
          <w:szCs w:val="22"/>
        </w:rPr>
      </w:pPr>
      <w:r w:rsidRPr="00316837">
        <w:rPr>
          <w:rFonts w:eastAsia="Calibri"/>
          <w:szCs w:val="22"/>
        </w:rPr>
        <w:t xml:space="preserve">Transmission systems of the remaining WAPP </w:t>
      </w:r>
      <w:r w:rsidR="00E55408" w:rsidRPr="00316837">
        <w:rPr>
          <w:rFonts w:eastAsia="Calibri"/>
          <w:szCs w:val="22"/>
        </w:rPr>
        <w:t xml:space="preserve">member </w:t>
      </w:r>
      <w:r w:rsidR="008F32C0" w:rsidRPr="00316837">
        <w:rPr>
          <w:rFonts w:eastAsia="Calibri"/>
          <w:szCs w:val="22"/>
        </w:rPr>
        <w:t>states</w:t>
      </w:r>
      <w:r w:rsidRPr="00316837">
        <w:rPr>
          <w:rFonts w:eastAsia="Calibri"/>
          <w:szCs w:val="22"/>
        </w:rPr>
        <w:t xml:space="preserve"> are not yet interconnected</w:t>
      </w:r>
      <w:r w:rsidR="00E14A88" w:rsidRPr="00316837">
        <w:rPr>
          <w:rFonts w:eastAsia="Calibri"/>
          <w:szCs w:val="22"/>
        </w:rPr>
        <w:t xml:space="preserve"> (Liberia, Sierra Leone, Guinea, Gambia, and Guinea Bissau)</w:t>
      </w:r>
      <w:r w:rsidR="00D6366F" w:rsidRPr="00316837">
        <w:rPr>
          <w:rFonts w:eastAsia="Calibri"/>
          <w:szCs w:val="22"/>
        </w:rPr>
        <w:t xml:space="preserve">. However, there are </w:t>
      </w:r>
      <w:r w:rsidR="001427C5" w:rsidRPr="00316837">
        <w:rPr>
          <w:rFonts w:eastAsia="Calibri"/>
          <w:szCs w:val="22"/>
        </w:rPr>
        <w:t xml:space="preserve">both </w:t>
      </w:r>
      <w:r w:rsidR="00D6366F" w:rsidRPr="00316837">
        <w:rPr>
          <w:rFonts w:eastAsia="Calibri"/>
          <w:szCs w:val="22"/>
        </w:rPr>
        <w:t xml:space="preserve">plans </w:t>
      </w:r>
      <w:r w:rsidR="001427C5" w:rsidRPr="00316837">
        <w:rPr>
          <w:rFonts w:eastAsia="Calibri"/>
          <w:szCs w:val="22"/>
        </w:rPr>
        <w:t xml:space="preserve">and activities </w:t>
      </w:r>
      <w:r w:rsidR="00D6366F" w:rsidRPr="00316837">
        <w:rPr>
          <w:rFonts w:eastAsia="Calibri"/>
          <w:szCs w:val="22"/>
        </w:rPr>
        <w:t>to interconnect</w:t>
      </w:r>
      <w:r w:rsidR="009F4289" w:rsidRPr="00316837">
        <w:rPr>
          <w:rFonts w:eastAsia="Calibri"/>
          <w:szCs w:val="22"/>
        </w:rPr>
        <w:t xml:space="preserve"> </w:t>
      </w:r>
      <w:r w:rsidR="009F4289" w:rsidRPr="00316837">
        <w:rPr>
          <w:rFonts w:eastAsia="Calibri"/>
          <w:szCs w:val="20"/>
        </w:rPr>
        <w:t xml:space="preserve">(see </w:t>
      </w:r>
      <w:r w:rsidR="009F4289" w:rsidRPr="00316837">
        <w:rPr>
          <w:rFonts w:eastAsia="Calibri"/>
          <w:szCs w:val="20"/>
        </w:rPr>
        <w:fldChar w:fldCharType="begin"/>
      </w:r>
      <w:r w:rsidR="009F4289" w:rsidRPr="00316837">
        <w:rPr>
          <w:rFonts w:eastAsia="Calibri"/>
          <w:szCs w:val="20"/>
        </w:rPr>
        <w:instrText xml:space="preserve"> REF _Ref72235755 \h  \* MERGEFORMAT </w:instrText>
      </w:r>
      <w:r w:rsidR="009F4289" w:rsidRPr="00316837">
        <w:rPr>
          <w:rFonts w:eastAsia="Calibri"/>
          <w:szCs w:val="20"/>
        </w:rPr>
      </w:r>
      <w:r w:rsidR="009F4289" w:rsidRPr="00316837">
        <w:rPr>
          <w:rFonts w:eastAsia="Calibri"/>
          <w:szCs w:val="20"/>
        </w:rPr>
        <w:fldChar w:fldCharType="separate"/>
      </w:r>
      <w:r w:rsidR="00507C15" w:rsidRPr="006273BD">
        <w:rPr>
          <w:rFonts w:eastAsia="Calibri"/>
          <w:bCs/>
          <w:szCs w:val="20"/>
        </w:rPr>
        <w:t>Figure 3</w:t>
      </w:r>
      <w:r w:rsidR="00507C15" w:rsidRPr="006273BD">
        <w:rPr>
          <w:rFonts w:eastAsia="Calibri"/>
          <w:bCs/>
          <w:szCs w:val="20"/>
        </w:rPr>
        <w:noBreakHyphen/>
        <w:t>5</w:t>
      </w:r>
      <w:r w:rsidR="009F4289" w:rsidRPr="00316837">
        <w:rPr>
          <w:rFonts w:eastAsia="Calibri"/>
          <w:szCs w:val="20"/>
        </w:rPr>
        <w:fldChar w:fldCharType="end"/>
      </w:r>
      <w:r w:rsidR="009F4289" w:rsidRPr="00C632F6">
        <w:rPr>
          <w:rFonts w:eastAsia="Calibri"/>
          <w:szCs w:val="20"/>
        </w:rPr>
        <w:t>)</w:t>
      </w:r>
      <w:r w:rsidR="009F4289" w:rsidRPr="00316837">
        <w:rPr>
          <w:rFonts w:eastAsia="Calibri"/>
          <w:szCs w:val="22"/>
        </w:rPr>
        <w:t xml:space="preserve">: </w:t>
      </w:r>
    </w:p>
    <w:p w14:paraId="2AE22D79" w14:textId="77777777" w:rsidR="009F4289" w:rsidRPr="00316837" w:rsidRDefault="00E55408" w:rsidP="00AB7DB1">
      <w:pPr>
        <w:pStyle w:val="ListParagraph"/>
        <w:numPr>
          <w:ilvl w:val="0"/>
          <w:numId w:val="19"/>
        </w:numPr>
        <w:spacing w:before="160" w:after="0" w:line="288" w:lineRule="auto"/>
        <w:rPr>
          <w:rFonts w:ascii="Arial" w:hAnsi="Arial" w:cs="Arial"/>
          <w:sz w:val="20"/>
          <w:szCs w:val="20"/>
          <w:lang w:val="en-GB"/>
        </w:rPr>
      </w:pPr>
      <w:r w:rsidRPr="00316837">
        <w:rPr>
          <w:rFonts w:ascii="Arial" w:hAnsi="Arial" w:cs="Arial"/>
          <w:sz w:val="20"/>
          <w:szCs w:val="20"/>
          <w:lang w:val="en-GB"/>
        </w:rPr>
        <w:t>EAGB of Guinea Bissau and NAWEC of The Gambia to SENELEC of Senegal</w:t>
      </w:r>
      <w:r w:rsidR="009F4289" w:rsidRPr="00316837">
        <w:rPr>
          <w:rFonts w:ascii="Arial" w:hAnsi="Arial" w:cs="Arial"/>
          <w:sz w:val="20"/>
          <w:szCs w:val="20"/>
          <w:lang w:val="en-GB"/>
        </w:rPr>
        <w:t xml:space="preserve"> (OMVG)</w:t>
      </w:r>
      <w:r w:rsidR="00D6366F" w:rsidRPr="00316837">
        <w:rPr>
          <w:rFonts w:ascii="Arial" w:hAnsi="Arial" w:cs="Arial"/>
          <w:sz w:val="20"/>
          <w:szCs w:val="20"/>
          <w:lang w:val="en-GB"/>
        </w:rPr>
        <w:t xml:space="preserve">, </w:t>
      </w:r>
    </w:p>
    <w:p w14:paraId="203B779E" w14:textId="77777777" w:rsidR="009F4289" w:rsidRPr="00316837" w:rsidRDefault="00E55408" w:rsidP="00AB7DB1">
      <w:pPr>
        <w:pStyle w:val="ListParagraph"/>
        <w:numPr>
          <w:ilvl w:val="0"/>
          <w:numId w:val="19"/>
        </w:numPr>
        <w:spacing w:before="160" w:after="0" w:line="288" w:lineRule="auto"/>
        <w:rPr>
          <w:rFonts w:ascii="Arial" w:hAnsi="Arial" w:cs="Arial"/>
          <w:sz w:val="20"/>
          <w:szCs w:val="20"/>
          <w:lang w:val="en-GB"/>
        </w:rPr>
      </w:pPr>
      <w:r w:rsidRPr="00316837">
        <w:rPr>
          <w:rFonts w:ascii="Arial" w:hAnsi="Arial" w:cs="Arial"/>
          <w:sz w:val="20"/>
          <w:szCs w:val="20"/>
          <w:lang w:val="en-GB"/>
        </w:rPr>
        <w:t>NPA of Sierra Leone and LEC of Liberia to EDG of Guinea</w:t>
      </w:r>
      <w:r w:rsidR="00D6366F" w:rsidRPr="00316837">
        <w:rPr>
          <w:rFonts w:ascii="Arial" w:hAnsi="Arial" w:cs="Arial"/>
          <w:sz w:val="20"/>
          <w:szCs w:val="20"/>
          <w:lang w:val="en-GB"/>
        </w:rPr>
        <w:t xml:space="preserve"> </w:t>
      </w:r>
      <w:r w:rsidR="001427C5" w:rsidRPr="00316837">
        <w:rPr>
          <w:rFonts w:ascii="Arial" w:hAnsi="Arial" w:cs="Arial"/>
          <w:sz w:val="20"/>
          <w:szCs w:val="20"/>
          <w:lang w:val="en-GB"/>
        </w:rPr>
        <w:t xml:space="preserve">and then </w:t>
      </w:r>
      <w:r w:rsidR="00D6366F" w:rsidRPr="00316837">
        <w:rPr>
          <w:rFonts w:ascii="Arial" w:hAnsi="Arial" w:cs="Arial"/>
          <w:sz w:val="20"/>
          <w:szCs w:val="20"/>
          <w:lang w:val="en-GB"/>
        </w:rPr>
        <w:t>to SENELEC of Senegal</w:t>
      </w:r>
      <w:r w:rsidR="009F4289" w:rsidRPr="00316837">
        <w:rPr>
          <w:rFonts w:ascii="Arial" w:hAnsi="Arial" w:cs="Arial"/>
          <w:sz w:val="20"/>
          <w:szCs w:val="20"/>
          <w:lang w:val="en-GB"/>
        </w:rPr>
        <w:t xml:space="preserve"> on the one side and to CIE of Cote d’Ivoire on the other one (CLSG), and </w:t>
      </w:r>
    </w:p>
    <w:p w14:paraId="4442F845" w14:textId="7DDCB4E6" w:rsidR="008A7158" w:rsidRPr="00316837" w:rsidRDefault="009F4289" w:rsidP="00AB7DB1">
      <w:pPr>
        <w:pStyle w:val="ListParagraph"/>
        <w:numPr>
          <w:ilvl w:val="0"/>
          <w:numId w:val="19"/>
        </w:numPr>
        <w:spacing w:before="160" w:after="0" w:line="288" w:lineRule="auto"/>
        <w:rPr>
          <w:rFonts w:ascii="Arial" w:hAnsi="Arial" w:cs="Arial"/>
          <w:sz w:val="20"/>
          <w:szCs w:val="20"/>
          <w:lang w:val="en-GB"/>
        </w:rPr>
      </w:pPr>
      <w:r w:rsidRPr="00316837">
        <w:rPr>
          <w:rFonts w:ascii="Arial" w:hAnsi="Arial" w:cs="Arial"/>
          <w:sz w:val="20"/>
          <w:szCs w:val="20"/>
          <w:lang w:val="en-GB"/>
        </w:rPr>
        <w:t>CIE of Cote d’Ivoire to TCN of Nigeria (Coastal Backbone)</w:t>
      </w:r>
      <w:r w:rsidR="0068151A" w:rsidRPr="00316837">
        <w:rPr>
          <w:rFonts w:ascii="Arial" w:hAnsi="Arial" w:cs="Arial"/>
          <w:sz w:val="20"/>
          <w:szCs w:val="20"/>
          <w:lang w:val="en-GB"/>
        </w:rPr>
        <w:t xml:space="preserve">. </w:t>
      </w:r>
    </w:p>
    <w:p w14:paraId="42E5C6E7" w14:textId="67E2A1DF" w:rsidR="009F4289" w:rsidRPr="00C632F6" w:rsidRDefault="009F4289" w:rsidP="006273BD">
      <w:pPr>
        <w:jc w:val="center"/>
        <w:rPr>
          <w:rFonts w:eastAsia="Calibri"/>
          <w:szCs w:val="22"/>
        </w:rPr>
      </w:pPr>
      <w:r w:rsidRPr="006273BD">
        <w:rPr>
          <w:rFonts w:eastAsia="Calibri"/>
          <w:noProof/>
          <w:szCs w:val="22"/>
          <w:lang w:eastAsia="en-GB"/>
        </w:rPr>
        <w:drawing>
          <wp:inline distT="0" distB="0" distL="0" distR="0" wp14:anchorId="61E16E43" wp14:editId="4653FB1B">
            <wp:extent cx="5349627" cy="292122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0393" cy="2943486"/>
                    </a:xfrm>
                    <a:prstGeom prst="rect">
                      <a:avLst/>
                    </a:prstGeom>
                    <a:noFill/>
                    <a:ln>
                      <a:noFill/>
                    </a:ln>
                  </pic:spPr>
                </pic:pic>
              </a:graphicData>
            </a:graphic>
          </wp:inline>
        </w:drawing>
      </w:r>
    </w:p>
    <w:p w14:paraId="3B65CE04" w14:textId="0590E720" w:rsidR="009F4289" w:rsidRPr="00316837" w:rsidRDefault="009F4289" w:rsidP="009F4289">
      <w:pPr>
        <w:rPr>
          <w:rFonts w:eastAsia="Calibri"/>
          <w:bCs/>
          <w:sz w:val="18"/>
          <w:szCs w:val="18"/>
        </w:rPr>
      </w:pPr>
      <w:bookmarkStart w:id="80" w:name="_Ref72235755"/>
      <w:bookmarkStart w:id="81" w:name="_Toc77260267"/>
      <w:r w:rsidRPr="00316837">
        <w:rPr>
          <w:rFonts w:eastAsia="Calibri"/>
          <w:bCs/>
          <w:sz w:val="18"/>
          <w:szCs w:val="18"/>
        </w:rPr>
        <w:t xml:space="preserve">Figure </w:t>
      </w:r>
      <w:r w:rsidRPr="00316837">
        <w:rPr>
          <w:rFonts w:eastAsia="Calibri"/>
          <w:bCs/>
          <w:sz w:val="18"/>
          <w:szCs w:val="18"/>
        </w:rPr>
        <w:fldChar w:fldCharType="begin"/>
      </w:r>
      <w:r w:rsidRPr="00316837">
        <w:rPr>
          <w:rFonts w:eastAsia="Calibri"/>
          <w:bCs/>
          <w:sz w:val="18"/>
          <w:szCs w:val="18"/>
        </w:rPr>
        <w:instrText xml:space="preserve"> STYLEREF 1 \s </w:instrText>
      </w:r>
      <w:r w:rsidRPr="00316837">
        <w:rPr>
          <w:rFonts w:eastAsia="Calibri"/>
          <w:bCs/>
          <w:sz w:val="18"/>
          <w:szCs w:val="18"/>
        </w:rPr>
        <w:fldChar w:fldCharType="separate"/>
      </w:r>
      <w:r w:rsidR="00703397" w:rsidRPr="00316837">
        <w:rPr>
          <w:rFonts w:eastAsia="Calibri"/>
          <w:bCs/>
          <w:sz w:val="18"/>
          <w:szCs w:val="18"/>
        </w:rPr>
        <w:t>3</w:t>
      </w:r>
      <w:r w:rsidRPr="00316837">
        <w:rPr>
          <w:rFonts w:eastAsia="Calibri"/>
          <w:sz w:val="18"/>
          <w:szCs w:val="18"/>
        </w:rPr>
        <w:fldChar w:fldCharType="end"/>
      </w:r>
      <w:r w:rsidRPr="00C632F6">
        <w:rPr>
          <w:rFonts w:eastAsia="Calibri"/>
          <w:bCs/>
          <w:sz w:val="18"/>
          <w:szCs w:val="18"/>
        </w:rPr>
        <w:noBreakHyphen/>
      </w:r>
      <w:r w:rsidRPr="00316837">
        <w:rPr>
          <w:rFonts w:eastAsia="Calibri"/>
          <w:bCs/>
          <w:sz w:val="18"/>
          <w:szCs w:val="18"/>
        </w:rPr>
        <w:fldChar w:fldCharType="begin"/>
      </w:r>
      <w:r w:rsidRPr="00316837">
        <w:rPr>
          <w:rFonts w:eastAsia="Calibri"/>
          <w:bCs/>
          <w:sz w:val="18"/>
          <w:szCs w:val="18"/>
        </w:rPr>
        <w:instrText xml:space="preserve"> SEQ Figure \* ARABIC \s 1 </w:instrText>
      </w:r>
      <w:r w:rsidRPr="00316837">
        <w:rPr>
          <w:rFonts w:eastAsia="Calibri"/>
          <w:bCs/>
          <w:sz w:val="18"/>
          <w:szCs w:val="18"/>
        </w:rPr>
        <w:fldChar w:fldCharType="separate"/>
      </w:r>
      <w:r w:rsidR="00507C15">
        <w:rPr>
          <w:rFonts w:eastAsia="Calibri"/>
          <w:bCs/>
          <w:noProof/>
          <w:sz w:val="18"/>
          <w:szCs w:val="18"/>
        </w:rPr>
        <w:t>5</w:t>
      </w:r>
      <w:r w:rsidRPr="00316837">
        <w:rPr>
          <w:rFonts w:eastAsia="Calibri"/>
          <w:sz w:val="18"/>
          <w:szCs w:val="18"/>
        </w:rPr>
        <w:fldChar w:fldCharType="end"/>
      </w:r>
      <w:bookmarkEnd w:id="80"/>
      <w:r w:rsidRPr="00C632F6">
        <w:rPr>
          <w:rFonts w:eastAsia="Calibri"/>
          <w:bCs/>
          <w:sz w:val="18"/>
          <w:szCs w:val="18"/>
        </w:rPr>
        <w:t>: WAPP plans and activities for interconnection (source: WAPP)</w:t>
      </w:r>
      <w:bookmarkEnd w:id="81"/>
      <w:r w:rsidRPr="00C632F6">
        <w:rPr>
          <w:rFonts w:eastAsia="Calibri"/>
          <w:bCs/>
          <w:sz w:val="18"/>
          <w:szCs w:val="18"/>
        </w:rPr>
        <w:t xml:space="preserve"> </w:t>
      </w:r>
    </w:p>
    <w:p w14:paraId="746049D9" w14:textId="1C39B3D9" w:rsidR="008A7158" w:rsidRPr="00316837" w:rsidRDefault="00E14A88" w:rsidP="0068151A">
      <w:pPr>
        <w:rPr>
          <w:rFonts w:eastAsia="Calibri"/>
          <w:szCs w:val="22"/>
        </w:rPr>
      </w:pPr>
      <w:bookmarkStart w:id="82" w:name="_Hlk76559654"/>
      <w:r w:rsidRPr="00316837">
        <w:rPr>
          <w:rFonts w:eastAsia="Calibri"/>
          <w:szCs w:val="22"/>
        </w:rPr>
        <w:t>Most notable in that direction is</w:t>
      </w:r>
      <w:r w:rsidR="001427C5" w:rsidRPr="00316837">
        <w:rPr>
          <w:rFonts w:eastAsia="Calibri"/>
          <w:szCs w:val="22"/>
        </w:rPr>
        <w:t xml:space="preserve"> the latest Masterplan 2019 – 2033, adopted by the ECOWAS Heads of State and Government in December 2018 through Supplementary Act A/SA.4/12/18, </w:t>
      </w:r>
      <w:r w:rsidRPr="00316837">
        <w:rPr>
          <w:rFonts w:eastAsia="Calibri"/>
          <w:szCs w:val="22"/>
        </w:rPr>
        <w:t xml:space="preserve">which aims at ensuring the synchronisation and stability of the power system in the short-term, improving the integration of variable </w:t>
      </w:r>
      <w:r w:rsidR="00507C15">
        <w:rPr>
          <w:rFonts w:eastAsia="Calibri"/>
          <w:szCs w:val="22"/>
        </w:rPr>
        <w:t>RE</w:t>
      </w:r>
      <w:r w:rsidRPr="00316837">
        <w:rPr>
          <w:rFonts w:eastAsia="Calibri"/>
          <w:szCs w:val="22"/>
        </w:rPr>
        <w:t xml:space="preserve"> </w:t>
      </w:r>
      <w:r w:rsidR="00507C15">
        <w:rPr>
          <w:rFonts w:eastAsia="Calibri"/>
          <w:szCs w:val="22"/>
        </w:rPr>
        <w:t>generation</w:t>
      </w:r>
      <w:r w:rsidRPr="00316837">
        <w:rPr>
          <w:rFonts w:eastAsia="Calibri"/>
          <w:szCs w:val="22"/>
        </w:rPr>
        <w:t xml:space="preserve"> in the medium-term, and complying with the (</w:t>
      </w:r>
      <w:r w:rsidR="00B6101C" w:rsidRPr="00316837">
        <w:rPr>
          <w:rFonts w:eastAsia="Calibri"/>
          <w:szCs w:val="22"/>
        </w:rPr>
        <w:t>N</w:t>
      </w:r>
      <w:r w:rsidRPr="00316837">
        <w:rPr>
          <w:rFonts w:eastAsia="Calibri"/>
          <w:szCs w:val="22"/>
        </w:rPr>
        <w:t xml:space="preserve">-1) security criterion in the long-term. </w:t>
      </w:r>
      <w:bookmarkEnd w:id="82"/>
      <w:r w:rsidR="00DC4CE4" w:rsidRPr="00316837">
        <w:rPr>
          <w:rFonts w:eastAsia="Calibri"/>
          <w:szCs w:val="20"/>
        </w:rPr>
        <w:t>The Masterplan</w:t>
      </w:r>
      <w:r w:rsidRPr="00316837">
        <w:rPr>
          <w:rFonts w:eastAsia="Calibri"/>
          <w:szCs w:val="20"/>
        </w:rPr>
        <w:t xml:space="preserve"> </w:t>
      </w:r>
      <w:r w:rsidR="001427C5" w:rsidRPr="00316837">
        <w:rPr>
          <w:rFonts w:eastAsia="Calibri"/>
          <w:szCs w:val="20"/>
        </w:rPr>
        <w:t xml:space="preserve">contains the priority list of transmission line projects </w:t>
      </w:r>
      <w:r w:rsidRPr="00316837">
        <w:rPr>
          <w:rFonts w:eastAsia="Calibri"/>
          <w:szCs w:val="20"/>
        </w:rPr>
        <w:t xml:space="preserve">(see </w:t>
      </w:r>
      <w:r w:rsidRPr="00316837">
        <w:rPr>
          <w:rFonts w:eastAsia="Calibri"/>
          <w:szCs w:val="20"/>
        </w:rPr>
        <w:fldChar w:fldCharType="begin"/>
      </w:r>
      <w:r w:rsidRPr="00316837">
        <w:rPr>
          <w:rFonts w:eastAsia="Calibri"/>
          <w:szCs w:val="20"/>
        </w:rPr>
        <w:instrText xml:space="preserve"> REF _Ref72232293 \h  \* MERGEFORMAT </w:instrText>
      </w:r>
      <w:r w:rsidRPr="00316837">
        <w:rPr>
          <w:rFonts w:eastAsia="Calibri"/>
          <w:szCs w:val="20"/>
        </w:rPr>
      </w:r>
      <w:r w:rsidRPr="00316837">
        <w:rPr>
          <w:rFonts w:eastAsia="Calibri"/>
          <w:szCs w:val="20"/>
        </w:rPr>
        <w:fldChar w:fldCharType="separate"/>
      </w:r>
      <w:r w:rsidR="00507C15" w:rsidRPr="006273BD">
        <w:rPr>
          <w:rFonts w:eastAsia="Calibri"/>
          <w:bCs/>
          <w:szCs w:val="20"/>
        </w:rPr>
        <w:t>Figure 3</w:t>
      </w:r>
      <w:r w:rsidR="00507C15" w:rsidRPr="006273BD">
        <w:rPr>
          <w:rFonts w:eastAsia="Calibri"/>
          <w:bCs/>
          <w:szCs w:val="20"/>
        </w:rPr>
        <w:noBreakHyphen/>
        <w:t>6</w:t>
      </w:r>
      <w:r w:rsidRPr="00316837">
        <w:rPr>
          <w:rFonts w:eastAsia="Calibri"/>
          <w:szCs w:val="20"/>
        </w:rPr>
        <w:fldChar w:fldCharType="end"/>
      </w:r>
      <w:r w:rsidRPr="00C632F6">
        <w:rPr>
          <w:rFonts w:eastAsia="Calibri"/>
          <w:szCs w:val="20"/>
        </w:rPr>
        <w:t xml:space="preserve">) </w:t>
      </w:r>
      <w:r w:rsidR="001427C5" w:rsidRPr="00316837">
        <w:rPr>
          <w:rFonts w:eastAsia="Calibri"/>
          <w:szCs w:val="20"/>
        </w:rPr>
        <w:t>that shall enable WAPP to interconnect</w:t>
      </w:r>
      <w:r w:rsidR="001427C5" w:rsidRPr="00316837">
        <w:rPr>
          <w:rFonts w:eastAsia="Calibri"/>
          <w:szCs w:val="22"/>
        </w:rPr>
        <w:t xml:space="preserve"> </w:t>
      </w:r>
      <w:r w:rsidR="001427C5" w:rsidRPr="00316837">
        <w:rPr>
          <w:rFonts w:eastAsia="Calibri"/>
          <w:szCs w:val="22"/>
        </w:rPr>
        <w:lastRenderedPageBreak/>
        <w:t>not only within 14 mainland ECOWAS Member States</w:t>
      </w:r>
      <w:r w:rsidRPr="00316837">
        <w:rPr>
          <w:rFonts w:eastAsia="Calibri"/>
          <w:szCs w:val="22"/>
        </w:rPr>
        <w:t xml:space="preserve"> (internally)</w:t>
      </w:r>
      <w:r w:rsidR="001427C5" w:rsidRPr="00316837">
        <w:rPr>
          <w:rFonts w:eastAsia="Calibri"/>
          <w:szCs w:val="22"/>
        </w:rPr>
        <w:t>, but also beyond its current area of coverage</w:t>
      </w:r>
      <w:r w:rsidRPr="00316837">
        <w:rPr>
          <w:rFonts w:eastAsia="Calibri"/>
          <w:szCs w:val="22"/>
        </w:rPr>
        <w:t xml:space="preserve"> (externally):</w:t>
      </w:r>
      <w:r w:rsidR="001427C5" w:rsidRPr="00316837">
        <w:rPr>
          <w:rFonts w:eastAsia="Calibri"/>
          <w:szCs w:val="22"/>
        </w:rPr>
        <w:t xml:space="preserve"> </w:t>
      </w:r>
    </w:p>
    <w:p w14:paraId="00B50810" w14:textId="3D339578" w:rsidR="008A7158" w:rsidRPr="00316837" w:rsidRDefault="008A7158" w:rsidP="00AB7DB1">
      <w:pPr>
        <w:pStyle w:val="ListParagraph"/>
        <w:numPr>
          <w:ilvl w:val="0"/>
          <w:numId w:val="47"/>
        </w:numPr>
        <w:spacing w:before="160" w:after="0" w:line="288" w:lineRule="auto"/>
        <w:rPr>
          <w:rFonts w:ascii="Arial" w:hAnsi="Arial" w:cs="Arial"/>
          <w:sz w:val="20"/>
          <w:szCs w:val="20"/>
          <w:lang w:val="en-GB"/>
        </w:rPr>
      </w:pPr>
      <w:r w:rsidRPr="00316837">
        <w:rPr>
          <w:rFonts w:ascii="Arial" w:hAnsi="Arial" w:cs="Arial"/>
          <w:sz w:val="20"/>
          <w:szCs w:val="20"/>
          <w:lang w:val="en-GB"/>
        </w:rPr>
        <w:t>Internally, WAPP implements the major 330 kV transmission backbone projects in the Western Africa Region to help alleviate operational challenges within the electricity networks of WAPP members. These challenges are linked with the inefficient operations which are a weakness at both technical and commercial level (due to large frequency deviations, significant technical and non-technical losses, low collection rates, etc.)</w:t>
      </w:r>
      <w:r w:rsidR="00E14A88" w:rsidRPr="00316837">
        <w:rPr>
          <w:rFonts w:ascii="Arial" w:hAnsi="Arial" w:cs="Arial"/>
          <w:sz w:val="20"/>
          <w:szCs w:val="20"/>
          <w:lang w:val="en-GB"/>
        </w:rPr>
        <w:t>; and</w:t>
      </w:r>
      <w:r w:rsidRPr="00316837">
        <w:rPr>
          <w:rFonts w:ascii="Arial" w:hAnsi="Arial" w:cs="Arial"/>
          <w:sz w:val="20"/>
          <w:szCs w:val="20"/>
          <w:lang w:val="en-GB"/>
        </w:rPr>
        <w:t xml:space="preserve"> </w:t>
      </w:r>
    </w:p>
    <w:p w14:paraId="30A3C35D" w14:textId="44A1808B" w:rsidR="008A7158" w:rsidRPr="00316837" w:rsidRDefault="008A7158" w:rsidP="00AB7DB1">
      <w:pPr>
        <w:pStyle w:val="ListParagraph"/>
        <w:numPr>
          <w:ilvl w:val="0"/>
          <w:numId w:val="4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Externally, WAPP plans to extend its links to the Northern Africa through Morocco and the Central Africa (CAPP) to Inga Dam, which would result in further economic diversification of its current energy mix (31.1% of thermal projects operating mainly with natural gas, and 68.9% of renewable energy projects of which 29.5% involve variable renewable energy). </w:t>
      </w:r>
    </w:p>
    <w:p w14:paraId="2BF05304" w14:textId="4337A43B" w:rsidR="00E14A88" w:rsidRPr="00C632F6" w:rsidRDefault="00E14A88" w:rsidP="008A7158">
      <w:pPr>
        <w:rPr>
          <w:rFonts w:eastAsia="Calibri"/>
          <w:szCs w:val="22"/>
        </w:rPr>
      </w:pPr>
      <w:r w:rsidRPr="006273BD">
        <w:rPr>
          <w:rFonts w:eastAsia="Calibri"/>
          <w:noProof/>
          <w:szCs w:val="22"/>
          <w:lang w:eastAsia="en-GB"/>
        </w:rPr>
        <w:drawing>
          <wp:inline distT="0" distB="0" distL="0" distR="0" wp14:anchorId="670683B3" wp14:editId="27292F23">
            <wp:extent cx="6086475" cy="37223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8495" cy="3778614"/>
                    </a:xfrm>
                    <a:prstGeom prst="rect">
                      <a:avLst/>
                    </a:prstGeom>
                    <a:noFill/>
                    <a:ln>
                      <a:noFill/>
                    </a:ln>
                  </pic:spPr>
                </pic:pic>
              </a:graphicData>
            </a:graphic>
          </wp:inline>
        </w:drawing>
      </w:r>
    </w:p>
    <w:p w14:paraId="66620516" w14:textId="56CF7B43" w:rsidR="00E14A88" w:rsidRPr="00316837" w:rsidRDefault="00E14A88" w:rsidP="00E14A88">
      <w:pPr>
        <w:rPr>
          <w:rFonts w:eastAsia="Calibri"/>
          <w:bCs/>
          <w:sz w:val="18"/>
          <w:szCs w:val="18"/>
        </w:rPr>
      </w:pPr>
      <w:bookmarkStart w:id="83" w:name="_Ref72232293"/>
      <w:bookmarkStart w:id="84" w:name="_Toc77260268"/>
      <w:r w:rsidRPr="00316837">
        <w:rPr>
          <w:rFonts w:eastAsia="Calibri"/>
          <w:bCs/>
          <w:sz w:val="18"/>
          <w:szCs w:val="18"/>
        </w:rPr>
        <w:t xml:space="preserve">Figure </w:t>
      </w:r>
      <w:r w:rsidRPr="00316837">
        <w:rPr>
          <w:rFonts w:eastAsia="Calibri"/>
          <w:bCs/>
          <w:sz w:val="18"/>
          <w:szCs w:val="18"/>
        </w:rPr>
        <w:fldChar w:fldCharType="begin"/>
      </w:r>
      <w:r w:rsidRPr="00316837">
        <w:rPr>
          <w:rFonts w:eastAsia="Calibri"/>
          <w:bCs/>
          <w:sz w:val="18"/>
          <w:szCs w:val="18"/>
        </w:rPr>
        <w:instrText xml:space="preserve"> STYLEREF 1 \s </w:instrText>
      </w:r>
      <w:r w:rsidRPr="00316837">
        <w:rPr>
          <w:rFonts w:eastAsia="Calibri"/>
          <w:bCs/>
          <w:sz w:val="18"/>
          <w:szCs w:val="18"/>
        </w:rPr>
        <w:fldChar w:fldCharType="separate"/>
      </w:r>
      <w:r w:rsidR="00703397" w:rsidRPr="00316837">
        <w:rPr>
          <w:rFonts w:eastAsia="Calibri"/>
          <w:bCs/>
          <w:sz w:val="18"/>
          <w:szCs w:val="18"/>
        </w:rPr>
        <w:t>3</w:t>
      </w:r>
      <w:r w:rsidRPr="00316837">
        <w:rPr>
          <w:rFonts w:eastAsia="Calibri"/>
          <w:sz w:val="18"/>
          <w:szCs w:val="18"/>
        </w:rPr>
        <w:fldChar w:fldCharType="end"/>
      </w:r>
      <w:r w:rsidRPr="00C632F6">
        <w:rPr>
          <w:rFonts w:eastAsia="Calibri"/>
          <w:bCs/>
          <w:sz w:val="18"/>
          <w:szCs w:val="18"/>
        </w:rPr>
        <w:noBreakHyphen/>
      </w:r>
      <w:r w:rsidRPr="00316837">
        <w:rPr>
          <w:rFonts w:eastAsia="Calibri"/>
          <w:bCs/>
          <w:sz w:val="18"/>
          <w:szCs w:val="18"/>
        </w:rPr>
        <w:fldChar w:fldCharType="begin"/>
      </w:r>
      <w:r w:rsidRPr="00316837">
        <w:rPr>
          <w:rFonts w:eastAsia="Calibri"/>
          <w:bCs/>
          <w:sz w:val="18"/>
          <w:szCs w:val="18"/>
        </w:rPr>
        <w:instrText xml:space="preserve"> SEQ Figure \* ARABIC \s 1 </w:instrText>
      </w:r>
      <w:r w:rsidRPr="00316837">
        <w:rPr>
          <w:rFonts w:eastAsia="Calibri"/>
          <w:bCs/>
          <w:sz w:val="18"/>
          <w:szCs w:val="18"/>
        </w:rPr>
        <w:fldChar w:fldCharType="separate"/>
      </w:r>
      <w:r w:rsidR="00507C15">
        <w:rPr>
          <w:rFonts w:eastAsia="Calibri"/>
          <w:bCs/>
          <w:noProof/>
          <w:sz w:val="18"/>
          <w:szCs w:val="18"/>
        </w:rPr>
        <w:t>6</w:t>
      </w:r>
      <w:r w:rsidRPr="00316837">
        <w:rPr>
          <w:rFonts w:eastAsia="Calibri"/>
          <w:sz w:val="18"/>
          <w:szCs w:val="18"/>
        </w:rPr>
        <w:fldChar w:fldCharType="end"/>
      </w:r>
      <w:bookmarkEnd w:id="83"/>
      <w:r w:rsidRPr="00C632F6">
        <w:rPr>
          <w:rFonts w:eastAsia="Calibri"/>
          <w:bCs/>
          <w:sz w:val="18"/>
          <w:szCs w:val="18"/>
        </w:rPr>
        <w:t xml:space="preserve">: WAPP high voltage transmission networks and prospective interconnection projects </w:t>
      </w:r>
      <w:r w:rsidR="009D06A1" w:rsidRPr="00316837">
        <w:rPr>
          <w:rFonts w:eastAsia="Calibri"/>
          <w:bCs/>
          <w:sz w:val="18"/>
          <w:szCs w:val="18"/>
        </w:rPr>
        <w:t>(source: WAPP)</w:t>
      </w:r>
      <w:bookmarkEnd w:id="84"/>
      <w:r w:rsidR="009D06A1" w:rsidRPr="00316837">
        <w:rPr>
          <w:rFonts w:eastAsia="Calibri"/>
          <w:bCs/>
          <w:sz w:val="18"/>
          <w:szCs w:val="18"/>
        </w:rPr>
        <w:t xml:space="preserve"> </w:t>
      </w:r>
    </w:p>
    <w:p w14:paraId="367A7D1A" w14:textId="6E1A5B0E" w:rsidR="00DC4CE4" w:rsidRPr="00316837" w:rsidRDefault="00DC4CE4" w:rsidP="00DC4CE4">
      <w:pPr>
        <w:rPr>
          <w:rFonts w:eastAsia="Calibri"/>
          <w:szCs w:val="22"/>
        </w:rPr>
      </w:pPr>
      <w:bookmarkStart w:id="85" w:name="_Hlk76559706"/>
      <w:r w:rsidRPr="00316837">
        <w:rPr>
          <w:rFonts w:eastAsia="Calibri"/>
          <w:szCs w:val="22"/>
        </w:rPr>
        <w:t>The synchronisation project,</w:t>
      </w:r>
      <w:r w:rsidRPr="00316837">
        <w:t xml:space="preserve"> </w:t>
      </w:r>
      <w:r w:rsidRPr="00316837">
        <w:rPr>
          <w:rFonts w:eastAsia="Calibri"/>
          <w:szCs w:val="22"/>
        </w:rPr>
        <w:t xml:space="preserve">i.e. integration of the above noted three main separated unsynchronised areas and the remaining five not-interconnected (isolated) systems into a single synchronous zone covering the 14 mainland ECOWAS Member States, is ongoing. Being funded by the World Bank’s grant of US$ 21.5 million, the synchronisation project has two subcomponents: </w:t>
      </w:r>
    </w:p>
    <w:p w14:paraId="0D21DA2E" w14:textId="1B6BD8FE" w:rsidR="00DC4CE4" w:rsidRPr="00316837" w:rsidRDefault="00DC4CE4" w:rsidP="00AB7DB1">
      <w:pPr>
        <w:pStyle w:val="ListParagraph"/>
        <w:numPr>
          <w:ilvl w:val="0"/>
          <w:numId w:val="2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Technical assistance and logistical support at the WAPP General Secretariat (ongoing); and </w:t>
      </w:r>
    </w:p>
    <w:p w14:paraId="13705394" w14:textId="1CB024A7" w:rsidR="00DC4CE4" w:rsidRPr="00316837" w:rsidRDefault="00DC4CE4" w:rsidP="00AB7DB1">
      <w:pPr>
        <w:pStyle w:val="ListParagraph"/>
        <w:numPr>
          <w:ilvl w:val="0"/>
          <w:numId w:val="2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Integration and Synchronisation of the System in two phases </w:t>
      </w:r>
    </w:p>
    <w:p w14:paraId="2C7AE140" w14:textId="6C9377CC" w:rsidR="00DC4CE4" w:rsidRPr="00316837" w:rsidRDefault="00DC4CE4" w:rsidP="00AB7DB1">
      <w:pPr>
        <w:pStyle w:val="ListParagraph"/>
        <w:numPr>
          <w:ilvl w:val="1"/>
          <w:numId w:val="2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Phase 1 – Study of the Synchronisation (executed), and </w:t>
      </w:r>
    </w:p>
    <w:p w14:paraId="7067C105" w14:textId="25EF33C6" w:rsidR="00DC4CE4" w:rsidRPr="00316837" w:rsidRDefault="00DC4CE4" w:rsidP="00AB7DB1">
      <w:pPr>
        <w:pStyle w:val="ListParagraph"/>
        <w:numPr>
          <w:ilvl w:val="1"/>
          <w:numId w:val="2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Phase 2 – Acquisition and installation of equipment required for synchronisation (ongoing) </w:t>
      </w:r>
    </w:p>
    <w:p w14:paraId="64A1F17E" w14:textId="511C3C8F" w:rsidR="009F4289" w:rsidRPr="00316837" w:rsidRDefault="009F4289" w:rsidP="00AB7DB1">
      <w:pPr>
        <w:pStyle w:val="ListParagraph"/>
        <w:numPr>
          <w:ilvl w:val="2"/>
          <w:numId w:val="24"/>
        </w:numPr>
        <w:spacing w:before="160" w:after="0" w:line="288" w:lineRule="auto"/>
        <w:rPr>
          <w:rFonts w:ascii="Arial" w:hAnsi="Arial" w:cs="Arial"/>
          <w:sz w:val="20"/>
          <w:szCs w:val="20"/>
          <w:lang w:val="en-GB"/>
        </w:rPr>
      </w:pPr>
      <w:r w:rsidRPr="00316837">
        <w:rPr>
          <w:rFonts w:ascii="Arial" w:hAnsi="Arial" w:cs="Arial"/>
          <w:sz w:val="20"/>
          <w:szCs w:val="20"/>
          <w:lang w:val="en-GB"/>
        </w:rPr>
        <w:t>Voltage control - Installation of S</w:t>
      </w:r>
      <w:r w:rsidR="00B6101C" w:rsidRPr="00316837">
        <w:rPr>
          <w:rFonts w:ascii="Arial" w:hAnsi="Arial" w:cs="Arial"/>
          <w:sz w:val="20"/>
          <w:szCs w:val="20"/>
          <w:lang w:val="en-GB"/>
        </w:rPr>
        <w:t xml:space="preserve">tatic </w:t>
      </w:r>
      <w:r w:rsidRPr="00316837">
        <w:rPr>
          <w:rFonts w:ascii="Arial" w:hAnsi="Arial" w:cs="Arial"/>
          <w:sz w:val="20"/>
          <w:szCs w:val="20"/>
          <w:lang w:val="en-GB"/>
        </w:rPr>
        <w:t>V</w:t>
      </w:r>
      <w:r w:rsidR="00B6101C" w:rsidRPr="00316837">
        <w:rPr>
          <w:rFonts w:ascii="Arial" w:hAnsi="Arial" w:cs="Arial"/>
          <w:sz w:val="20"/>
          <w:szCs w:val="20"/>
          <w:lang w:val="en-GB"/>
        </w:rPr>
        <w:t xml:space="preserve">ar </w:t>
      </w:r>
      <w:r w:rsidRPr="00316837">
        <w:rPr>
          <w:rFonts w:ascii="Arial" w:hAnsi="Arial" w:cs="Arial"/>
          <w:sz w:val="20"/>
          <w:szCs w:val="20"/>
          <w:lang w:val="en-GB"/>
        </w:rPr>
        <w:t>C</w:t>
      </w:r>
      <w:r w:rsidR="00B6101C" w:rsidRPr="00316837">
        <w:rPr>
          <w:rFonts w:ascii="Arial" w:hAnsi="Arial" w:cs="Arial"/>
          <w:sz w:val="20"/>
          <w:szCs w:val="20"/>
          <w:lang w:val="en-GB"/>
        </w:rPr>
        <w:t>ompensator</w:t>
      </w:r>
      <w:r w:rsidRPr="00316837">
        <w:rPr>
          <w:rFonts w:ascii="Arial" w:hAnsi="Arial" w:cs="Arial"/>
          <w:sz w:val="20"/>
          <w:szCs w:val="20"/>
          <w:lang w:val="en-GB"/>
        </w:rPr>
        <w:t xml:space="preserve"> in Matam, </w:t>
      </w:r>
    </w:p>
    <w:p w14:paraId="14B09CD2" w14:textId="18756303" w:rsidR="009F4289" w:rsidRPr="00316837" w:rsidRDefault="009F4289" w:rsidP="00AB7DB1">
      <w:pPr>
        <w:pStyle w:val="ListParagraph"/>
        <w:numPr>
          <w:ilvl w:val="2"/>
          <w:numId w:val="2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Network safety and security - Installation of PMUs at each end of the interconnection lines to integrate to WAMS and installation of decoupling relays, </w:t>
      </w:r>
    </w:p>
    <w:p w14:paraId="6A643A56" w14:textId="24DA6311" w:rsidR="009F4289" w:rsidRPr="00316837" w:rsidRDefault="009F4289" w:rsidP="00AB7DB1">
      <w:pPr>
        <w:pStyle w:val="ListParagraph"/>
        <w:numPr>
          <w:ilvl w:val="2"/>
          <w:numId w:val="2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Frequency control - Upgrading work on groups to participate in frequency tuning. </w:t>
      </w:r>
    </w:p>
    <w:p w14:paraId="12516B76" w14:textId="35F1E1E8" w:rsidR="00C3322D" w:rsidRPr="00316837" w:rsidRDefault="00C3322D" w:rsidP="00DC4CE4">
      <w:pPr>
        <w:rPr>
          <w:rFonts w:eastAsia="Calibri"/>
          <w:szCs w:val="22"/>
        </w:rPr>
      </w:pPr>
      <w:r w:rsidRPr="00316837">
        <w:rPr>
          <w:rFonts w:eastAsia="Calibri"/>
          <w:szCs w:val="22"/>
        </w:rPr>
        <w:lastRenderedPageBreak/>
        <w:t xml:space="preserve">Three working groups have been established in that direction, namely for: 1) frequency adjustment, 2) protection coordination, and 3) network reliability assessment. These advise on the implementation of the system services market, i.e. the establishment of primary, secondary and tertiary reserves, the maintenance of the system voltage plan, and the provision of mutual support in emergencies (black-start capability). A tentative objective for the synchronisation is set at 2021-2022. </w:t>
      </w:r>
    </w:p>
    <w:p w14:paraId="67C2DD52" w14:textId="719AE65B" w:rsidR="008A7158" w:rsidRPr="00316837" w:rsidRDefault="008A7158" w:rsidP="008A7158">
      <w:pPr>
        <w:rPr>
          <w:rFonts w:eastAsia="Calibri"/>
          <w:szCs w:val="22"/>
        </w:rPr>
      </w:pPr>
      <w:r w:rsidRPr="00316837">
        <w:rPr>
          <w:rFonts w:eastAsia="Calibri"/>
          <w:szCs w:val="22"/>
        </w:rPr>
        <w:t>The Information and Coordination Centre, which is currently a Department under the General Secretariat of WAPP</w:t>
      </w:r>
      <w:r w:rsidR="004E1A6F" w:rsidRPr="00316837">
        <w:rPr>
          <w:rFonts w:eastAsia="Calibri"/>
          <w:szCs w:val="22"/>
        </w:rPr>
        <w:t xml:space="preserve"> and soon-to-be the </w:t>
      </w:r>
      <w:r w:rsidR="00533C25" w:rsidRPr="00316837">
        <w:rPr>
          <w:rFonts w:eastAsia="Calibri"/>
          <w:szCs w:val="22"/>
        </w:rPr>
        <w:t>RSMO</w:t>
      </w:r>
      <w:r w:rsidRPr="00316837">
        <w:rPr>
          <w:rFonts w:eastAsia="Calibri"/>
          <w:szCs w:val="22"/>
        </w:rPr>
        <w:t xml:space="preserve">, works </w:t>
      </w:r>
      <w:r w:rsidR="00DC4CE4" w:rsidRPr="00316837">
        <w:rPr>
          <w:rFonts w:eastAsia="Calibri"/>
          <w:szCs w:val="22"/>
        </w:rPr>
        <w:t xml:space="preserve">intensively </w:t>
      </w:r>
      <w:r w:rsidRPr="00316837">
        <w:rPr>
          <w:rFonts w:eastAsia="Calibri"/>
          <w:szCs w:val="22"/>
        </w:rPr>
        <w:t xml:space="preserve">on </w:t>
      </w:r>
      <w:r w:rsidR="00C3322D" w:rsidRPr="00316837">
        <w:rPr>
          <w:rFonts w:eastAsia="Calibri"/>
          <w:szCs w:val="22"/>
        </w:rPr>
        <w:t xml:space="preserve">both subcomponents of </w:t>
      </w:r>
      <w:r w:rsidRPr="00316837">
        <w:rPr>
          <w:rFonts w:eastAsia="Calibri"/>
          <w:szCs w:val="22"/>
        </w:rPr>
        <w:t xml:space="preserve">the </w:t>
      </w:r>
      <w:r w:rsidR="00DC4CE4" w:rsidRPr="00316837">
        <w:rPr>
          <w:rFonts w:eastAsia="Calibri"/>
          <w:szCs w:val="22"/>
        </w:rPr>
        <w:t xml:space="preserve">synchronisation project </w:t>
      </w:r>
      <w:r w:rsidRPr="00316837">
        <w:rPr>
          <w:rFonts w:eastAsia="Calibri"/>
          <w:szCs w:val="22"/>
        </w:rPr>
        <w:t xml:space="preserve">as one </w:t>
      </w:r>
      <w:r w:rsidR="00DC4CE4" w:rsidRPr="00316837">
        <w:rPr>
          <w:rFonts w:eastAsia="Calibri"/>
          <w:szCs w:val="22"/>
        </w:rPr>
        <w:t>the WAPP’s</w:t>
      </w:r>
      <w:r w:rsidRPr="00316837">
        <w:rPr>
          <w:rFonts w:eastAsia="Calibri"/>
          <w:szCs w:val="22"/>
        </w:rPr>
        <w:t xml:space="preserve"> priority projects. Such work is based on the Centre’s </w:t>
      </w:r>
      <w:r w:rsidR="004E1A6F" w:rsidRPr="00316837">
        <w:rPr>
          <w:rFonts w:eastAsia="Calibri"/>
          <w:szCs w:val="22"/>
        </w:rPr>
        <w:t xml:space="preserve">tasks to: </w:t>
      </w:r>
    </w:p>
    <w:p w14:paraId="39B18DBF" w14:textId="77777777" w:rsidR="008A7158" w:rsidRPr="00316837" w:rsidRDefault="008A7158" w:rsidP="00AB7DB1">
      <w:pPr>
        <w:pStyle w:val="ListParagraph"/>
        <w:numPr>
          <w:ilvl w:val="0"/>
          <w:numId w:val="23"/>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collect, analyse and disseminate information portraying overview of WAPP’s state and evolution, </w:t>
      </w:r>
    </w:p>
    <w:p w14:paraId="6B97B4FF" w14:textId="77777777" w:rsidR="008A7158" w:rsidRPr="00316837" w:rsidRDefault="008A7158" w:rsidP="00AB7DB1">
      <w:pPr>
        <w:pStyle w:val="ListParagraph"/>
        <w:numPr>
          <w:ilvl w:val="0"/>
          <w:numId w:val="23"/>
        </w:numPr>
        <w:spacing w:before="160" w:after="0" w:line="288" w:lineRule="auto"/>
        <w:ind w:left="714" w:hanging="357"/>
        <w:rPr>
          <w:rFonts w:ascii="Arial" w:hAnsi="Arial" w:cs="Arial"/>
          <w:sz w:val="20"/>
          <w:szCs w:val="20"/>
          <w:lang w:val="en-GB"/>
        </w:rPr>
      </w:pPr>
      <w:r w:rsidRPr="00316837">
        <w:rPr>
          <w:rFonts w:ascii="Arial" w:hAnsi="Arial" w:cs="Arial"/>
          <w:sz w:val="20"/>
          <w:szCs w:val="20"/>
          <w:lang w:val="en-GB"/>
        </w:rPr>
        <w:t xml:space="preserve">monitor the evolution of the electricity situation in ECOWAS Member States with special focus on the national power systems faced with emergency situations (in order to forewarn the risks of performance deficiencies and to provide them with corrective measures), </w:t>
      </w:r>
    </w:p>
    <w:p w14:paraId="360787F5" w14:textId="77777777" w:rsidR="008A7158" w:rsidRPr="00316837" w:rsidRDefault="008A7158" w:rsidP="00AB7DB1">
      <w:pPr>
        <w:pStyle w:val="ListParagraph"/>
        <w:numPr>
          <w:ilvl w:val="0"/>
          <w:numId w:val="23"/>
        </w:numPr>
        <w:spacing w:before="160" w:after="0" w:line="288" w:lineRule="auto"/>
        <w:ind w:left="714" w:hanging="357"/>
        <w:rPr>
          <w:rFonts w:ascii="Arial" w:hAnsi="Arial" w:cs="Arial"/>
          <w:sz w:val="20"/>
          <w:szCs w:val="20"/>
          <w:lang w:val="en-GB"/>
        </w:rPr>
      </w:pPr>
      <w:r w:rsidRPr="00316837">
        <w:rPr>
          <w:rFonts w:ascii="Arial" w:hAnsi="Arial" w:cs="Arial"/>
          <w:sz w:val="20"/>
          <w:szCs w:val="20"/>
          <w:lang w:val="en-GB"/>
        </w:rPr>
        <w:t xml:space="preserve">analyse periodically the economic and technical potentials and feasibility of electricity trading arrangements among its members, </w:t>
      </w:r>
    </w:p>
    <w:p w14:paraId="59F79C71" w14:textId="77777777" w:rsidR="008A7158" w:rsidRPr="00316837" w:rsidRDefault="008A7158" w:rsidP="00AB7DB1">
      <w:pPr>
        <w:pStyle w:val="ListParagraph"/>
        <w:numPr>
          <w:ilvl w:val="0"/>
          <w:numId w:val="23"/>
        </w:numPr>
        <w:spacing w:before="160" w:after="0" w:line="288" w:lineRule="auto"/>
        <w:ind w:left="714" w:hanging="357"/>
        <w:rPr>
          <w:rFonts w:ascii="Arial" w:hAnsi="Arial" w:cs="Arial"/>
          <w:sz w:val="20"/>
          <w:szCs w:val="20"/>
          <w:lang w:val="en-GB"/>
        </w:rPr>
      </w:pPr>
      <w:r w:rsidRPr="00316837">
        <w:rPr>
          <w:rFonts w:ascii="Arial" w:hAnsi="Arial" w:cs="Arial"/>
          <w:sz w:val="20"/>
          <w:szCs w:val="20"/>
          <w:lang w:val="en-GB"/>
        </w:rPr>
        <w:t xml:space="preserve">facilitate the development of technical norms and standards for the efficient operation of the national and interconnected electricity networks, </w:t>
      </w:r>
    </w:p>
    <w:p w14:paraId="0B397E1C" w14:textId="77777777" w:rsidR="008A7158" w:rsidRPr="00316837" w:rsidRDefault="008A7158" w:rsidP="00AB7DB1">
      <w:pPr>
        <w:pStyle w:val="ListParagraph"/>
        <w:numPr>
          <w:ilvl w:val="0"/>
          <w:numId w:val="23"/>
        </w:numPr>
        <w:spacing w:before="160" w:after="0" w:line="288" w:lineRule="auto"/>
        <w:ind w:left="714" w:hanging="357"/>
        <w:rPr>
          <w:rFonts w:ascii="Arial" w:hAnsi="Arial" w:cs="Arial"/>
          <w:sz w:val="20"/>
          <w:szCs w:val="20"/>
          <w:lang w:val="en-GB"/>
        </w:rPr>
      </w:pPr>
      <w:r w:rsidRPr="00316837">
        <w:rPr>
          <w:rFonts w:ascii="Arial" w:hAnsi="Arial" w:cs="Arial"/>
          <w:sz w:val="20"/>
          <w:szCs w:val="20"/>
          <w:lang w:val="en-GB"/>
        </w:rPr>
        <w:t xml:space="preserve">provide support for monitoring of technical performances of the electricity utilities, and </w:t>
      </w:r>
    </w:p>
    <w:p w14:paraId="37A7B098" w14:textId="0593F234" w:rsidR="008A7158" w:rsidRPr="00316837" w:rsidRDefault="008A7158" w:rsidP="00AB7DB1">
      <w:pPr>
        <w:pStyle w:val="ListParagraph"/>
        <w:numPr>
          <w:ilvl w:val="0"/>
          <w:numId w:val="23"/>
        </w:numPr>
        <w:spacing w:before="160" w:after="0" w:line="288" w:lineRule="auto"/>
        <w:ind w:left="714" w:hanging="357"/>
        <w:rPr>
          <w:rFonts w:ascii="Arial" w:hAnsi="Arial" w:cs="Arial"/>
          <w:sz w:val="20"/>
          <w:szCs w:val="20"/>
          <w:lang w:val="en-GB"/>
        </w:rPr>
      </w:pPr>
      <w:r w:rsidRPr="00316837">
        <w:rPr>
          <w:rFonts w:ascii="Arial" w:hAnsi="Arial" w:cs="Arial"/>
          <w:sz w:val="20"/>
          <w:szCs w:val="20"/>
          <w:lang w:val="en-GB"/>
        </w:rPr>
        <w:t>organise periodic meetings of the Engineering and Operations Committee and the Distribution and Commerciali</w:t>
      </w:r>
      <w:r w:rsidR="00533C25" w:rsidRPr="00316837">
        <w:rPr>
          <w:rFonts w:ascii="Arial" w:hAnsi="Arial" w:cs="Arial"/>
          <w:sz w:val="20"/>
          <w:szCs w:val="20"/>
          <w:lang w:val="en-GB"/>
        </w:rPr>
        <w:t>s</w:t>
      </w:r>
      <w:r w:rsidRPr="00316837">
        <w:rPr>
          <w:rFonts w:ascii="Arial" w:hAnsi="Arial" w:cs="Arial"/>
          <w:sz w:val="20"/>
          <w:szCs w:val="20"/>
          <w:lang w:val="en-GB"/>
        </w:rPr>
        <w:t xml:space="preserve">ation Committee. </w:t>
      </w:r>
    </w:p>
    <w:bookmarkEnd w:id="85"/>
    <w:p w14:paraId="7151592E" w14:textId="0016CDB4" w:rsidR="00C3322D" w:rsidRPr="00316837" w:rsidRDefault="004E1A6F" w:rsidP="0068151A">
      <w:pPr>
        <w:rPr>
          <w:rFonts w:eastAsia="Calibri"/>
          <w:szCs w:val="22"/>
        </w:rPr>
      </w:pPr>
      <w:r w:rsidRPr="00316837">
        <w:rPr>
          <w:rFonts w:eastAsia="Calibri"/>
          <w:szCs w:val="22"/>
        </w:rPr>
        <w:t>Being responsible for promoting operational coordination between transmission owning/operating members through actual day-to-day information sharing/exchange between the operational coordination centres of the WAPP members, the Information and Coordination Centre</w:t>
      </w:r>
      <w:r w:rsidR="0068151A" w:rsidRPr="00316837">
        <w:rPr>
          <w:rFonts w:eastAsia="Calibri"/>
          <w:szCs w:val="22"/>
        </w:rPr>
        <w:t xml:space="preserve"> is </w:t>
      </w:r>
      <w:r w:rsidR="00C3322D" w:rsidRPr="00316837">
        <w:rPr>
          <w:rFonts w:eastAsia="Calibri"/>
          <w:szCs w:val="22"/>
        </w:rPr>
        <w:t xml:space="preserve">also dedicated to </w:t>
      </w:r>
      <w:r w:rsidR="0068151A" w:rsidRPr="00316837">
        <w:rPr>
          <w:rFonts w:eastAsia="Calibri"/>
          <w:szCs w:val="22"/>
        </w:rPr>
        <w:t>implementing a</w:t>
      </w:r>
      <w:r w:rsidR="00C3322D" w:rsidRPr="00316837">
        <w:rPr>
          <w:rFonts w:eastAsia="Calibri"/>
          <w:szCs w:val="22"/>
        </w:rPr>
        <w:t>nother</w:t>
      </w:r>
      <w:r w:rsidR="0068151A" w:rsidRPr="00316837">
        <w:rPr>
          <w:rFonts w:eastAsia="Calibri"/>
          <w:szCs w:val="22"/>
        </w:rPr>
        <w:t xml:space="preserve"> project</w:t>
      </w:r>
      <w:r w:rsidR="00C3322D" w:rsidRPr="00316837">
        <w:rPr>
          <w:rFonts w:eastAsia="Calibri"/>
          <w:szCs w:val="22"/>
        </w:rPr>
        <w:t>, funded by the EU’s subsidy of EUR 30 million,</w:t>
      </w:r>
      <w:r w:rsidR="0068151A" w:rsidRPr="00316837">
        <w:rPr>
          <w:rFonts w:eastAsia="Calibri"/>
          <w:szCs w:val="22"/>
        </w:rPr>
        <w:t xml:space="preserve"> </w:t>
      </w:r>
      <w:r w:rsidR="00C3322D" w:rsidRPr="00316837">
        <w:rPr>
          <w:rFonts w:eastAsia="Calibri"/>
          <w:szCs w:val="22"/>
        </w:rPr>
        <w:t xml:space="preserve">for establishing itself as the </w:t>
      </w:r>
      <w:r w:rsidR="00533C25" w:rsidRPr="00316837">
        <w:rPr>
          <w:rFonts w:eastAsia="Calibri"/>
          <w:szCs w:val="22"/>
        </w:rPr>
        <w:t>RSMO</w:t>
      </w:r>
      <w:r w:rsidR="00507C15">
        <w:rPr>
          <w:rFonts w:eastAsia="Calibri"/>
          <w:szCs w:val="22"/>
        </w:rPr>
        <w:t xml:space="preserve"> in </w:t>
      </w:r>
      <w:r w:rsidR="00C3322D" w:rsidRPr="00316837">
        <w:rPr>
          <w:rFonts w:eastAsia="Calibri"/>
          <w:szCs w:val="22"/>
        </w:rPr>
        <w:t xml:space="preserve">two subcomponents: </w:t>
      </w:r>
    </w:p>
    <w:p w14:paraId="0888C933" w14:textId="05DE22E0" w:rsidR="00C3322D" w:rsidRPr="00316837" w:rsidRDefault="0068151A" w:rsidP="00AB7DB1">
      <w:pPr>
        <w:pStyle w:val="ListParagraph"/>
        <w:numPr>
          <w:ilvl w:val="0"/>
          <w:numId w:val="26"/>
        </w:numPr>
        <w:spacing w:before="160" w:after="0" w:line="288" w:lineRule="auto"/>
        <w:rPr>
          <w:rFonts w:ascii="Arial" w:hAnsi="Arial" w:cs="Arial"/>
          <w:sz w:val="20"/>
          <w:szCs w:val="20"/>
          <w:lang w:val="en-GB"/>
        </w:rPr>
      </w:pPr>
      <w:r w:rsidRPr="00316837">
        <w:rPr>
          <w:rFonts w:ascii="Arial" w:hAnsi="Arial" w:cs="Arial"/>
          <w:sz w:val="20"/>
          <w:szCs w:val="20"/>
          <w:lang w:val="en-GB"/>
        </w:rPr>
        <w:t>the construction of its own building (technical and administrative) at Calavi, Benin</w:t>
      </w:r>
      <w:r w:rsidR="00C3322D" w:rsidRPr="00316837">
        <w:rPr>
          <w:rFonts w:ascii="Arial" w:hAnsi="Arial" w:cs="Arial"/>
          <w:sz w:val="20"/>
          <w:szCs w:val="20"/>
          <w:lang w:val="en-GB"/>
        </w:rPr>
        <w:t xml:space="preserve"> (execution of 77%),</w:t>
      </w:r>
      <w:r w:rsidRPr="00316837">
        <w:rPr>
          <w:rFonts w:ascii="Arial" w:hAnsi="Arial" w:cs="Arial"/>
          <w:sz w:val="20"/>
          <w:szCs w:val="20"/>
          <w:lang w:val="en-GB"/>
        </w:rPr>
        <w:t xml:space="preserve"> and </w:t>
      </w:r>
    </w:p>
    <w:p w14:paraId="41FC9510" w14:textId="6D8F53B1" w:rsidR="0068151A" w:rsidRPr="00316837" w:rsidRDefault="0068151A" w:rsidP="00AB7DB1">
      <w:pPr>
        <w:pStyle w:val="ListParagraph"/>
        <w:numPr>
          <w:ilvl w:val="0"/>
          <w:numId w:val="26"/>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installation of SCADA/EMS/MMS/WAMS </w:t>
      </w:r>
      <w:r w:rsidR="00E55408" w:rsidRPr="00316837">
        <w:rPr>
          <w:rFonts w:ascii="Arial" w:hAnsi="Arial" w:cs="Arial"/>
          <w:sz w:val="20"/>
          <w:szCs w:val="20"/>
          <w:lang w:val="en-GB"/>
        </w:rPr>
        <w:t xml:space="preserve">and equipment for communication and market monitoring at the Centre, </w:t>
      </w:r>
      <w:r w:rsidR="00507C15">
        <w:rPr>
          <w:rFonts w:ascii="Arial" w:hAnsi="Arial" w:cs="Arial"/>
          <w:sz w:val="20"/>
          <w:szCs w:val="20"/>
          <w:lang w:val="en-GB"/>
        </w:rPr>
        <w:t>5</w:t>
      </w:r>
      <w:r w:rsidR="00507C15" w:rsidRPr="00316837">
        <w:rPr>
          <w:rFonts w:ascii="Arial" w:hAnsi="Arial" w:cs="Arial"/>
          <w:sz w:val="20"/>
          <w:szCs w:val="20"/>
          <w:lang w:val="en-GB"/>
        </w:rPr>
        <w:t xml:space="preserve"> </w:t>
      </w:r>
      <w:r w:rsidR="00E55408" w:rsidRPr="00316837">
        <w:rPr>
          <w:rFonts w:ascii="Arial" w:hAnsi="Arial" w:cs="Arial"/>
          <w:sz w:val="20"/>
          <w:szCs w:val="20"/>
          <w:lang w:val="en-GB"/>
        </w:rPr>
        <w:t xml:space="preserve">control area centres and national control centres </w:t>
      </w:r>
      <w:r w:rsidR="00C3322D" w:rsidRPr="00316837">
        <w:rPr>
          <w:rFonts w:ascii="Arial" w:hAnsi="Arial" w:cs="Arial"/>
          <w:sz w:val="20"/>
          <w:szCs w:val="20"/>
          <w:lang w:val="en-GB"/>
        </w:rPr>
        <w:t xml:space="preserve">(execution 64%) </w:t>
      </w:r>
      <w:r w:rsidR="00E55408" w:rsidRPr="00316837">
        <w:rPr>
          <w:rFonts w:ascii="Arial" w:hAnsi="Arial" w:cs="Arial"/>
          <w:sz w:val="20"/>
          <w:szCs w:val="20"/>
          <w:lang w:val="en-GB"/>
        </w:rPr>
        <w:t xml:space="preserve">(see </w:t>
      </w:r>
      <w:r w:rsidR="00E55408" w:rsidRPr="00316837">
        <w:rPr>
          <w:rFonts w:ascii="Arial" w:hAnsi="Arial" w:cs="Arial"/>
          <w:sz w:val="20"/>
          <w:szCs w:val="20"/>
          <w:lang w:val="en-GB"/>
        </w:rPr>
        <w:fldChar w:fldCharType="begin"/>
      </w:r>
      <w:r w:rsidR="00E55408" w:rsidRPr="00316837">
        <w:rPr>
          <w:rFonts w:ascii="Arial" w:hAnsi="Arial" w:cs="Arial"/>
          <w:sz w:val="20"/>
          <w:szCs w:val="20"/>
          <w:lang w:val="en-GB"/>
        </w:rPr>
        <w:instrText xml:space="preserve"> REF _Ref71563653 \h  \* MERGEFORMAT </w:instrText>
      </w:r>
      <w:r w:rsidR="00E55408" w:rsidRPr="00316837">
        <w:rPr>
          <w:rFonts w:ascii="Arial" w:hAnsi="Arial" w:cs="Arial"/>
          <w:sz w:val="20"/>
          <w:szCs w:val="20"/>
          <w:lang w:val="en-GB"/>
        </w:rPr>
      </w:r>
      <w:r w:rsidR="00E55408" w:rsidRPr="00316837">
        <w:rPr>
          <w:rFonts w:ascii="Arial" w:hAnsi="Arial" w:cs="Arial"/>
          <w:sz w:val="20"/>
          <w:szCs w:val="20"/>
          <w:lang w:val="en-GB"/>
        </w:rPr>
        <w:fldChar w:fldCharType="separate"/>
      </w:r>
      <w:r w:rsidR="00507C15" w:rsidRPr="006273BD">
        <w:rPr>
          <w:rFonts w:ascii="Arial" w:hAnsi="Arial" w:cs="Arial"/>
          <w:sz w:val="20"/>
          <w:szCs w:val="20"/>
          <w:lang w:val="en-GB"/>
        </w:rPr>
        <w:t>Figure 3</w:t>
      </w:r>
      <w:r w:rsidR="00507C15" w:rsidRPr="006273BD">
        <w:rPr>
          <w:rFonts w:ascii="Arial" w:hAnsi="Arial" w:cs="Arial"/>
          <w:sz w:val="20"/>
          <w:szCs w:val="20"/>
          <w:lang w:val="en-GB"/>
        </w:rPr>
        <w:noBreakHyphen/>
        <w:t>7</w:t>
      </w:r>
      <w:r w:rsidR="00E55408" w:rsidRPr="00316837">
        <w:rPr>
          <w:rFonts w:ascii="Arial" w:hAnsi="Arial" w:cs="Arial"/>
          <w:sz w:val="20"/>
          <w:szCs w:val="20"/>
          <w:lang w:val="en-GB"/>
        </w:rPr>
        <w:fldChar w:fldCharType="end"/>
      </w:r>
      <w:r w:rsidR="00E55408" w:rsidRPr="00C632F6">
        <w:rPr>
          <w:rFonts w:ascii="Arial" w:hAnsi="Arial" w:cs="Arial"/>
          <w:sz w:val="20"/>
          <w:szCs w:val="20"/>
          <w:lang w:val="en-GB"/>
        </w:rPr>
        <w:t>)</w:t>
      </w:r>
      <w:r w:rsidRPr="00316837">
        <w:rPr>
          <w:rFonts w:ascii="Arial" w:hAnsi="Arial" w:cs="Arial"/>
          <w:sz w:val="20"/>
          <w:szCs w:val="20"/>
          <w:lang w:val="en-GB"/>
        </w:rPr>
        <w:t xml:space="preserve">. </w:t>
      </w:r>
    </w:p>
    <w:p w14:paraId="51B49E0F" w14:textId="1EEAA410" w:rsidR="00E55408" w:rsidRPr="00C632F6" w:rsidRDefault="00E55408" w:rsidP="006273BD">
      <w:pPr>
        <w:jc w:val="center"/>
        <w:rPr>
          <w:rFonts w:eastAsia="Calibri"/>
          <w:szCs w:val="22"/>
        </w:rPr>
      </w:pPr>
      <w:r w:rsidRPr="006273BD">
        <w:rPr>
          <w:rFonts w:eastAsia="Calibri"/>
          <w:noProof/>
          <w:szCs w:val="22"/>
          <w:lang w:eastAsia="en-GB"/>
        </w:rPr>
        <w:drawing>
          <wp:inline distT="0" distB="0" distL="0" distR="0" wp14:anchorId="165ED576" wp14:editId="213DE05A">
            <wp:extent cx="4877345" cy="3000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5061" cy="3041666"/>
                    </a:xfrm>
                    <a:prstGeom prst="rect">
                      <a:avLst/>
                    </a:prstGeom>
                    <a:noFill/>
                  </pic:spPr>
                </pic:pic>
              </a:graphicData>
            </a:graphic>
          </wp:inline>
        </w:drawing>
      </w:r>
    </w:p>
    <w:p w14:paraId="5B6F4120" w14:textId="78F2BA8A" w:rsidR="00E55408" w:rsidRPr="00316837" w:rsidRDefault="00E55408" w:rsidP="00E55408">
      <w:pPr>
        <w:rPr>
          <w:rFonts w:eastAsia="Calibri"/>
          <w:bCs/>
          <w:sz w:val="18"/>
          <w:szCs w:val="18"/>
        </w:rPr>
      </w:pPr>
      <w:bookmarkStart w:id="86" w:name="_Ref71563653"/>
      <w:bookmarkStart w:id="87" w:name="_Toc54267974"/>
      <w:bookmarkStart w:id="88" w:name="_Toc71632618"/>
      <w:bookmarkStart w:id="89" w:name="_Hlk72238069"/>
      <w:bookmarkStart w:id="90" w:name="_Toc77260269"/>
      <w:r w:rsidRPr="00316837">
        <w:rPr>
          <w:rFonts w:eastAsia="Calibri"/>
          <w:bCs/>
          <w:sz w:val="18"/>
          <w:szCs w:val="18"/>
        </w:rPr>
        <w:t xml:space="preserve">Figure </w:t>
      </w:r>
      <w:r w:rsidRPr="00316837">
        <w:rPr>
          <w:rFonts w:eastAsia="Calibri"/>
          <w:bCs/>
          <w:sz w:val="18"/>
          <w:szCs w:val="18"/>
        </w:rPr>
        <w:fldChar w:fldCharType="begin"/>
      </w:r>
      <w:r w:rsidRPr="00316837">
        <w:rPr>
          <w:rFonts w:eastAsia="Calibri"/>
          <w:bCs/>
          <w:sz w:val="18"/>
          <w:szCs w:val="18"/>
        </w:rPr>
        <w:instrText xml:space="preserve"> STYLEREF 1 \s </w:instrText>
      </w:r>
      <w:r w:rsidRPr="00316837">
        <w:rPr>
          <w:rFonts w:eastAsia="Calibri"/>
          <w:bCs/>
          <w:sz w:val="18"/>
          <w:szCs w:val="18"/>
        </w:rPr>
        <w:fldChar w:fldCharType="separate"/>
      </w:r>
      <w:r w:rsidR="00703397" w:rsidRPr="00316837">
        <w:rPr>
          <w:rFonts w:eastAsia="Calibri"/>
          <w:bCs/>
          <w:sz w:val="18"/>
          <w:szCs w:val="18"/>
        </w:rPr>
        <w:t>3</w:t>
      </w:r>
      <w:r w:rsidRPr="00316837">
        <w:rPr>
          <w:rFonts w:eastAsia="Calibri"/>
          <w:sz w:val="18"/>
          <w:szCs w:val="18"/>
        </w:rPr>
        <w:fldChar w:fldCharType="end"/>
      </w:r>
      <w:r w:rsidRPr="00C632F6">
        <w:rPr>
          <w:rFonts w:eastAsia="Calibri"/>
          <w:bCs/>
          <w:sz w:val="18"/>
          <w:szCs w:val="18"/>
        </w:rPr>
        <w:noBreakHyphen/>
      </w:r>
      <w:r w:rsidRPr="00316837">
        <w:rPr>
          <w:rFonts w:eastAsia="Calibri"/>
          <w:bCs/>
          <w:sz w:val="18"/>
          <w:szCs w:val="18"/>
        </w:rPr>
        <w:fldChar w:fldCharType="begin"/>
      </w:r>
      <w:r w:rsidRPr="00316837">
        <w:rPr>
          <w:rFonts w:eastAsia="Calibri"/>
          <w:bCs/>
          <w:sz w:val="18"/>
          <w:szCs w:val="18"/>
        </w:rPr>
        <w:instrText xml:space="preserve"> SEQ Figure \* ARABIC \s 1 </w:instrText>
      </w:r>
      <w:r w:rsidRPr="00316837">
        <w:rPr>
          <w:rFonts w:eastAsia="Calibri"/>
          <w:bCs/>
          <w:sz w:val="18"/>
          <w:szCs w:val="18"/>
        </w:rPr>
        <w:fldChar w:fldCharType="separate"/>
      </w:r>
      <w:r w:rsidR="00507C15">
        <w:rPr>
          <w:rFonts w:eastAsia="Calibri"/>
          <w:bCs/>
          <w:noProof/>
          <w:sz w:val="18"/>
          <w:szCs w:val="18"/>
        </w:rPr>
        <w:t>7</w:t>
      </w:r>
      <w:r w:rsidRPr="00316837">
        <w:rPr>
          <w:rFonts w:eastAsia="Calibri"/>
          <w:sz w:val="18"/>
          <w:szCs w:val="18"/>
        </w:rPr>
        <w:fldChar w:fldCharType="end"/>
      </w:r>
      <w:bookmarkEnd w:id="86"/>
      <w:r w:rsidRPr="00C632F6">
        <w:rPr>
          <w:rFonts w:eastAsia="Calibri"/>
          <w:bCs/>
          <w:sz w:val="18"/>
          <w:szCs w:val="18"/>
        </w:rPr>
        <w:t xml:space="preserve">: Communication concept of the Information and Coordination Centre </w:t>
      </w:r>
      <w:bookmarkEnd w:id="87"/>
      <w:bookmarkEnd w:id="88"/>
      <w:r w:rsidR="00730395" w:rsidRPr="00316837">
        <w:rPr>
          <w:rFonts w:eastAsia="Calibri"/>
          <w:bCs/>
          <w:sz w:val="18"/>
          <w:szCs w:val="18"/>
        </w:rPr>
        <w:t xml:space="preserve">of WAPP </w:t>
      </w:r>
      <w:r w:rsidRPr="00316837">
        <w:rPr>
          <w:rFonts w:eastAsia="Calibri"/>
          <w:bCs/>
          <w:sz w:val="18"/>
          <w:szCs w:val="18"/>
        </w:rPr>
        <w:t>(source: WAPP)</w:t>
      </w:r>
      <w:bookmarkEnd w:id="90"/>
      <w:r w:rsidRPr="00316837">
        <w:rPr>
          <w:rFonts w:eastAsia="Calibri"/>
          <w:bCs/>
          <w:sz w:val="18"/>
          <w:szCs w:val="18"/>
        </w:rPr>
        <w:t xml:space="preserve"> </w:t>
      </w:r>
    </w:p>
    <w:bookmarkEnd w:id="89"/>
    <w:p w14:paraId="03F062E2" w14:textId="0D3CF3CC" w:rsidR="0068151A" w:rsidRPr="00316837" w:rsidRDefault="0068151A" w:rsidP="0068151A">
      <w:pPr>
        <w:rPr>
          <w:rFonts w:eastAsia="Calibri"/>
          <w:szCs w:val="22"/>
        </w:rPr>
      </w:pPr>
      <w:r w:rsidRPr="00316837">
        <w:rPr>
          <w:rFonts w:eastAsia="Calibri"/>
          <w:szCs w:val="22"/>
        </w:rPr>
        <w:lastRenderedPageBreak/>
        <w:t xml:space="preserve">The </w:t>
      </w:r>
      <w:r w:rsidR="005F41EA" w:rsidRPr="00316837">
        <w:rPr>
          <w:rFonts w:eastAsia="Calibri"/>
          <w:szCs w:val="22"/>
        </w:rPr>
        <w:t>p</w:t>
      </w:r>
      <w:r w:rsidRPr="00316837">
        <w:rPr>
          <w:rFonts w:eastAsia="Calibri"/>
          <w:szCs w:val="22"/>
        </w:rPr>
        <w:t>roject</w:t>
      </w:r>
      <w:r w:rsidR="00E55408" w:rsidRPr="00316837">
        <w:rPr>
          <w:rFonts w:eastAsia="Calibri"/>
          <w:szCs w:val="22"/>
        </w:rPr>
        <w:t>’s</w:t>
      </w:r>
      <w:r w:rsidR="005F41EA" w:rsidRPr="00316837">
        <w:rPr>
          <w:rFonts w:eastAsia="Calibri"/>
          <w:szCs w:val="22"/>
        </w:rPr>
        <w:t xml:space="preserve"> current status is as follows</w:t>
      </w:r>
      <w:r w:rsidR="00E55408" w:rsidRPr="00316837">
        <w:rPr>
          <w:rFonts w:eastAsia="Calibri"/>
          <w:szCs w:val="22"/>
        </w:rPr>
        <w:t>:</w:t>
      </w:r>
      <w:r w:rsidR="005F41EA" w:rsidRPr="00316837">
        <w:rPr>
          <w:rFonts w:eastAsia="Calibri"/>
          <w:szCs w:val="22"/>
        </w:rPr>
        <w:t xml:space="preserve"> </w:t>
      </w:r>
    </w:p>
    <w:p w14:paraId="0D98045C" w14:textId="728BA059" w:rsidR="005F41EA" w:rsidRPr="00316837" w:rsidRDefault="005F41EA" w:rsidP="005F41EA">
      <w:pPr>
        <w:numPr>
          <w:ilvl w:val="0"/>
          <w:numId w:val="17"/>
        </w:numPr>
        <w:rPr>
          <w:rFonts w:eastAsia="Calibri"/>
          <w:szCs w:val="22"/>
        </w:rPr>
      </w:pPr>
      <w:r w:rsidRPr="00316837">
        <w:rPr>
          <w:rFonts w:eastAsia="Calibri"/>
          <w:szCs w:val="22"/>
        </w:rPr>
        <w:t>the statement of works and designs for SCADA/EMS/MMS</w:t>
      </w:r>
      <w:r w:rsidR="00E55408" w:rsidRPr="00316837">
        <w:rPr>
          <w:rFonts w:eastAsia="Calibri"/>
          <w:szCs w:val="22"/>
        </w:rPr>
        <w:t>/</w:t>
      </w:r>
      <w:r w:rsidRPr="00316837">
        <w:rPr>
          <w:rFonts w:eastAsia="Calibri"/>
          <w:szCs w:val="22"/>
        </w:rPr>
        <w:t xml:space="preserve">WAMS Systems were finalised and approved, </w:t>
      </w:r>
    </w:p>
    <w:p w14:paraId="1BEC03DB" w14:textId="77777777" w:rsidR="005F41EA" w:rsidRPr="00316837" w:rsidRDefault="005F41EA" w:rsidP="005F41EA">
      <w:pPr>
        <w:numPr>
          <w:ilvl w:val="0"/>
          <w:numId w:val="17"/>
        </w:numPr>
        <w:rPr>
          <w:rFonts w:eastAsia="Calibri"/>
          <w:szCs w:val="22"/>
        </w:rPr>
      </w:pPr>
      <w:r w:rsidRPr="00316837">
        <w:rPr>
          <w:rFonts w:eastAsia="Calibri"/>
          <w:szCs w:val="22"/>
        </w:rPr>
        <w:t xml:space="preserve">SCADA/EMS/MMS/WAMS Systems have been developed at the contractor office with the involvement of the Information and Coordination Centre staff, </w:t>
      </w:r>
    </w:p>
    <w:p w14:paraId="485CB882" w14:textId="4DFF0354" w:rsidR="005F41EA" w:rsidRPr="00316837" w:rsidRDefault="005F41EA" w:rsidP="005F41EA">
      <w:pPr>
        <w:numPr>
          <w:ilvl w:val="0"/>
          <w:numId w:val="17"/>
        </w:numPr>
        <w:rPr>
          <w:rFonts w:eastAsia="Calibri"/>
          <w:szCs w:val="22"/>
        </w:rPr>
      </w:pPr>
      <w:r w:rsidRPr="00316837">
        <w:rPr>
          <w:rFonts w:eastAsia="Calibri"/>
          <w:szCs w:val="22"/>
        </w:rPr>
        <w:t xml:space="preserve">factory acceptance testing for SCADA/EMS/MMS/WAMS </w:t>
      </w:r>
      <w:r w:rsidR="00E55408" w:rsidRPr="00316837">
        <w:rPr>
          <w:rFonts w:eastAsia="Calibri"/>
          <w:szCs w:val="22"/>
        </w:rPr>
        <w:t xml:space="preserve">Systems </w:t>
      </w:r>
      <w:r w:rsidRPr="00316837">
        <w:rPr>
          <w:rFonts w:eastAsia="Calibri"/>
          <w:szCs w:val="22"/>
        </w:rPr>
        <w:t xml:space="preserve">were completed, </w:t>
      </w:r>
    </w:p>
    <w:p w14:paraId="281F25CD" w14:textId="77777777" w:rsidR="005F41EA" w:rsidRPr="00316837" w:rsidRDefault="005F41EA" w:rsidP="005F41EA">
      <w:pPr>
        <w:numPr>
          <w:ilvl w:val="0"/>
          <w:numId w:val="17"/>
        </w:numPr>
        <w:rPr>
          <w:rFonts w:eastAsia="Calibri"/>
          <w:szCs w:val="22"/>
        </w:rPr>
      </w:pPr>
      <w:r w:rsidRPr="00316837">
        <w:rPr>
          <w:rFonts w:eastAsia="Calibri"/>
          <w:szCs w:val="22"/>
        </w:rPr>
        <w:t xml:space="preserve">phasor measurement units were installed in selected locations with site acceptance tests completed, </w:t>
      </w:r>
    </w:p>
    <w:p w14:paraId="4DF9E364" w14:textId="77777777" w:rsidR="005F41EA" w:rsidRPr="00316837" w:rsidRDefault="005F41EA" w:rsidP="005F41EA">
      <w:pPr>
        <w:numPr>
          <w:ilvl w:val="0"/>
          <w:numId w:val="17"/>
        </w:numPr>
        <w:rPr>
          <w:rFonts w:eastAsia="Calibri"/>
          <w:szCs w:val="22"/>
        </w:rPr>
      </w:pPr>
      <w:r w:rsidRPr="00316837">
        <w:rPr>
          <w:rFonts w:eastAsia="Calibri"/>
          <w:szCs w:val="22"/>
        </w:rPr>
        <w:t xml:space="preserve">installation of telecommunication equipment in the WAPP countries is ongoing, </w:t>
      </w:r>
    </w:p>
    <w:p w14:paraId="145685D5" w14:textId="77777777" w:rsidR="00E55408" w:rsidRPr="00316837" w:rsidRDefault="005F41EA" w:rsidP="005F41EA">
      <w:pPr>
        <w:numPr>
          <w:ilvl w:val="0"/>
          <w:numId w:val="17"/>
        </w:numPr>
        <w:rPr>
          <w:rFonts w:eastAsia="Calibri"/>
          <w:szCs w:val="22"/>
        </w:rPr>
      </w:pPr>
      <w:r w:rsidRPr="00316837">
        <w:rPr>
          <w:rFonts w:eastAsia="Calibri"/>
          <w:szCs w:val="22"/>
        </w:rPr>
        <w:t>construction of the Information and Coordination Centre building in Calavi, Benin is ongoing</w:t>
      </w:r>
      <w:r w:rsidR="00E55408" w:rsidRPr="00316837">
        <w:rPr>
          <w:rFonts w:eastAsia="Calibri"/>
          <w:szCs w:val="22"/>
        </w:rPr>
        <w:t>.</w:t>
      </w:r>
      <w:r w:rsidRPr="00316837">
        <w:rPr>
          <w:rFonts w:eastAsia="Calibri"/>
          <w:szCs w:val="22"/>
        </w:rPr>
        <w:t xml:space="preserve"> </w:t>
      </w:r>
    </w:p>
    <w:p w14:paraId="09C32643" w14:textId="5BD81493" w:rsidR="00E55408" w:rsidRPr="00316837" w:rsidRDefault="00E55408" w:rsidP="005F41EA">
      <w:pPr>
        <w:rPr>
          <w:rFonts w:eastAsia="Calibri"/>
          <w:szCs w:val="22"/>
        </w:rPr>
      </w:pPr>
      <w:r w:rsidRPr="00316837">
        <w:rPr>
          <w:rFonts w:eastAsia="Calibri"/>
          <w:szCs w:val="22"/>
        </w:rPr>
        <w:t>The percentage completion of the building is estimated at 7</w:t>
      </w:r>
      <w:r w:rsidR="00C3322D" w:rsidRPr="00316837">
        <w:rPr>
          <w:rFonts w:eastAsia="Calibri"/>
          <w:szCs w:val="22"/>
        </w:rPr>
        <w:t>7</w:t>
      </w:r>
      <w:r w:rsidRPr="00316837">
        <w:rPr>
          <w:rFonts w:eastAsia="Calibri"/>
          <w:szCs w:val="22"/>
        </w:rPr>
        <w:t xml:space="preserve">% (to be finalised by December 2021). The percentage completion of equipment installation stands at </w:t>
      </w:r>
      <w:r w:rsidR="00C3322D" w:rsidRPr="00316837">
        <w:rPr>
          <w:rFonts w:eastAsia="Calibri"/>
          <w:szCs w:val="22"/>
        </w:rPr>
        <w:t>64</w:t>
      </w:r>
      <w:r w:rsidRPr="00316837">
        <w:rPr>
          <w:rFonts w:eastAsia="Calibri"/>
          <w:szCs w:val="22"/>
        </w:rPr>
        <w:t xml:space="preserve">%; equipment is already fully installed at the utilities’ locations and </w:t>
      </w:r>
      <w:r w:rsidR="005F41EA" w:rsidRPr="00316837">
        <w:rPr>
          <w:rFonts w:eastAsia="Calibri"/>
          <w:szCs w:val="22"/>
        </w:rPr>
        <w:t xml:space="preserve">SCADA/EMS/MMS/WAMS installations </w:t>
      </w:r>
      <w:r w:rsidRPr="00316837">
        <w:rPr>
          <w:rFonts w:eastAsia="Calibri"/>
          <w:szCs w:val="22"/>
        </w:rPr>
        <w:t xml:space="preserve">at the Centre are expected to be finalised </w:t>
      </w:r>
      <w:r w:rsidR="005F41EA" w:rsidRPr="00316837">
        <w:rPr>
          <w:rFonts w:eastAsia="Calibri"/>
          <w:szCs w:val="22"/>
        </w:rPr>
        <w:t xml:space="preserve">by </w:t>
      </w:r>
      <w:r w:rsidRPr="00316837">
        <w:rPr>
          <w:rFonts w:eastAsia="Calibri"/>
          <w:szCs w:val="22"/>
        </w:rPr>
        <w:t>January 2022</w:t>
      </w:r>
      <w:r w:rsidR="005F41EA" w:rsidRPr="00316837">
        <w:rPr>
          <w:rFonts w:eastAsia="Calibri"/>
          <w:szCs w:val="22"/>
        </w:rPr>
        <w:t xml:space="preserve">, site acceptance tests </w:t>
      </w:r>
      <w:r w:rsidRPr="00316837">
        <w:rPr>
          <w:rFonts w:eastAsia="Calibri"/>
          <w:szCs w:val="22"/>
        </w:rPr>
        <w:t xml:space="preserve">performed </w:t>
      </w:r>
      <w:r w:rsidR="005F41EA" w:rsidRPr="00316837">
        <w:rPr>
          <w:rFonts w:eastAsia="Calibri"/>
          <w:szCs w:val="22"/>
        </w:rPr>
        <w:t xml:space="preserve">by </w:t>
      </w:r>
      <w:r w:rsidRPr="00316837">
        <w:rPr>
          <w:rFonts w:eastAsia="Calibri"/>
          <w:szCs w:val="22"/>
        </w:rPr>
        <w:t xml:space="preserve">April </w:t>
      </w:r>
      <w:r w:rsidR="005F41EA" w:rsidRPr="00316837">
        <w:rPr>
          <w:rFonts w:eastAsia="Calibri"/>
          <w:szCs w:val="22"/>
        </w:rPr>
        <w:t>202</w:t>
      </w:r>
      <w:r w:rsidRPr="00316837">
        <w:rPr>
          <w:rFonts w:eastAsia="Calibri"/>
          <w:szCs w:val="22"/>
        </w:rPr>
        <w:t>2</w:t>
      </w:r>
      <w:r w:rsidR="005F41EA" w:rsidRPr="00316837">
        <w:rPr>
          <w:rFonts w:eastAsia="Calibri"/>
          <w:szCs w:val="22"/>
        </w:rPr>
        <w:t xml:space="preserve">, and go-live </w:t>
      </w:r>
      <w:r w:rsidRPr="00316837">
        <w:rPr>
          <w:rFonts w:eastAsia="Calibri"/>
          <w:szCs w:val="22"/>
        </w:rPr>
        <w:t xml:space="preserve">made </w:t>
      </w:r>
      <w:r w:rsidR="005F41EA" w:rsidRPr="00316837">
        <w:rPr>
          <w:rFonts w:eastAsia="Calibri"/>
          <w:szCs w:val="22"/>
        </w:rPr>
        <w:t xml:space="preserve">by </w:t>
      </w:r>
      <w:r w:rsidRPr="00316837">
        <w:rPr>
          <w:rFonts w:eastAsia="Calibri"/>
          <w:szCs w:val="22"/>
        </w:rPr>
        <w:t xml:space="preserve">May </w:t>
      </w:r>
      <w:r w:rsidR="005F41EA" w:rsidRPr="00316837">
        <w:rPr>
          <w:rFonts w:eastAsia="Calibri"/>
          <w:szCs w:val="22"/>
        </w:rPr>
        <w:t>202</w:t>
      </w:r>
      <w:r w:rsidRPr="00316837">
        <w:rPr>
          <w:rFonts w:eastAsia="Calibri"/>
          <w:szCs w:val="22"/>
        </w:rPr>
        <w:t>2</w:t>
      </w:r>
      <w:r w:rsidR="005F41EA" w:rsidRPr="00316837">
        <w:rPr>
          <w:rFonts w:eastAsia="Calibri"/>
          <w:szCs w:val="22"/>
        </w:rPr>
        <w:t xml:space="preserve">. </w:t>
      </w:r>
    </w:p>
    <w:p w14:paraId="14512B6E" w14:textId="017CA4AF" w:rsidR="0068151A" w:rsidRPr="00316837" w:rsidRDefault="00E55408" w:rsidP="0068151A">
      <w:pPr>
        <w:rPr>
          <w:rFonts w:eastAsia="Calibri"/>
          <w:szCs w:val="22"/>
        </w:rPr>
      </w:pPr>
      <w:r w:rsidRPr="00316837">
        <w:rPr>
          <w:rFonts w:eastAsia="Calibri"/>
          <w:szCs w:val="22"/>
        </w:rPr>
        <w:t>By then</w:t>
      </w:r>
      <w:r w:rsidR="005F41EA" w:rsidRPr="00316837">
        <w:rPr>
          <w:rFonts w:eastAsia="Calibri"/>
          <w:szCs w:val="22"/>
        </w:rPr>
        <w:t xml:space="preserve">, </w:t>
      </w:r>
      <w:r w:rsidRPr="00316837">
        <w:rPr>
          <w:rFonts w:eastAsia="Calibri"/>
          <w:szCs w:val="22"/>
        </w:rPr>
        <w:t xml:space="preserve">the Information and Coordination Centre </w:t>
      </w:r>
      <w:r w:rsidR="005F41EA" w:rsidRPr="00316837">
        <w:rPr>
          <w:rFonts w:eastAsia="Calibri"/>
          <w:szCs w:val="22"/>
        </w:rPr>
        <w:t xml:space="preserve">will be able to connect and operate/coordinate with </w:t>
      </w:r>
      <w:r w:rsidRPr="00316837">
        <w:rPr>
          <w:rFonts w:eastAsia="Calibri"/>
          <w:szCs w:val="22"/>
        </w:rPr>
        <w:t xml:space="preserve">five control area centres and national control centres in the full capacity of the </w:t>
      </w:r>
      <w:r w:rsidR="00533C25" w:rsidRPr="00316837">
        <w:rPr>
          <w:rFonts w:eastAsia="Calibri"/>
          <w:szCs w:val="22"/>
        </w:rPr>
        <w:t>RSMO</w:t>
      </w:r>
      <w:r w:rsidRPr="00316837">
        <w:rPr>
          <w:rFonts w:eastAsia="Calibri"/>
          <w:szCs w:val="22"/>
        </w:rPr>
        <w:t xml:space="preserve"> (i.e. market operator of the regional system). </w:t>
      </w:r>
      <w:r w:rsidR="0068151A" w:rsidRPr="00316837">
        <w:rPr>
          <w:rFonts w:eastAsia="Calibri"/>
          <w:szCs w:val="22"/>
        </w:rPr>
        <w:t xml:space="preserve">SCADA/EMS/MMS/WAMS </w:t>
      </w:r>
      <w:r w:rsidR="005F41EA" w:rsidRPr="00316837">
        <w:rPr>
          <w:rFonts w:eastAsia="Calibri"/>
          <w:szCs w:val="22"/>
        </w:rPr>
        <w:t>S</w:t>
      </w:r>
      <w:r w:rsidR="0068151A" w:rsidRPr="00316837">
        <w:rPr>
          <w:rFonts w:eastAsia="Calibri"/>
          <w:szCs w:val="22"/>
        </w:rPr>
        <w:t>ystems are expected to enable the Centre to monitor the regional system in real-time and operate the day-ahead market, i.e. to: (1) facilitate regional coordination of cross-border electricity exchanges, and (2) monitor the WAPP System Operation, by (i) alerting and advising the control area</w:t>
      </w:r>
      <w:r w:rsidRPr="00316837">
        <w:rPr>
          <w:rFonts w:eastAsia="Calibri"/>
          <w:szCs w:val="22"/>
        </w:rPr>
        <w:t xml:space="preserve"> centre</w:t>
      </w:r>
      <w:r w:rsidR="0068151A" w:rsidRPr="00316837">
        <w:rPr>
          <w:rFonts w:eastAsia="Calibri"/>
          <w:szCs w:val="22"/>
        </w:rPr>
        <w:t xml:space="preserve">s in the event of security risks in the regional system, and (ii) maintaining frequency and voltage levels within operating limits to ensure the quality of service parameters. </w:t>
      </w:r>
    </w:p>
    <w:p w14:paraId="64096530" w14:textId="4204EA77" w:rsidR="0068151A" w:rsidRPr="00316837" w:rsidRDefault="00C05B6E" w:rsidP="0068151A">
      <w:pPr>
        <w:rPr>
          <w:rFonts w:eastAsia="Calibri"/>
          <w:szCs w:val="20"/>
        </w:rPr>
      </w:pPr>
      <w:r w:rsidRPr="00316837">
        <w:rPr>
          <w:rFonts w:eastAsia="Calibri"/>
          <w:szCs w:val="22"/>
        </w:rPr>
        <w:t>E</w:t>
      </w:r>
      <w:r w:rsidR="005F41EA" w:rsidRPr="00316837">
        <w:rPr>
          <w:rFonts w:eastAsia="Calibri"/>
          <w:szCs w:val="22"/>
        </w:rPr>
        <w:t xml:space="preserve">lectricity trading </w:t>
      </w:r>
      <w:r w:rsidR="001427C5" w:rsidRPr="00316837">
        <w:rPr>
          <w:rFonts w:eastAsia="Calibri"/>
          <w:szCs w:val="22"/>
        </w:rPr>
        <w:t>is</w:t>
      </w:r>
      <w:r w:rsidR="005F41EA" w:rsidRPr="00316837">
        <w:rPr>
          <w:rFonts w:eastAsia="Calibri"/>
          <w:szCs w:val="22"/>
        </w:rPr>
        <w:t xml:space="preserve"> </w:t>
      </w:r>
      <w:r w:rsidR="0068151A" w:rsidRPr="00316837">
        <w:rPr>
          <w:rFonts w:eastAsia="Calibri"/>
          <w:szCs w:val="22"/>
        </w:rPr>
        <w:t>based on Directives</w:t>
      </w:r>
      <w:r w:rsidR="0068151A" w:rsidRPr="00316837">
        <w:t xml:space="preserve"> </w:t>
      </w:r>
      <w:r w:rsidR="001427C5" w:rsidRPr="00316837">
        <w:t xml:space="preserve">adopted by the ECOWAS Council of Ministers </w:t>
      </w:r>
      <w:r w:rsidR="0068151A" w:rsidRPr="00316837">
        <w:t xml:space="preserve">and </w:t>
      </w:r>
      <w:r w:rsidR="0068151A" w:rsidRPr="00316837">
        <w:rPr>
          <w:rFonts w:eastAsia="Calibri"/>
          <w:szCs w:val="22"/>
        </w:rPr>
        <w:t xml:space="preserve">on a number of market governance documents developed by </w:t>
      </w:r>
      <w:r w:rsidR="008A7158" w:rsidRPr="00316837">
        <w:rPr>
          <w:rFonts w:eastAsia="Calibri"/>
          <w:szCs w:val="22"/>
        </w:rPr>
        <w:t xml:space="preserve">WAPP and </w:t>
      </w:r>
      <w:r w:rsidR="0068151A" w:rsidRPr="00316837">
        <w:rPr>
          <w:rFonts w:eastAsia="Calibri"/>
          <w:szCs w:val="22"/>
        </w:rPr>
        <w:t xml:space="preserve">the Information and Coordination </w:t>
      </w:r>
      <w:r w:rsidR="0068151A" w:rsidRPr="00316837">
        <w:rPr>
          <w:rFonts w:eastAsia="Calibri"/>
          <w:szCs w:val="20"/>
        </w:rPr>
        <w:t xml:space="preserve">Centre and approved by ERERA as </w:t>
      </w:r>
      <w:r w:rsidR="00533C25" w:rsidRPr="00316837">
        <w:rPr>
          <w:rFonts w:eastAsia="Calibri"/>
          <w:szCs w:val="20"/>
        </w:rPr>
        <w:t>the regional regulatory authority (R</w:t>
      </w:r>
      <w:r w:rsidR="0068151A" w:rsidRPr="00316837">
        <w:rPr>
          <w:rFonts w:eastAsia="Calibri"/>
          <w:szCs w:val="20"/>
        </w:rPr>
        <w:t>egional Regulator</w:t>
      </w:r>
      <w:r w:rsidR="00533C25" w:rsidRPr="00316837">
        <w:rPr>
          <w:rFonts w:eastAsia="Calibri"/>
          <w:szCs w:val="20"/>
        </w:rPr>
        <w:t>)</w:t>
      </w:r>
      <w:r w:rsidR="0068151A" w:rsidRPr="00316837">
        <w:rPr>
          <w:rFonts w:eastAsia="Calibri"/>
          <w:szCs w:val="20"/>
        </w:rPr>
        <w:t xml:space="preserve"> (see</w:t>
      </w:r>
      <w:r w:rsidR="00507C15">
        <w:rPr>
          <w:rFonts w:eastAsia="Calibri"/>
          <w:szCs w:val="20"/>
        </w:rPr>
        <w:t xml:space="preserve"> Annex </w:t>
      </w:r>
      <w:r w:rsidR="00507C15">
        <w:rPr>
          <w:rFonts w:eastAsia="Calibri"/>
          <w:szCs w:val="20"/>
        </w:rPr>
        <w:fldChar w:fldCharType="begin"/>
      </w:r>
      <w:r w:rsidR="00507C15">
        <w:rPr>
          <w:rFonts w:eastAsia="Calibri"/>
          <w:szCs w:val="20"/>
        </w:rPr>
        <w:instrText xml:space="preserve"> REF _Ref77254555 \w \h </w:instrText>
      </w:r>
      <w:r w:rsidR="00507C15">
        <w:rPr>
          <w:rFonts w:eastAsia="Calibri"/>
          <w:szCs w:val="20"/>
        </w:rPr>
      </w:r>
      <w:r w:rsidR="00507C15">
        <w:rPr>
          <w:rFonts w:eastAsia="Calibri"/>
          <w:szCs w:val="20"/>
        </w:rPr>
        <w:fldChar w:fldCharType="separate"/>
      </w:r>
      <w:r w:rsidR="00507C15">
        <w:rPr>
          <w:rFonts w:eastAsia="Calibri"/>
          <w:szCs w:val="20"/>
        </w:rPr>
        <w:t>8.3</w:t>
      </w:r>
      <w:r w:rsidR="00507C15">
        <w:rPr>
          <w:rFonts w:eastAsia="Calibri"/>
          <w:szCs w:val="20"/>
        </w:rPr>
        <w:fldChar w:fldCharType="end"/>
      </w:r>
      <w:r w:rsidR="0068151A" w:rsidRPr="00C632F6">
        <w:rPr>
          <w:rFonts w:eastAsia="Calibri"/>
          <w:szCs w:val="20"/>
        </w:rPr>
        <w:t xml:space="preserve">). </w:t>
      </w:r>
    </w:p>
    <w:p w14:paraId="751D800C" w14:textId="0E30FB7D" w:rsidR="00B56D37" w:rsidRPr="00316837" w:rsidRDefault="00B56D37" w:rsidP="0068151A">
      <w:pPr>
        <w:rPr>
          <w:rFonts w:eastAsia="Calibri"/>
          <w:szCs w:val="20"/>
        </w:rPr>
      </w:pPr>
      <w:r w:rsidRPr="00316837">
        <w:rPr>
          <w:rFonts w:eastAsia="Calibri"/>
          <w:szCs w:val="22"/>
        </w:rPr>
        <w:t xml:space="preserve">Already at the initial stage of the regional electricity market development, WAPP articulated the Market Design and Roadmap, charting the course it is following in order to bring about the actualisation of the integrated </w:t>
      </w:r>
      <w:r w:rsidRPr="00316837">
        <w:rPr>
          <w:rFonts w:eastAsia="Calibri"/>
          <w:szCs w:val="20"/>
        </w:rPr>
        <w:t xml:space="preserve">regional electricity market (see </w:t>
      </w:r>
      <w:r w:rsidR="008A7158" w:rsidRPr="00316837">
        <w:rPr>
          <w:rFonts w:eastAsia="Calibri"/>
          <w:szCs w:val="20"/>
        </w:rPr>
        <w:fldChar w:fldCharType="begin"/>
      </w:r>
      <w:r w:rsidR="008A7158" w:rsidRPr="00316837">
        <w:rPr>
          <w:rFonts w:eastAsia="Calibri"/>
          <w:szCs w:val="20"/>
        </w:rPr>
        <w:instrText xml:space="preserve"> REF _Ref72162070 \h  \* MERGEFORMAT </w:instrText>
      </w:r>
      <w:r w:rsidR="008A7158" w:rsidRPr="00316837">
        <w:rPr>
          <w:rFonts w:eastAsia="Calibri"/>
          <w:szCs w:val="20"/>
        </w:rPr>
      </w:r>
      <w:r w:rsidR="008A7158" w:rsidRPr="00316837">
        <w:rPr>
          <w:rFonts w:eastAsia="Calibri"/>
          <w:szCs w:val="20"/>
        </w:rPr>
        <w:fldChar w:fldCharType="separate"/>
      </w:r>
      <w:r w:rsidR="00507C15" w:rsidRPr="006273BD">
        <w:rPr>
          <w:rFonts w:cs="Arial"/>
          <w:bCs/>
          <w:szCs w:val="20"/>
        </w:rPr>
        <w:t>Table 3</w:t>
      </w:r>
      <w:r w:rsidR="00507C15" w:rsidRPr="006273BD">
        <w:rPr>
          <w:rFonts w:cs="Arial"/>
          <w:bCs/>
          <w:szCs w:val="20"/>
        </w:rPr>
        <w:noBreakHyphen/>
        <w:t>6</w:t>
      </w:r>
      <w:r w:rsidR="008A7158" w:rsidRPr="00316837">
        <w:rPr>
          <w:rFonts w:eastAsia="Calibri"/>
          <w:szCs w:val="20"/>
        </w:rPr>
        <w:fldChar w:fldCharType="end"/>
      </w:r>
      <w:r w:rsidRPr="00C632F6">
        <w:rPr>
          <w:rFonts w:eastAsia="Calibri"/>
          <w:szCs w:val="20"/>
        </w:rPr>
        <w:t xml:space="preserve">). </w:t>
      </w:r>
      <w:r w:rsidR="007F0F98" w:rsidRPr="00316837">
        <w:rPr>
          <w:rFonts w:eastAsia="Calibri"/>
          <w:szCs w:val="20"/>
        </w:rPr>
        <w:t xml:space="preserve">The course has been charted in such way to allow the regional electricity market to develop gradually, in three phases enabling the national power systems to adapt flexibly and rationally in tune with their current organisational diversity. </w:t>
      </w:r>
    </w:p>
    <w:p w14:paraId="6D2496F2" w14:textId="082CB006" w:rsidR="00B56D37" w:rsidRPr="00316837" w:rsidRDefault="00B56D37" w:rsidP="00B56D37">
      <w:pPr>
        <w:suppressAutoHyphens w:val="0"/>
        <w:spacing w:before="120"/>
        <w:ind w:left="1134" w:hanging="1134"/>
        <w:rPr>
          <w:rFonts w:cs="Arial"/>
          <w:bCs/>
          <w:sz w:val="18"/>
          <w:szCs w:val="18"/>
        </w:rPr>
      </w:pPr>
      <w:bookmarkStart w:id="91" w:name="_Ref72162070"/>
      <w:bookmarkStart w:id="92" w:name="_Hlk72165068"/>
      <w:bookmarkStart w:id="93" w:name="_Toc77260243"/>
      <w:r w:rsidRPr="00316837">
        <w:rPr>
          <w:rFonts w:cs="Arial"/>
          <w:bCs/>
          <w:sz w:val="18"/>
          <w:szCs w:val="18"/>
        </w:rPr>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507C15">
        <w:rPr>
          <w:rFonts w:cs="Arial"/>
          <w:bCs/>
          <w:noProof/>
          <w:sz w:val="18"/>
          <w:szCs w:val="18"/>
        </w:rPr>
        <w:t>6</w:t>
      </w:r>
      <w:r w:rsidRPr="00316837">
        <w:rPr>
          <w:rFonts w:cs="Arial"/>
          <w:bCs/>
          <w:sz w:val="18"/>
          <w:szCs w:val="18"/>
        </w:rPr>
        <w:fldChar w:fldCharType="end"/>
      </w:r>
      <w:bookmarkEnd w:id="91"/>
      <w:r w:rsidRPr="00C632F6">
        <w:rPr>
          <w:rFonts w:cs="Arial"/>
          <w:bCs/>
          <w:sz w:val="18"/>
          <w:szCs w:val="18"/>
        </w:rPr>
        <w:t>: The ECOWAS Regional Electricity Market Roadmap</w:t>
      </w:r>
      <w:bookmarkEnd w:id="93"/>
    </w:p>
    <w:tbl>
      <w:tblPr>
        <w:tblStyle w:val="TableGrid"/>
        <w:tblW w:w="0" w:type="auto"/>
        <w:tblLook w:val="04A0" w:firstRow="1" w:lastRow="0" w:firstColumn="1" w:lastColumn="0" w:noHBand="0" w:noVBand="1"/>
      </w:tblPr>
      <w:tblGrid>
        <w:gridCol w:w="727"/>
        <w:gridCol w:w="1395"/>
        <w:gridCol w:w="1842"/>
        <w:gridCol w:w="5665"/>
      </w:tblGrid>
      <w:tr w:rsidR="00B56D37" w:rsidRPr="00316837" w14:paraId="40E00AE8" w14:textId="77777777" w:rsidTr="00B56D37">
        <w:tc>
          <w:tcPr>
            <w:tcW w:w="727" w:type="dxa"/>
          </w:tcPr>
          <w:bookmarkEnd w:id="92"/>
          <w:p w14:paraId="27175D1A" w14:textId="537C049F" w:rsidR="00B56D37" w:rsidRPr="00316837" w:rsidRDefault="00B56D37" w:rsidP="00B56D37">
            <w:pPr>
              <w:spacing w:before="120" w:after="120"/>
              <w:jc w:val="left"/>
              <w:rPr>
                <w:rFonts w:eastAsia="Calibri"/>
                <w:sz w:val="18"/>
                <w:szCs w:val="18"/>
              </w:rPr>
            </w:pPr>
            <w:r w:rsidRPr="00316837">
              <w:rPr>
                <w:rFonts w:eastAsia="Calibri"/>
                <w:sz w:val="18"/>
                <w:szCs w:val="18"/>
              </w:rPr>
              <w:t>Phase</w:t>
            </w:r>
          </w:p>
        </w:tc>
        <w:tc>
          <w:tcPr>
            <w:tcW w:w="1395" w:type="dxa"/>
          </w:tcPr>
          <w:p w14:paraId="465B69F0" w14:textId="58C5EA3C" w:rsidR="00B56D37" w:rsidRPr="00316837" w:rsidRDefault="00B56D37" w:rsidP="00B56D37">
            <w:pPr>
              <w:spacing w:before="120" w:after="120"/>
              <w:jc w:val="left"/>
              <w:rPr>
                <w:rFonts w:eastAsia="Calibri"/>
                <w:sz w:val="18"/>
                <w:szCs w:val="18"/>
              </w:rPr>
            </w:pPr>
            <w:r w:rsidRPr="00316837">
              <w:rPr>
                <w:rFonts w:eastAsia="Calibri"/>
                <w:sz w:val="18"/>
                <w:szCs w:val="18"/>
              </w:rPr>
              <w:t>Time domain</w:t>
            </w:r>
          </w:p>
        </w:tc>
        <w:tc>
          <w:tcPr>
            <w:tcW w:w="1842" w:type="dxa"/>
          </w:tcPr>
          <w:p w14:paraId="3BFBFE92" w14:textId="4B9BB5A8" w:rsidR="00B56D37" w:rsidRPr="00316837" w:rsidRDefault="00B56D37" w:rsidP="00B56D37">
            <w:pPr>
              <w:spacing w:before="120" w:after="120"/>
              <w:jc w:val="left"/>
              <w:rPr>
                <w:rFonts w:eastAsia="Calibri"/>
                <w:sz w:val="18"/>
                <w:szCs w:val="18"/>
              </w:rPr>
            </w:pPr>
            <w:r w:rsidRPr="00316837">
              <w:rPr>
                <w:rFonts w:eastAsia="Calibri"/>
                <w:sz w:val="18"/>
                <w:szCs w:val="18"/>
              </w:rPr>
              <w:t>Situation</w:t>
            </w:r>
          </w:p>
        </w:tc>
        <w:tc>
          <w:tcPr>
            <w:tcW w:w="5665" w:type="dxa"/>
          </w:tcPr>
          <w:p w14:paraId="4D61ED79" w14:textId="3A69614C" w:rsidR="00B56D37" w:rsidRPr="00316837" w:rsidRDefault="00B56D37" w:rsidP="00B56D37">
            <w:pPr>
              <w:spacing w:before="120" w:after="120"/>
              <w:jc w:val="left"/>
              <w:rPr>
                <w:rFonts w:eastAsia="Calibri"/>
                <w:sz w:val="18"/>
                <w:szCs w:val="18"/>
              </w:rPr>
            </w:pPr>
            <w:r w:rsidRPr="00316837">
              <w:rPr>
                <w:rFonts w:eastAsia="Calibri"/>
                <w:sz w:val="18"/>
                <w:szCs w:val="18"/>
              </w:rPr>
              <w:t>Main characteristics</w:t>
            </w:r>
          </w:p>
        </w:tc>
      </w:tr>
      <w:tr w:rsidR="00B56D37" w:rsidRPr="00316837" w14:paraId="0448F01C" w14:textId="77777777" w:rsidTr="00B56D37">
        <w:tc>
          <w:tcPr>
            <w:tcW w:w="727" w:type="dxa"/>
          </w:tcPr>
          <w:p w14:paraId="6E0F38DA" w14:textId="11FCAC32" w:rsidR="00B56D37" w:rsidRPr="00316837" w:rsidRDefault="00B56D37" w:rsidP="00B56D37">
            <w:pPr>
              <w:spacing w:before="120" w:after="120"/>
              <w:jc w:val="left"/>
              <w:rPr>
                <w:rFonts w:eastAsia="Calibri"/>
                <w:sz w:val="18"/>
                <w:szCs w:val="18"/>
              </w:rPr>
            </w:pPr>
            <w:r w:rsidRPr="00316837">
              <w:rPr>
                <w:rFonts w:eastAsia="Calibri"/>
                <w:sz w:val="18"/>
                <w:szCs w:val="18"/>
              </w:rPr>
              <w:t>1</w:t>
            </w:r>
          </w:p>
        </w:tc>
        <w:tc>
          <w:tcPr>
            <w:tcW w:w="1395" w:type="dxa"/>
          </w:tcPr>
          <w:p w14:paraId="7DA78EC4" w14:textId="77777777"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Today </w:t>
            </w:r>
          </w:p>
          <w:p w14:paraId="5904E37A" w14:textId="062878D9" w:rsidR="0044052B" w:rsidRPr="00316837" w:rsidRDefault="0044052B" w:rsidP="00B56D37">
            <w:pPr>
              <w:spacing w:before="120" w:after="120"/>
              <w:jc w:val="left"/>
              <w:rPr>
                <w:rFonts w:eastAsia="Calibri"/>
                <w:sz w:val="18"/>
                <w:szCs w:val="18"/>
              </w:rPr>
            </w:pPr>
            <w:r w:rsidRPr="00316837">
              <w:rPr>
                <w:rFonts w:eastAsia="Calibri"/>
                <w:sz w:val="18"/>
                <w:szCs w:val="18"/>
              </w:rPr>
              <w:t>2018-2022</w:t>
            </w:r>
            <w:r w:rsidR="001D4932" w:rsidRPr="00316837">
              <w:rPr>
                <w:rFonts w:eastAsia="Calibri"/>
                <w:sz w:val="18"/>
                <w:szCs w:val="18"/>
              </w:rPr>
              <w:t xml:space="preserve"> </w:t>
            </w:r>
          </w:p>
        </w:tc>
        <w:tc>
          <w:tcPr>
            <w:tcW w:w="1842" w:type="dxa"/>
          </w:tcPr>
          <w:p w14:paraId="0E12D68C" w14:textId="77777777" w:rsidR="00B56D37" w:rsidRPr="00316837" w:rsidRDefault="007F0F98" w:rsidP="00B56D37">
            <w:pPr>
              <w:spacing w:before="120" w:after="120"/>
              <w:jc w:val="left"/>
              <w:rPr>
                <w:rFonts w:eastAsia="Calibri"/>
                <w:sz w:val="18"/>
                <w:szCs w:val="18"/>
              </w:rPr>
            </w:pPr>
            <w:r w:rsidRPr="00316837">
              <w:rPr>
                <w:rFonts w:eastAsia="Calibri"/>
                <w:sz w:val="18"/>
                <w:szCs w:val="18"/>
              </w:rPr>
              <w:t>In Phase 1, s</w:t>
            </w:r>
            <w:r w:rsidR="00B56D37" w:rsidRPr="00316837">
              <w:rPr>
                <w:rFonts w:eastAsia="Calibri"/>
                <w:sz w:val="18"/>
                <w:szCs w:val="18"/>
              </w:rPr>
              <w:t xml:space="preserve">ome regional transmission infrastructure necessary for the integrated regional electricity market are expected to be commissioned. </w:t>
            </w:r>
          </w:p>
          <w:p w14:paraId="2B97A8E5" w14:textId="59B0D0C2" w:rsidR="009F5BD9" w:rsidRPr="00316837" w:rsidRDefault="009F5BD9" w:rsidP="00B56D37">
            <w:pPr>
              <w:spacing w:before="120" w:after="120"/>
              <w:jc w:val="left"/>
              <w:rPr>
                <w:rFonts w:eastAsia="Calibri"/>
                <w:sz w:val="18"/>
                <w:szCs w:val="18"/>
              </w:rPr>
            </w:pPr>
            <w:r w:rsidRPr="00316837">
              <w:rPr>
                <w:rFonts w:eastAsia="Calibri"/>
                <w:sz w:val="18"/>
                <w:szCs w:val="18"/>
              </w:rPr>
              <w:t>Most transactions actually happen between adjacent countries.</w:t>
            </w:r>
            <w:r w:rsidR="001D4932" w:rsidRPr="00316837">
              <w:rPr>
                <w:rFonts w:eastAsia="Calibri"/>
                <w:sz w:val="18"/>
                <w:szCs w:val="18"/>
              </w:rPr>
              <w:t xml:space="preserve"> </w:t>
            </w:r>
          </w:p>
        </w:tc>
        <w:tc>
          <w:tcPr>
            <w:tcW w:w="5665" w:type="dxa"/>
          </w:tcPr>
          <w:p w14:paraId="3A96100A" w14:textId="23B5A093"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Regional Regulator (ERERA) and </w:t>
            </w:r>
            <w:r w:rsidR="00533C25" w:rsidRPr="00316837">
              <w:rPr>
                <w:rFonts w:eastAsia="Calibri"/>
                <w:sz w:val="18"/>
                <w:szCs w:val="18"/>
              </w:rPr>
              <w:t>the RSMO</w:t>
            </w:r>
            <w:r w:rsidRPr="00316837">
              <w:rPr>
                <w:rFonts w:eastAsia="Calibri"/>
                <w:sz w:val="18"/>
                <w:szCs w:val="18"/>
              </w:rPr>
              <w:t xml:space="preserve"> (the Information and Coordination Centre) are appointed. </w:t>
            </w:r>
          </w:p>
          <w:p w14:paraId="29F23084" w14:textId="5709E93E" w:rsidR="00B56D37" w:rsidRPr="00316837" w:rsidRDefault="00B56D37" w:rsidP="00B56D37">
            <w:pPr>
              <w:spacing w:before="120" w:after="120"/>
              <w:jc w:val="left"/>
              <w:rPr>
                <w:rFonts w:eastAsia="Calibri"/>
                <w:sz w:val="18"/>
                <w:szCs w:val="18"/>
              </w:rPr>
            </w:pPr>
            <w:r w:rsidRPr="00316837">
              <w:rPr>
                <w:rFonts w:eastAsia="Calibri"/>
                <w:sz w:val="18"/>
                <w:szCs w:val="18"/>
              </w:rPr>
              <w:t>The Regional Market Rules, the Dispute Resolution Rules and other market governance documents are adopted.</w:t>
            </w:r>
            <w:r w:rsidR="001D4932" w:rsidRPr="00316837">
              <w:rPr>
                <w:rFonts w:eastAsia="Calibri"/>
                <w:sz w:val="18"/>
                <w:szCs w:val="18"/>
              </w:rPr>
              <w:t xml:space="preserve"> </w:t>
            </w:r>
          </w:p>
          <w:p w14:paraId="76E0C4DA" w14:textId="6F457798" w:rsidR="00B56D37" w:rsidRPr="00316837" w:rsidRDefault="00B56D37" w:rsidP="00B56D37">
            <w:pPr>
              <w:spacing w:before="120" w:after="120"/>
              <w:jc w:val="left"/>
              <w:rPr>
                <w:rFonts w:eastAsia="Calibri"/>
                <w:sz w:val="18"/>
                <w:szCs w:val="18"/>
              </w:rPr>
            </w:pPr>
            <w:r w:rsidRPr="00316837">
              <w:rPr>
                <w:rFonts w:eastAsia="Calibri"/>
                <w:sz w:val="18"/>
                <w:szCs w:val="18"/>
              </w:rPr>
              <w:t>The regional electricity market is a bilateral market where bilateral trading is realised on the basis of bilateral contracts</w:t>
            </w:r>
            <w:r w:rsidRPr="00316837">
              <w:t xml:space="preserve"> </w:t>
            </w:r>
            <w:r w:rsidRPr="00316837">
              <w:rPr>
                <w:rFonts w:eastAsia="Calibri"/>
                <w:sz w:val="18"/>
                <w:szCs w:val="18"/>
              </w:rPr>
              <w:t xml:space="preserve">on purchase and sale of electricity. </w:t>
            </w:r>
            <w:r w:rsidR="0044052B" w:rsidRPr="00316837">
              <w:rPr>
                <w:rFonts w:eastAsia="Calibri"/>
                <w:sz w:val="18"/>
                <w:szCs w:val="18"/>
              </w:rPr>
              <w:t>Traditional PPAs still exist.</w:t>
            </w:r>
            <w:r w:rsidR="001D4932" w:rsidRPr="00316837">
              <w:rPr>
                <w:rFonts w:eastAsia="Calibri"/>
                <w:sz w:val="18"/>
                <w:szCs w:val="18"/>
              </w:rPr>
              <w:t xml:space="preserve"> </w:t>
            </w:r>
          </w:p>
          <w:p w14:paraId="4B3C0C79" w14:textId="1EDC2B96" w:rsidR="00B56D37" w:rsidRPr="00316837" w:rsidRDefault="00B56D37" w:rsidP="00B56D37">
            <w:pPr>
              <w:spacing w:before="120" w:after="120"/>
              <w:jc w:val="left"/>
              <w:rPr>
                <w:rFonts w:eastAsia="Calibri"/>
                <w:sz w:val="18"/>
                <w:szCs w:val="18"/>
              </w:rPr>
            </w:pPr>
            <w:r w:rsidRPr="00316837">
              <w:rPr>
                <w:rFonts w:eastAsia="Calibri"/>
                <w:sz w:val="18"/>
                <w:szCs w:val="18"/>
              </w:rPr>
              <w:t>Bilateral trading is formalised as the one that is carried out on a “case by case” basis.</w:t>
            </w:r>
            <w:r w:rsidR="0044052B" w:rsidRPr="00316837">
              <w:rPr>
                <w:rFonts w:eastAsia="Calibri"/>
                <w:sz w:val="18"/>
                <w:szCs w:val="18"/>
              </w:rPr>
              <w:t xml:space="preserve"> Pricing formula is based on two terms (capacity and energy). </w:t>
            </w:r>
          </w:p>
          <w:p w14:paraId="690F0605" w14:textId="6131A8FA"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Bilateral contracts (between countries, between national companies) are standardised through approved model contracts for trade in the short-, medium- and long-term. Commercial instruments (type of bilateral contracts, short-term exchanges) are standardised. </w:t>
            </w:r>
          </w:p>
          <w:p w14:paraId="0066EE2C" w14:textId="57F7F69A" w:rsidR="00B56D37" w:rsidRPr="00316837" w:rsidRDefault="00B56D37" w:rsidP="00B56D37">
            <w:pPr>
              <w:spacing w:before="120" w:after="120"/>
              <w:jc w:val="left"/>
              <w:rPr>
                <w:rFonts w:eastAsia="Calibri"/>
                <w:sz w:val="18"/>
                <w:szCs w:val="18"/>
              </w:rPr>
            </w:pPr>
            <w:r w:rsidRPr="00316837">
              <w:rPr>
                <w:rFonts w:eastAsia="Calibri"/>
                <w:sz w:val="18"/>
                <w:szCs w:val="18"/>
              </w:rPr>
              <w:lastRenderedPageBreak/>
              <w:t xml:space="preserve">Pricing for transmission services is bilaterally agreed between trading parties, i.e. between parties involved in a bilateral contract for existing contracts. </w:t>
            </w:r>
          </w:p>
          <w:p w14:paraId="5EBC43EA" w14:textId="767699EC" w:rsidR="009F5BD9" w:rsidRPr="00316837" w:rsidRDefault="009F5BD9" w:rsidP="00B56D37">
            <w:pPr>
              <w:spacing w:before="120" w:after="120"/>
              <w:jc w:val="left"/>
              <w:rPr>
                <w:rFonts w:eastAsia="Calibri"/>
                <w:sz w:val="18"/>
                <w:szCs w:val="18"/>
              </w:rPr>
            </w:pPr>
            <w:r w:rsidRPr="00316837">
              <w:rPr>
                <w:rFonts w:eastAsia="Calibri"/>
                <w:sz w:val="18"/>
                <w:szCs w:val="18"/>
              </w:rPr>
              <w:t xml:space="preserve">Although the short-term bilateral contracts are limited to adjacent countries, this does not preclude transactions involving transit countries. In such case, contractual parties have to incorporate and negotiate with the third country providing the wheeling services the admitted losses and the fee for wheeling. </w:t>
            </w:r>
          </w:p>
          <w:p w14:paraId="07CBC73C" w14:textId="37BE44F8"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The regional operational and commercial coordination is initiated. </w:t>
            </w:r>
          </w:p>
          <w:p w14:paraId="74373068" w14:textId="29980257"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Preparation for Phase 2 are performed. </w:t>
            </w:r>
          </w:p>
        </w:tc>
      </w:tr>
      <w:tr w:rsidR="00B56D37" w:rsidRPr="00316837" w14:paraId="512CE9C5" w14:textId="77777777" w:rsidTr="00B56D37">
        <w:tc>
          <w:tcPr>
            <w:tcW w:w="727" w:type="dxa"/>
          </w:tcPr>
          <w:p w14:paraId="7D300C0E" w14:textId="7115C236" w:rsidR="00B56D37" w:rsidRPr="00316837" w:rsidRDefault="00B56D37" w:rsidP="00B56D37">
            <w:pPr>
              <w:spacing w:before="120" w:after="120"/>
              <w:jc w:val="left"/>
              <w:rPr>
                <w:rFonts w:eastAsia="Calibri"/>
                <w:sz w:val="18"/>
                <w:szCs w:val="18"/>
              </w:rPr>
            </w:pPr>
            <w:r w:rsidRPr="00316837">
              <w:rPr>
                <w:rFonts w:eastAsia="Calibri"/>
                <w:sz w:val="18"/>
                <w:szCs w:val="18"/>
              </w:rPr>
              <w:lastRenderedPageBreak/>
              <w:t>2</w:t>
            </w:r>
          </w:p>
        </w:tc>
        <w:tc>
          <w:tcPr>
            <w:tcW w:w="1395" w:type="dxa"/>
          </w:tcPr>
          <w:p w14:paraId="7BFA9C95" w14:textId="3EA61447" w:rsidR="00B56D37" w:rsidRPr="00316837" w:rsidRDefault="00B56D37" w:rsidP="00B56D37">
            <w:pPr>
              <w:spacing w:before="120" w:after="120"/>
              <w:jc w:val="left"/>
              <w:rPr>
                <w:rFonts w:eastAsia="Calibri"/>
                <w:sz w:val="18"/>
                <w:szCs w:val="18"/>
              </w:rPr>
            </w:pPr>
            <w:r w:rsidRPr="00316837">
              <w:rPr>
                <w:rFonts w:eastAsia="Calibri"/>
                <w:sz w:val="18"/>
                <w:szCs w:val="18"/>
              </w:rPr>
              <w:t>Short-term</w:t>
            </w:r>
            <w:r w:rsidR="001D4932" w:rsidRPr="00316837">
              <w:rPr>
                <w:rFonts w:eastAsia="Calibri"/>
                <w:sz w:val="18"/>
                <w:szCs w:val="18"/>
              </w:rPr>
              <w:t xml:space="preserve"> </w:t>
            </w:r>
          </w:p>
          <w:p w14:paraId="374B6388" w14:textId="3245E670" w:rsidR="0044052B" w:rsidRPr="00316837" w:rsidRDefault="0044052B" w:rsidP="00B56D37">
            <w:pPr>
              <w:spacing w:before="120" w:after="120"/>
              <w:jc w:val="left"/>
              <w:rPr>
                <w:rFonts w:eastAsia="Calibri"/>
                <w:sz w:val="18"/>
                <w:szCs w:val="18"/>
              </w:rPr>
            </w:pPr>
            <w:r w:rsidRPr="00316837">
              <w:rPr>
                <w:rFonts w:eastAsia="Calibri"/>
                <w:sz w:val="18"/>
                <w:szCs w:val="18"/>
              </w:rPr>
              <w:t>2022+</w:t>
            </w:r>
            <w:r w:rsidR="001D4932" w:rsidRPr="00316837">
              <w:rPr>
                <w:rFonts w:eastAsia="Calibri"/>
                <w:sz w:val="18"/>
                <w:szCs w:val="18"/>
              </w:rPr>
              <w:t xml:space="preserve"> </w:t>
            </w:r>
          </w:p>
        </w:tc>
        <w:tc>
          <w:tcPr>
            <w:tcW w:w="1842" w:type="dxa"/>
          </w:tcPr>
          <w:p w14:paraId="53FF777B" w14:textId="77777777"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Phase 2 will be launched upon successful realisation of Phase 1 and based on preparations performed therein. </w:t>
            </w:r>
          </w:p>
          <w:p w14:paraId="6236285A" w14:textId="4E75AAC8"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Real competition will be introduced in the regional electricity market through operationalisation of the day-ahead market. </w:t>
            </w:r>
          </w:p>
        </w:tc>
        <w:tc>
          <w:tcPr>
            <w:tcW w:w="5665" w:type="dxa"/>
          </w:tcPr>
          <w:p w14:paraId="3A412CD5" w14:textId="0464CD7A"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Bilateral </w:t>
            </w:r>
            <w:r w:rsidR="0044052B" w:rsidRPr="00316837">
              <w:rPr>
                <w:rFonts w:eastAsia="Calibri"/>
                <w:sz w:val="18"/>
                <w:szCs w:val="18"/>
              </w:rPr>
              <w:t>contracts</w:t>
            </w:r>
            <w:r w:rsidRPr="00316837">
              <w:rPr>
                <w:rFonts w:eastAsia="Calibri"/>
                <w:sz w:val="18"/>
                <w:szCs w:val="18"/>
              </w:rPr>
              <w:t xml:space="preserve"> </w:t>
            </w:r>
            <w:r w:rsidR="0044052B" w:rsidRPr="00316837">
              <w:rPr>
                <w:rFonts w:eastAsia="Calibri"/>
                <w:sz w:val="18"/>
                <w:szCs w:val="18"/>
              </w:rPr>
              <w:t>will be allowed between neighbouring countries and between non-bordering ones (</w:t>
            </w:r>
            <w:r w:rsidRPr="00316837">
              <w:rPr>
                <w:rFonts w:eastAsia="Calibri"/>
                <w:sz w:val="18"/>
                <w:szCs w:val="18"/>
              </w:rPr>
              <w:t>with transit through third countries</w:t>
            </w:r>
            <w:r w:rsidR="0044052B" w:rsidRPr="00316837">
              <w:rPr>
                <w:rFonts w:eastAsia="Calibri"/>
                <w:sz w:val="18"/>
                <w:szCs w:val="18"/>
              </w:rPr>
              <w:t>)</w:t>
            </w:r>
            <w:r w:rsidRPr="00316837">
              <w:rPr>
                <w:rFonts w:eastAsia="Calibri"/>
                <w:sz w:val="18"/>
                <w:szCs w:val="18"/>
              </w:rPr>
              <w:t>, based on standard commercial instruments.</w:t>
            </w:r>
            <w:r w:rsidR="0044052B" w:rsidRPr="00316837">
              <w:rPr>
                <w:rFonts w:eastAsia="Calibri"/>
                <w:sz w:val="18"/>
                <w:szCs w:val="18"/>
              </w:rPr>
              <w:t xml:space="preserve"> Traditional PPAs will still exist.</w:t>
            </w:r>
            <w:r w:rsidR="001D4932" w:rsidRPr="00316837">
              <w:rPr>
                <w:rFonts w:eastAsia="Calibri"/>
                <w:sz w:val="18"/>
                <w:szCs w:val="18"/>
              </w:rPr>
              <w:t xml:space="preserve"> </w:t>
            </w:r>
          </w:p>
          <w:p w14:paraId="7161B886" w14:textId="285E4923"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Back up of contracts in the market (possibility) will be enabled. </w:t>
            </w:r>
          </w:p>
          <w:p w14:paraId="4CF0E204" w14:textId="6483337D" w:rsidR="00B56D37" w:rsidRPr="00316837" w:rsidRDefault="00B56D37" w:rsidP="00B56D37">
            <w:pPr>
              <w:spacing w:before="120" w:after="120"/>
              <w:jc w:val="left"/>
              <w:rPr>
                <w:rFonts w:eastAsia="Calibri"/>
                <w:sz w:val="18"/>
                <w:szCs w:val="18"/>
              </w:rPr>
            </w:pPr>
            <w:r w:rsidRPr="00316837">
              <w:rPr>
                <w:rFonts w:eastAsia="Calibri"/>
                <w:sz w:val="18"/>
                <w:szCs w:val="18"/>
              </w:rPr>
              <w:t>Short-term exchanges will be enabled through the competitive trading in the day-ahead market</w:t>
            </w:r>
            <w:r w:rsidR="0044052B" w:rsidRPr="00316837">
              <w:rPr>
                <w:rFonts w:eastAsia="Calibri"/>
                <w:sz w:val="18"/>
                <w:szCs w:val="18"/>
              </w:rPr>
              <w:t xml:space="preserve"> (or the spot market)</w:t>
            </w:r>
            <w:r w:rsidRPr="00316837">
              <w:rPr>
                <w:rFonts w:eastAsia="Calibri"/>
                <w:sz w:val="18"/>
                <w:szCs w:val="18"/>
              </w:rPr>
              <w:t xml:space="preserve">. </w:t>
            </w:r>
          </w:p>
          <w:p w14:paraId="3F85A33C" w14:textId="77777777"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Regional transmission pricing for cross-border electricity trading will be deployed and implemented. </w:t>
            </w:r>
          </w:p>
          <w:p w14:paraId="501B9EAD" w14:textId="2A2B6117" w:rsidR="00B56D37" w:rsidRPr="00316837" w:rsidRDefault="00B56D37" w:rsidP="00B56D37">
            <w:pPr>
              <w:spacing w:before="120" w:after="120"/>
              <w:jc w:val="left"/>
              <w:rPr>
                <w:rFonts w:eastAsia="Calibri"/>
                <w:sz w:val="18"/>
                <w:szCs w:val="18"/>
              </w:rPr>
            </w:pPr>
            <w:r w:rsidRPr="00316837">
              <w:rPr>
                <w:rFonts w:eastAsia="Calibri"/>
                <w:sz w:val="18"/>
                <w:szCs w:val="18"/>
              </w:rPr>
              <w:t>For new bilateral contracts, pricing for transmission services will be governed by the Regional Transmission Pricing Methodology, already approved by ERERA. WAPP has developed internally the MW mile method for transmission pricing model in line with the Methodology.</w:t>
            </w:r>
            <w:r w:rsidR="001D4932" w:rsidRPr="00316837">
              <w:rPr>
                <w:rFonts w:eastAsia="Calibri"/>
                <w:sz w:val="18"/>
                <w:szCs w:val="18"/>
              </w:rPr>
              <w:t xml:space="preserve"> </w:t>
            </w:r>
          </w:p>
          <w:p w14:paraId="52B6FDA1" w14:textId="206EE217"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Regional Regulator </w:t>
            </w:r>
            <w:r w:rsidR="00533C25" w:rsidRPr="00316837">
              <w:rPr>
                <w:rFonts w:eastAsia="Calibri"/>
                <w:sz w:val="18"/>
                <w:szCs w:val="18"/>
              </w:rPr>
              <w:t xml:space="preserve">(ERERA) </w:t>
            </w:r>
            <w:r w:rsidRPr="00316837">
              <w:rPr>
                <w:rFonts w:eastAsia="Calibri"/>
                <w:sz w:val="18"/>
                <w:szCs w:val="18"/>
              </w:rPr>
              <w:t xml:space="preserve">and </w:t>
            </w:r>
            <w:r w:rsidR="00533C25" w:rsidRPr="00316837">
              <w:rPr>
                <w:rFonts w:eastAsia="Calibri"/>
                <w:sz w:val="18"/>
                <w:szCs w:val="18"/>
              </w:rPr>
              <w:t>the RSMO</w:t>
            </w:r>
            <w:r w:rsidRPr="00316837">
              <w:rPr>
                <w:rFonts w:eastAsia="Calibri"/>
                <w:sz w:val="18"/>
                <w:szCs w:val="18"/>
              </w:rPr>
              <w:t xml:space="preserve"> will be fully functioning. </w:t>
            </w:r>
          </w:p>
        </w:tc>
      </w:tr>
      <w:tr w:rsidR="00B56D37" w:rsidRPr="00316837" w14:paraId="244E9F31" w14:textId="77777777" w:rsidTr="00B56D37">
        <w:tc>
          <w:tcPr>
            <w:tcW w:w="727" w:type="dxa"/>
          </w:tcPr>
          <w:p w14:paraId="43111411" w14:textId="6AC8883A" w:rsidR="00B56D37" w:rsidRPr="00316837" w:rsidRDefault="00B56D37" w:rsidP="00B56D37">
            <w:pPr>
              <w:spacing w:before="120" w:after="120"/>
              <w:jc w:val="left"/>
              <w:rPr>
                <w:rFonts w:eastAsia="Calibri"/>
                <w:sz w:val="18"/>
                <w:szCs w:val="18"/>
              </w:rPr>
            </w:pPr>
            <w:r w:rsidRPr="00316837">
              <w:rPr>
                <w:rFonts w:eastAsia="Calibri"/>
                <w:sz w:val="18"/>
                <w:szCs w:val="18"/>
              </w:rPr>
              <w:t>3</w:t>
            </w:r>
          </w:p>
        </w:tc>
        <w:tc>
          <w:tcPr>
            <w:tcW w:w="1395" w:type="dxa"/>
          </w:tcPr>
          <w:p w14:paraId="013BA06E" w14:textId="47646223" w:rsidR="00B56D37" w:rsidRPr="00316837" w:rsidRDefault="00B56D37" w:rsidP="00B56D37">
            <w:pPr>
              <w:spacing w:before="120" w:after="120"/>
              <w:jc w:val="left"/>
              <w:rPr>
                <w:rFonts w:eastAsia="Calibri"/>
                <w:sz w:val="18"/>
                <w:szCs w:val="18"/>
              </w:rPr>
            </w:pPr>
            <w:r w:rsidRPr="00316837">
              <w:rPr>
                <w:rFonts w:eastAsia="Calibri"/>
                <w:sz w:val="18"/>
                <w:szCs w:val="18"/>
              </w:rPr>
              <w:t>Long-term</w:t>
            </w:r>
          </w:p>
        </w:tc>
        <w:tc>
          <w:tcPr>
            <w:tcW w:w="1842" w:type="dxa"/>
          </w:tcPr>
          <w:p w14:paraId="67863DAD" w14:textId="263AACC9" w:rsidR="00B56D37" w:rsidRPr="00316837" w:rsidRDefault="007F0F98" w:rsidP="00B56D37">
            <w:pPr>
              <w:spacing w:before="120" w:after="120"/>
              <w:jc w:val="left"/>
              <w:rPr>
                <w:rFonts w:eastAsia="Calibri"/>
                <w:sz w:val="18"/>
                <w:szCs w:val="18"/>
              </w:rPr>
            </w:pPr>
            <w:r w:rsidRPr="00316837">
              <w:rPr>
                <w:rFonts w:eastAsia="Calibri"/>
                <w:sz w:val="18"/>
                <w:szCs w:val="18"/>
              </w:rPr>
              <w:t>In Phase 3, t</w:t>
            </w:r>
            <w:r w:rsidR="00B56D37" w:rsidRPr="00316837">
              <w:rPr>
                <w:rFonts w:eastAsia="Calibri"/>
                <w:sz w:val="18"/>
                <w:szCs w:val="18"/>
              </w:rPr>
              <w:t xml:space="preserve">he day-ahead market will be liquid, trade in the bilateral market will be dynamic, and other markets such as the ancillary services and financial products markets will be introduced. </w:t>
            </w:r>
          </w:p>
        </w:tc>
        <w:tc>
          <w:tcPr>
            <w:tcW w:w="5665" w:type="dxa"/>
          </w:tcPr>
          <w:p w14:paraId="5FBFFBE2" w14:textId="5D3889CB" w:rsidR="00B56D37" w:rsidRPr="00316837" w:rsidRDefault="00B56D37" w:rsidP="00B56D37">
            <w:pPr>
              <w:spacing w:before="120" w:after="120"/>
              <w:jc w:val="left"/>
              <w:rPr>
                <w:rFonts w:eastAsia="Calibri"/>
                <w:sz w:val="18"/>
                <w:szCs w:val="18"/>
              </w:rPr>
            </w:pPr>
            <w:r w:rsidRPr="00316837">
              <w:rPr>
                <w:rFonts w:eastAsia="Calibri"/>
                <w:sz w:val="18"/>
                <w:szCs w:val="18"/>
              </w:rPr>
              <w:t>The Western Africa Region will have enough generation and transmission capacity.</w:t>
            </w:r>
            <w:r w:rsidR="001D4932" w:rsidRPr="00316837">
              <w:rPr>
                <w:rFonts w:eastAsia="Calibri"/>
                <w:sz w:val="18"/>
                <w:szCs w:val="18"/>
              </w:rPr>
              <w:t xml:space="preserve"> </w:t>
            </w:r>
          </w:p>
          <w:p w14:paraId="1A0FBB02" w14:textId="3D11DA2D" w:rsidR="0044052B" w:rsidRPr="00316837" w:rsidRDefault="0044052B" w:rsidP="00B56D37">
            <w:pPr>
              <w:spacing w:before="120" w:after="120"/>
              <w:jc w:val="left"/>
              <w:rPr>
                <w:rFonts w:eastAsia="Calibri"/>
                <w:sz w:val="18"/>
                <w:szCs w:val="18"/>
              </w:rPr>
            </w:pPr>
            <w:r w:rsidRPr="00316837">
              <w:rPr>
                <w:rFonts w:eastAsia="Calibri"/>
                <w:sz w:val="18"/>
                <w:szCs w:val="18"/>
              </w:rPr>
              <w:t xml:space="preserve">The market will be fully open and competitive. </w:t>
            </w:r>
          </w:p>
          <w:p w14:paraId="632F0908" w14:textId="5D0B13CD" w:rsidR="00B56D37" w:rsidRPr="00316837" w:rsidRDefault="00B56D37" w:rsidP="00B56D37">
            <w:pPr>
              <w:spacing w:before="120" w:after="120"/>
              <w:jc w:val="left"/>
              <w:rPr>
                <w:rFonts w:eastAsia="Calibri"/>
                <w:sz w:val="18"/>
                <w:szCs w:val="18"/>
              </w:rPr>
            </w:pPr>
            <w:r w:rsidRPr="00316837">
              <w:rPr>
                <w:rFonts w:eastAsia="Calibri"/>
                <w:sz w:val="18"/>
                <w:szCs w:val="18"/>
              </w:rPr>
              <w:t>Trading in the bilateral market and the day-ahead market will be dynamic.</w:t>
            </w:r>
            <w:r w:rsidR="001D4932" w:rsidRPr="00316837">
              <w:rPr>
                <w:rFonts w:eastAsia="Calibri"/>
                <w:sz w:val="18"/>
                <w:szCs w:val="18"/>
              </w:rPr>
              <w:t xml:space="preserve"> </w:t>
            </w:r>
          </w:p>
          <w:p w14:paraId="1E7A6262" w14:textId="41F12A63" w:rsidR="00B56D37" w:rsidRPr="00316837" w:rsidRDefault="00B56D37" w:rsidP="00B56D37">
            <w:pPr>
              <w:spacing w:before="120" w:after="120"/>
              <w:jc w:val="left"/>
              <w:rPr>
                <w:rFonts w:eastAsia="Calibri"/>
                <w:sz w:val="18"/>
                <w:szCs w:val="18"/>
              </w:rPr>
            </w:pPr>
            <w:r w:rsidRPr="00316837">
              <w:rPr>
                <w:rFonts w:eastAsia="Calibri"/>
                <w:sz w:val="18"/>
                <w:szCs w:val="18"/>
              </w:rPr>
              <w:t xml:space="preserve">New market services (some ancillary services, financial products) will be introduced. </w:t>
            </w:r>
          </w:p>
          <w:p w14:paraId="581D0159" w14:textId="1E01A2FC" w:rsidR="00B56D37" w:rsidRPr="00316837" w:rsidRDefault="00B56D37" w:rsidP="00B56D37">
            <w:pPr>
              <w:spacing w:before="120" w:after="120"/>
              <w:jc w:val="left"/>
              <w:rPr>
                <w:rFonts w:eastAsia="Calibri"/>
                <w:sz w:val="18"/>
                <w:szCs w:val="18"/>
              </w:rPr>
            </w:pPr>
            <w:r w:rsidRPr="00316837">
              <w:rPr>
                <w:rFonts w:eastAsia="Calibri"/>
                <w:sz w:val="18"/>
                <w:szCs w:val="18"/>
              </w:rPr>
              <w:t>Regional master planning regarding transmission assets will be enforceable; in other words, countries will be “obliged” to implement certain transmission projects identified by the approved Masterplan.</w:t>
            </w:r>
          </w:p>
          <w:p w14:paraId="23F90C03" w14:textId="0D037E43" w:rsidR="00B56D37" w:rsidRPr="00316837" w:rsidRDefault="00B56D37" w:rsidP="00B56D37">
            <w:pPr>
              <w:spacing w:before="120" w:after="120"/>
              <w:jc w:val="left"/>
              <w:rPr>
                <w:rFonts w:eastAsia="Calibri"/>
                <w:sz w:val="18"/>
                <w:szCs w:val="18"/>
              </w:rPr>
            </w:pPr>
            <w:r w:rsidRPr="00316837">
              <w:rPr>
                <w:rFonts w:eastAsia="Calibri"/>
                <w:sz w:val="18"/>
                <w:szCs w:val="18"/>
              </w:rPr>
              <w:t>The Western Africa Region will have enough participants in the market making it very competitive with less risk of a monopolistic market.</w:t>
            </w:r>
            <w:r w:rsidR="001D4932" w:rsidRPr="00316837">
              <w:rPr>
                <w:rFonts w:eastAsia="Calibri"/>
                <w:sz w:val="18"/>
                <w:szCs w:val="18"/>
              </w:rPr>
              <w:t xml:space="preserve"> </w:t>
            </w:r>
          </w:p>
        </w:tc>
      </w:tr>
    </w:tbl>
    <w:p w14:paraId="7C2220A8" w14:textId="7A332151" w:rsidR="00DD7BEA" w:rsidRPr="00316837" w:rsidRDefault="00B56D37" w:rsidP="0068151A">
      <w:pPr>
        <w:rPr>
          <w:rFonts w:eastAsia="Calibri"/>
          <w:szCs w:val="20"/>
        </w:rPr>
      </w:pPr>
      <w:r w:rsidRPr="00316837">
        <w:rPr>
          <w:rFonts w:eastAsia="Calibri"/>
          <w:szCs w:val="22"/>
        </w:rPr>
        <w:t>Phase 1 of the regional electricity market was formally launched in June 201</w:t>
      </w:r>
      <w:r w:rsidR="00A5427F" w:rsidRPr="00316837">
        <w:rPr>
          <w:rFonts w:eastAsia="Calibri"/>
          <w:szCs w:val="22"/>
        </w:rPr>
        <w:t>8</w:t>
      </w:r>
      <w:r w:rsidRPr="00316837">
        <w:rPr>
          <w:rFonts w:eastAsia="Calibri"/>
          <w:szCs w:val="22"/>
        </w:rPr>
        <w:t>, after a</w:t>
      </w:r>
      <w:r w:rsidR="0068151A" w:rsidRPr="00316837">
        <w:rPr>
          <w:rFonts w:eastAsia="Calibri"/>
          <w:szCs w:val="22"/>
        </w:rPr>
        <w:t xml:space="preserve">ll conditions precedent </w:t>
      </w:r>
      <w:r w:rsidR="00A5427F" w:rsidRPr="00316837">
        <w:rPr>
          <w:rFonts w:eastAsia="Calibri"/>
          <w:szCs w:val="22"/>
        </w:rPr>
        <w:t xml:space="preserve">are met </w:t>
      </w:r>
      <w:r w:rsidR="0068151A" w:rsidRPr="00316837">
        <w:rPr>
          <w:rFonts w:eastAsia="Calibri"/>
          <w:szCs w:val="22"/>
        </w:rPr>
        <w:t xml:space="preserve">for Phase 1. </w:t>
      </w:r>
      <w:r w:rsidR="00DD7BEA" w:rsidRPr="00316837">
        <w:rPr>
          <w:rFonts w:eastAsia="Calibri"/>
          <w:szCs w:val="22"/>
        </w:rPr>
        <w:t>In the c</w:t>
      </w:r>
      <w:r w:rsidR="00454E40" w:rsidRPr="00316837">
        <w:rPr>
          <w:rFonts w:eastAsia="Calibri"/>
          <w:szCs w:val="22"/>
        </w:rPr>
        <w:t xml:space="preserve">urrent situation </w:t>
      </w:r>
      <w:r w:rsidR="0068151A" w:rsidRPr="00316837">
        <w:rPr>
          <w:rFonts w:eastAsia="Calibri"/>
          <w:szCs w:val="22"/>
        </w:rPr>
        <w:t>(</w:t>
      </w:r>
      <w:r w:rsidR="00A46BF5" w:rsidRPr="00316837">
        <w:rPr>
          <w:rFonts w:eastAsia="Calibri"/>
          <w:szCs w:val="22"/>
        </w:rPr>
        <w:t xml:space="preserve">May 2021, </w:t>
      </w:r>
      <w:r w:rsidR="00E55408" w:rsidRPr="00316837">
        <w:rPr>
          <w:rFonts w:eastAsia="Calibri"/>
          <w:szCs w:val="22"/>
        </w:rPr>
        <w:t xml:space="preserve">toward </w:t>
      </w:r>
      <w:r w:rsidR="0068151A" w:rsidRPr="00316837">
        <w:rPr>
          <w:rFonts w:eastAsia="Calibri"/>
          <w:szCs w:val="22"/>
        </w:rPr>
        <w:t xml:space="preserve">the end of </w:t>
      </w:r>
      <w:r w:rsidR="004E7103" w:rsidRPr="00316837">
        <w:rPr>
          <w:rFonts w:eastAsia="Calibri"/>
          <w:szCs w:val="22"/>
        </w:rPr>
        <w:t>P</w:t>
      </w:r>
      <w:r w:rsidR="0068151A" w:rsidRPr="00316837">
        <w:rPr>
          <w:rFonts w:eastAsia="Calibri"/>
          <w:szCs w:val="22"/>
        </w:rPr>
        <w:t>hase 1)</w:t>
      </w:r>
      <w:r w:rsidR="00DD7BEA" w:rsidRPr="00316837">
        <w:rPr>
          <w:rFonts w:eastAsia="Calibri"/>
          <w:szCs w:val="22"/>
        </w:rPr>
        <w:t xml:space="preserve">, not all conditions precedent </w:t>
      </w:r>
      <w:r w:rsidR="00DD7BEA" w:rsidRPr="00316837">
        <w:rPr>
          <w:rFonts w:eastAsia="Calibri"/>
          <w:szCs w:val="20"/>
        </w:rPr>
        <w:t xml:space="preserve">for Phase 2 are fulfilled yet (see </w:t>
      </w:r>
      <w:r w:rsidR="00DD7BEA" w:rsidRPr="00316837">
        <w:rPr>
          <w:rFonts w:eastAsia="Calibri"/>
          <w:szCs w:val="20"/>
        </w:rPr>
        <w:fldChar w:fldCharType="begin"/>
      </w:r>
      <w:r w:rsidR="00DD7BEA" w:rsidRPr="00316837">
        <w:rPr>
          <w:rFonts w:eastAsia="Calibri"/>
          <w:szCs w:val="20"/>
        </w:rPr>
        <w:instrText xml:space="preserve"> REF _Ref72165184 \h  \* MERGEFORMAT </w:instrText>
      </w:r>
      <w:r w:rsidR="00DD7BEA" w:rsidRPr="00316837">
        <w:rPr>
          <w:rFonts w:eastAsia="Calibri"/>
          <w:szCs w:val="20"/>
        </w:rPr>
      </w:r>
      <w:r w:rsidR="00DD7BEA" w:rsidRPr="00316837">
        <w:rPr>
          <w:rFonts w:eastAsia="Calibri"/>
          <w:szCs w:val="20"/>
        </w:rPr>
        <w:fldChar w:fldCharType="separate"/>
      </w:r>
      <w:r w:rsidR="00507C15" w:rsidRPr="006273BD">
        <w:rPr>
          <w:rFonts w:cs="Arial"/>
          <w:bCs/>
          <w:szCs w:val="20"/>
        </w:rPr>
        <w:t>Table 3</w:t>
      </w:r>
      <w:r w:rsidR="00507C15" w:rsidRPr="006273BD">
        <w:rPr>
          <w:rFonts w:cs="Arial"/>
          <w:bCs/>
          <w:szCs w:val="20"/>
        </w:rPr>
        <w:noBreakHyphen/>
        <w:t>7</w:t>
      </w:r>
      <w:r w:rsidR="00DD7BEA" w:rsidRPr="00316837">
        <w:rPr>
          <w:rFonts w:eastAsia="Calibri"/>
          <w:szCs w:val="20"/>
        </w:rPr>
        <w:fldChar w:fldCharType="end"/>
      </w:r>
      <w:r w:rsidR="00DD7BEA" w:rsidRPr="00C632F6">
        <w:rPr>
          <w:rFonts w:eastAsia="Calibri"/>
          <w:szCs w:val="20"/>
        </w:rPr>
        <w:t xml:space="preserve">). </w:t>
      </w:r>
    </w:p>
    <w:p w14:paraId="7718F74F" w14:textId="16921385" w:rsidR="00DD7BEA" w:rsidRPr="00316837" w:rsidRDefault="00DD7BEA" w:rsidP="00DD7BEA">
      <w:pPr>
        <w:suppressAutoHyphens w:val="0"/>
        <w:spacing w:before="120"/>
        <w:ind w:left="1134" w:hanging="1134"/>
        <w:rPr>
          <w:rFonts w:cs="Arial"/>
          <w:bCs/>
          <w:sz w:val="18"/>
          <w:szCs w:val="18"/>
        </w:rPr>
      </w:pPr>
      <w:bookmarkStart w:id="94" w:name="_Ref72165184"/>
      <w:bookmarkStart w:id="95" w:name="_Toc77260244"/>
      <w:r w:rsidRPr="00316837">
        <w:rPr>
          <w:rFonts w:cs="Arial"/>
          <w:bCs/>
          <w:sz w:val="18"/>
          <w:szCs w:val="18"/>
        </w:rPr>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507C15">
        <w:rPr>
          <w:rFonts w:cs="Arial"/>
          <w:bCs/>
          <w:noProof/>
          <w:sz w:val="18"/>
          <w:szCs w:val="18"/>
        </w:rPr>
        <w:t>7</w:t>
      </w:r>
      <w:r w:rsidRPr="00316837">
        <w:rPr>
          <w:rFonts w:cs="Arial"/>
          <w:bCs/>
          <w:sz w:val="18"/>
          <w:szCs w:val="18"/>
        </w:rPr>
        <w:fldChar w:fldCharType="end"/>
      </w:r>
      <w:bookmarkEnd w:id="94"/>
      <w:r w:rsidRPr="00C632F6">
        <w:rPr>
          <w:rFonts w:cs="Arial"/>
          <w:bCs/>
          <w:sz w:val="18"/>
          <w:szCs w:val="18"/>
        </w:rPr>
        <w:t>: Current situation (May 2021, toward the end of Phase 1) and conditions precedent for Phase 2</w:t>
      </w:r>
      <w:bookmarkEnd w:id="95"/>
      <w:r w:rsidRPr="00C632F6">
        <w:rPr>
          <w:rFonts w:cs="Arial"/>
          <w:bCs/>
          <w:sz w:val="18"/>
          <w:szCs w:val="18"/>
        </w:rPr>
        <w:t xml:space="preserve"> </w:t>
      </w:r>
    </w:p>
    <w:tbl>
      <w:tblPr>
        <w:tblStyle w:val="TableGrid"/>
        <w:tblW w:w="5000" w:type="pct"/>
        <w:tblLook w:val="04A0" w:firstRow="1" w:lastRow="0" w:firstColumn="1" w:lastColumn="0" w:noHBand="0" w:noVBand="1"/>
      </w:tblPr>
      <w:tblGrid>
        <w:gridCol w:w="4809"/>
        <w:gridCol w:w="4820"/>
      </w:tblGrid>
      <w:tr w:rsidR="00DD7BEA" w:rsidRPr="00316837" w14:paraId="78A314FE" w14:textId="77777777" w:rsidTr="00DD7BEA">
        <w:tc>
          <w:tcPr>
            <w:tcW w:w="2497" w:type="pct"/>
            <w:shd w:val="clear" w:color="auto" w:fill="F2F2F2" w:themeFill="background1" w:themeFillShade="F2"/>
          </w:tcPr>
          <w:p w14:paraId="37FA3661" w14:textId="5964BB68" w:rsidR="00DD7BEA" w:rsidRPr="006273BD" w:rsidRDefault="00DD7BEA" w:rsidP="00DD7BEA">
            <w:pPr>
              <w:spacing w:before="120" w:after="120"/>
              <w:jc w:val="left"/>
              <w:rPr>
                <w:rFonts w:cs="Arial"/>
                <w:b/>
                <w:sz w:val="18"/>
                <w:szCs w:val="18"/>
              </w:rPr>
            </w:pPr>
            <w:r w:rsidRPr="006273BD">
              <w:rPr>
                <w:rFonts w:cs="Arial"/>
                <w:b/>
                <w:sz w:val="18"/>
                <w:szCs w:val="18"/>
              </w:rPr>
              <w:t xml:space="preserve">Current situation </w:t>
            </w:r>
          </w:p>
        </w:tc>
        <w:tc>
          <w:tcPr>
            <w:tcW w:w="2503" w:type="pct"/>
            <w:shd w:val="clear" w:color="auto" w:fill="F2F2F2" w:themeFill="background1" w:themeFillShade="F2"/>
          </w:tcPr>
          <w:p w14:paraId="1504EA74" w14:textId="4D9EE800" w:rsidR="00DD7BEA" w:rsidRPr="006273BD" w:rsidRDefault="00DD7BEA" w:rsidP="00DD7BEA">
            <w:pPr>
              <w:spacing w:before="120" w:after="120"/>
              <w:jc w:val="left"/>
              <w:rPr>
                <w:rFonts w:cs="Arial"/>
                <w:b/>
                <w:sz w:val="18"/>
                <w:szCs w:val="18"/>
              </w:rPr>
            </w:pPr>
            <w:r w:rsidRPr="006273BD">
              <w:rPr>
                <w:rFonts w:cs="Arial"/>
                <w:b/>
                <w:sz w:val="18"/>
                <w:szCs w:val="18"/>
              </w:rPr>
              <w:t xml:space="preserve">Conditions precedent </w:t>
            </w:r>
          </w:p>
        </w:tc>
      </w:tr>
      <w:tr w:rsidR="00DD7BEA" w:rsidRPr="00316837" w14:paraId="079E0A77" w14:textId="77777777" w:rsidTr="00DD7BEA">
        <w:tc>
          <w:tcPr>
            <w:tcW w:w="2497" w:type="pct"/>
          </w:tcPr>
          <w:p w14:paraId="166D0CB4" w14:textId="5899DCA5" w:rsidR="006D612D" w:rsidRPr="00316837" w:rsidRDefault="006D612D" w:rsidP="006D612D">
            <w:pPr>
              <w:spacing w:before="120" w:after="120"/>
              <w:jc w:val="left"/>
              <w:rPr>
                <w:rFonts w:cs="Arial"/>
                <w:bCs/>
                <w:sz w:val="18"/>
                <w:szCs w:val="18"/>
              </w:rPr>
            </w:pPr>
            <w:r w:rsidRPr="00316837">
              <w:rPr>
                <w:rFonts w:cs="Arial"/>
                <w:bCs/>
                <w:sz w:val="18"/>
                <w:szCs w:val="18"/>
              </w:rPr>
              <w:t xml:space="preserve">Exchanges of electricity are bilateral. Trading in electricity is majorly cross-border with the prices of transmission </w:t>
            </w:r>
            <w:r w:rsidRPr="00316837">
              <w:rPr>
                <w:rFonts w:cs="Arial"/>
                <w:bCs/>
                <w:sz w:val="18"/>
                <w:szCs w:val="18"/>
              </w:rPr>
              <w:lastRenderedPageBreak/>
              <w:t xml:space="preserve">and energy mutually agreed by contractual parties in bilateral contract. </w:t>
            </w:r>
          </w:p>
          <w:p w14:paraId="44142525" w14:textId="1EF62979" w:rsidR="006D612D" w:rsidRPr="00316837" w:rsidRDefault="006D612D" w:rsidP="006D612D">
            <w:pPr>
              <w:spacing w:before="120" w:after="120"/>
              <w:jc w:val="left"/>
              <w:rPr>
                <w:rFonts w:cs="Arial"/>
                <w:bCs/>
                <w:sz w:val="18"/>
                <w:szCs w:val="18"/>
              </w:rPr>
            </w:pPr>
            <w:r w:rsidRPr="00316837">
              <w:rPr>
                <w:rFonts w:cs="Arial"/>
                <w:bCs/>
                <w:sz w:val="18"/>
                <w:szCs w:val="18"/>
              </w:rPr>
              <w:t>The Information and Coordination Centre deals only with those TSOs which represent market participants in their respective countries and exchange data with the Centre (i.e. the Centre does not have a contact with contractual parties from bilateral contract, but with TSOs) on a transaction concluded between contractual parties on the basis of a bilateral contract.</w:t>
            </w:r>
            <w:r w:rsidR="001D4932" w:rsidRPr="00316837">
              <w:rPr>
                <w:rFonts w:cs="Arial"/>
                <w:bCs/>
                <w:sz w:val="18"/>
                <w:szCs w:val="18"/>
              </w:rPr>
              <w:t xml:space="preserve"> </w:t>
            </w:r>
          </w:p>
          <w:p w14:paraId="3907B8C2" w14:textId="1378FE36" w:rsidR="006D612D" w:rsidRPr="00316837" w:rsidRDefault="006D612D" w:rsidP="006D612D">
            <w:pPr>
              <w:spacing w:before="120" w:after="120"/>
              <w:jc w:val="left"/>
              <w:rPr>
                <w:rFonts w:cs="Arial"/>
                <w:bCs/>
                <w:sz w:val="18"/>
                <w:szCs w:val="18"/>
              </w:rPr>
            </w:pPr>
            <w:r w:rsidRPr="00316837">
              <w:rPr>
                <w:rFonts w:cs="Arial"/>
                <w:bCs/>
                <w:sz w:val="18"/>
                <w:szCs w:val="18"/>
              </w:rPr>
              <w:t xml:space="preserve">There are 12 bilateral contracts among 6 WAPP member utilities across 9 ECOWAS Member States and Mauritania, with trading up to 6.1 TWh. A standard bilateral contract on sale and purchase of electricity is developed and contractual parties in a transaction are recommended to use it as a template. </w:t>
            </w:r>
          </w:p>
          <w:p w14:paraId="53E1D7C7" w14:textId="33185F4C" w:rsidR="006D612D" w:rsidRPr="00316837" w:rsidRDefault="006D612D" w:rsidP="006D612D">
            <w:pPr>
              <w:spacing w:before="120" w:after="120"/>
              <w:jc w:val="left"/>
              <w:rPr>
                <w:rFonts w:cs="Arial"/>
                <w:bCs/>
                <w:sz w:val="18"/>
                <w:szCs w:val="18"/>
              </w:rPr>
            </w:pPr>
            <w:r w:rsidRPr="00316837">
              <w:rPr>
                <w:rFonts w:cs="Arial"/>
                <w:bCs/>
                <w:sz w:val="18"/>
                <w:szCs w:val="18"/>
              </w:rPr>
              <w:t xml:space="preserve">TSOs have already installed meters in all substations at interconnections/interconnectors, and the Centre does the automatic meter reading at every interconnection point, which is important for future billing and settlement of transactions. </w:t>
            </w:r>
          </w:p>
          <w:p w14:paraId="284CEF10" w14:textId="2C2824FA" w:rsidR="006D612D" w:rsidRPr="00316837" w:rsidRDefault="006D612D" w:rsidP="006D612D">
            <w:pPr>
              <w:spacing w:before="120" w:after="120"/>
              <w:jc w:val="left"/>
              <w:rPr>
                <w:rFonts w:cs="Arial"/>
                <w:bCs/>
                <w:sz w:val="18"/>
                <w:szCs w:val="18"/>
              </w:rPr>
            </w:pPr>
            <w:r w:rsidRPr="00316837">
              <w:rPr>
                <w:rFonts w:cs="Arial"/>
                <w:bCs/>
                <w:sz w:val="18"/>
                <w:szCs w:val="18"/>
              </w:rPr>
              <w:t xml:space="preserve">Transmission line projects are prioritised given that WAPP shall integrate the power systems of the 14 mainland ECOWAS Member States in the short-term. </w:t>
            </w:r>
          </w:p>
          <w:p w14:paraId="73B96FC9" w14:textId="0F5B26C3" w:rsidR="006D612D" w:rsidRPr="00316837" w:rsidRDefault="006D612D" w:rsidP="006D612D">
            <w:pPr>
              <w:spacing w:before="120" w:after="120"/>
              <w:jc w:val="left"/>
              <w:rPr>
                <w:rFonts w:cs="Arial"/>
                <w:bCs/>
                <w:sz w:val="18"/>
                <w:szCs w:val="18"/>
              </w:rPr>
            </w:pPr>
            <w:r w:rsidRPr="00316837">
              <w:rPr>
                <w:rFonts w:cs="Arial"/>
                <w:bCs/>
                <w:sz w:val="18"/>
                <w:szCs w:val="18"/>
              </w:rPr>
              <w:t xml:space="preserve">The anticipation of increased trade in electricity through the regional market platform has led to increased enquiries from potential market participants who are eager to have an outlet to sell their electricity. </w:t>
            </w:r>
          </w:p>
          <w:p w14:paraId="75D07BD9" w14:textId="64A1C78B" w:rsidR="006D612D" w:rsidRPr="00316837" w:rsidRDefault="006D612D" w:rsidP="006D612D">
            <w:pPr>
              <w:spacing w:before="120" w:after="120"/>
              <w:jc w:val="left"/>
              <w:rPr>
                <w:rFonts w:cs="Arial"/>
                <w:bCs/>
                <w:sz w:val="18"/>
                <w:szCs w:val="18"/>
              </w:rPr>
            </w:pPr>
            <w:r w:rsidRPr="00316837">
              <w:rPr>
                <w:rFonts w:cs="Arial"/>
                <w:bCs/>
                <w:sz w:val="18"/>
                <w:szCs w:val="18"/>
              </w:rPr>
              <w:t>ERERA and WAPP are in the process of mobilisation and registration of new market participants according to the Regional Market Rules.</w:t>
            </w:r>
            <w:r w:rsidR="001D4932" w:rsidRPr="00316837">
              <w:rPr>
                <w:rFonts w:cs="Arial"/>
                <w:bCs/>
                <w:sz w:val="18"/>
                <w:szCs w:val="18"/>
              </w:rPr>
              <w:t xml:space="preserve"> </w:t>
            </w:r>
          </w:p>
          <w:p w14:paraId="6929193B" w14:textId="0FF3D141" w:rsidR="006D612D" w:rsidRPr="00316837" w:rsidRDefault="006D612D" w:rsidP="006D612D">
            <w:pPr>
              <w:spacing w:before="120" w:after="120"/>
              <w:jc w:val="left"/>
              <w:rPr>
                <w:rFonts w:cs="Arial"/>
                <w:bCs/>
                <w:sz w:val="18"/>
                <w:szCs w:val="18"/>
              </w:rPr>
            </w:pPr>
            <w:r w:rsidRPr="00316837">
              <w:rPr>
                <w:rFonts w:cs="Arial"/>
                <w:bCs/>
                <w:sz w:val="18"/>
                <w:szCs w:val="18"/>
              </w:rPr>
              <w:t xml:space="preserve">The Electronic Data Processing System, requisite to effectively monitor, coordinate and manage the regional system and market, is currently under development. </w:t>
            </w:r>
          </w:p>
          <w:p w14:paraId="23693E99" w14:textId="45A46B41" w:rsidR="00DD7BEA" w:rsidRPr="00316837" w:rsidRDefault="006D612D" w:rsidP="006D612D">
            <w:pPr>
              <w:spacing w:before="120" w:after="120"/>
              <w:jc w:val="left"/>
              <w:rPr>
                <w:rFonts w:cs="Arial"/>
                <w:bCs/>
                <w:sz w:val="18"/>
                <w:szCs w:val="18"/>
              </w:rPr>
            </w:pPr>
            <w:r w:rsidRPr="00316837">
              <w:rPr>
                <w:rFonts w:cs="Arial"/>
                <w:bCs/>
                <w:sz w:val="18"/>
                <w:szCs w:val="18"/>
              </w:rPr>
              <w:t>Even before the MMS future readiness, WAPP is already conducting daily scheduling trials of cross-border exchanges in electricity in respect to the existing bilateral contracts on a manual basis. 12 bilateral contracts are scheduled and confirmed by the market division daily. This trial scheduling is designed to get the national utility operators to grow accustomed to the protocols involved in operating in the regional market.</w:t>
            </w:r>
            <w:r w:rsidR="001D4932" w:rsidRPr="00316837">
              <w:rPr>
                <w:rFonts w:cs="Arial"/>
                <w:bCs/>
                <w:sz w:val="18"/>
                <w:szCs w:val="18"/>
              </w:rPr>
              <w:t xml:space="preserve"> </w:t>
            </w:r>
          </w:p>
        </w:tc>
        <w:tc>
          <w:tcPr>
            <w:tcW w:w="2503" w:type="pct"/>
          </w:tcPr>
          <w:p w14:paraId="4C3D4E1A" w14:textId="5A0F7B33" w:rsidR="00DD7BEA" w:rsidRPr="00316837" w:rsidRDefault="00DD7BEA" w:rsidP="00DD7BEA">
            <w:pPr>
              <w:spacing w:before="120" w:after="120"/>
              <w:jc w:val="left"/>
              <w:rPr>
                <w:rFonts w:cs="Arial"/>
                <w:bCs/>
                <w:sz w:val="18"/>
                <w:szCs w:val="18"/>
              </w:rPr>
            </w:pPr>
            <w:r w:rsidRPr="00316837">
              <w:rPr>
                <w:rFonts w:cs="Arial"/>
                <w:bCs/>
                <w:sz w:val="18"/>
                <w:szCs w:val="18"/>
              </w:rPr>
              <w:lastRenderedPageBreak/>
              <w:t>The Information and Coordination Centre is spun off from the general structure of WAPP and consolidate</w:t>
            </w:r>
            <w:r w:rsidR="006D612D" w:rsidRPr="00316837">
              <w:rPr>
                <w:rFonts w:cs="Arial"/>
                <w:bCs/>
                <w:sz w:val="18"/>
                <w:szCs w:val="18"/>
              </w:rPr>
              <w:t>d</w:t>
            </w:r>
            <w:r w:rsidRPr="00316837">
              <w:rPr>
                <w:rFonts w:cs="Arial"/>
                <w:bCs/>
                <w:sz w:val="18"/>
                <w:szCs w:val="18"/>
              </w:rPr>
              <w:t xml:space="preserve"> as the </w:t>
            </w:r>
            <w:r w:rsidR="00533C25" w:rsidRPr="00316837">
              <w:rPr>
                <w:rFonts w:cs="Arial"/>
                <w:bCs/>
                <w:sz w:val="18"/>
                <w:szCs w:val="18"/>
              </w:rPr>
              <w:lastRenderedPageBreak/>
              <w:t>RSMO</w:t>
            </w:r>
            <w:r w:rsidRPr="00316837">
              <w:rPr>
                <w:rFonts w:cs="Arial"/>
                <w:bCs/>
                <w:sz w:val="18"/>
                <w:szCs w:val="18"/>
              </w:rPr>
              <w:t xml:space="preserve">, an independent regional institution. </w:t>
            </w:r>
            <w:r w:rsidR="006D612D" w:rsidRPr="00316837">
              <w:rPr>
                <w:rFonts w:cs="Arial"/>
                <w:bCs/>
                <w:sz w:val="18"/>
                <w:szCs w:val="18"/>
              </w:rPr>
              <w:t xml:space="preserve">System-wise it only monitors, studies and reviews how the system operates, but market-wise it does </w:t>
            </w:r>
            <w:r w:rsidR="00844664" w:rsidRPr="00316837">
              <w:rPr>
                <w:rFonts w:cs="Arial"/>
                <w:bCs/>
                <w:sz w:val="18"/>
                <w:szCs w:val="18"/>
              </w:rPr>
              <w:t xml:space="preserve">the </w:t>
            </w:r>
            <w:r w:rsidR="006D612D" w:rsidRPr="00316837">
              <w:rPr>
                <w:rFonts w:cs="Arial"/>
                <w:bCs/>
                <w:sz w:val="18"/>
                <w:szCs w:val="18"/>
              </w:rPr>
              <w:t>scheduling, clearing and settlement, billing and invoicing for the needs of the day-ahead market.</w:t>
            </w:r>
            <w:r w:rsidR="001D4932" w:rsidRPr="00316837">
              <w:rPr>
                <w:rFonts w:cs="Arial"/>
                <w:bCs/>
                <w:sz w:val="18"/>
                <w:szCs w:val="18"/>
              </w:rPr>
              <w:t xml:space="preserve"> </w:t>
            </w:r>
          </w:p>
          <w:p w14:paraId="66EA1881" w14:textId="316CE57B" w:rsidR="00DD7BEA" w:rsidRPr="00316837" w:rsidRDefault="00DD7BEA" w:rsidP="00DD7BEA">
            <w:pPr>
              <w:spacing w:before="120" w:after="120"/>
              <w:jc w:val="left"/>
              <w:rPr>
                <w:rFonts w:cs="Arial"/>
                <w:bCs/>
                <w:sz w:val="18"/>
                <w:szCs w:val="18"/>
              </w:rPr>
            </w:pPr>
            <w:r w:rsidRPr="00316837">
              <w:rPr>
                <w:rFonts w:cs="Arial"/>
                <w:bCs/>
                <w:sz w:val="18"/>
                <w:szCs w:val="18"/>
              </w:rPr>
              <w:t xml:space="preserve">The </w:t>
            </w:r>
            <w:r w:rsidR="00533C25" w:rsidRPr="00316837">
              <w:rPr>
                <w:rFonts w:cs="Arial"/>
                <w:bCs/>
                <w:sz w:val="18"/>
                <w:szCs w:val="18"/>
              </w:rPr>
              <w:t>RSMO</w:t>
            </w:r>
            <w:r w:rsidRPr="00316837">
              <w:rPr>
                <w:rFonts w:cs="Arial"/>
                <w:bCs/>
                <w:sz w:val="18"/>
                <w:szCs w:val="18"/>
              </w:rPr>
              <w:t xml:space="preserve"> designate is equipped with the hardware and software necessary for efficient operationalisation of the processes incumbent upon it in its role as the </w:t>
            </w:r>
            <w:r w:rsidR="00533C25" w:rsidRPr="00316837">
              <w:rPr>
                <w:rFonts w:cs="Arial"/>
                <w:bCs/>
                <w:sz w:val="18"/>
                <w:szCs w:val="18"/>
              </w:rPr>
              <w:t>RSMO</w:t>
            </w:r>
            <w:r w:rsidRPr="00316837">
              <w:rPr>
                <w:rFonts w:cs="Arial"/>
                <w:bCs/>
                <w:sz w:val="18"/>
                <w:szCs w:val="18"/>
              </w:rPr>
              <w:t xml:space="preserve"> in Phase 2, which involves at least: </w:t>
            </w:r>
          </w:p>
          <w:p w14:paraId="3DBAFDA1" w14:textId="77777777" w:rsidR="00DD7BEA" w:rsidRPr="00316837" w:rsidRDefault="00DD7BEA" w:rsidP="00DD7BEA">
            <w:pPr>
              <w:numPr>
                <w:ilvl w:val="0"/>
                <w:numId w:val="17"/>
              </w:numPr>
              <w:spacing w:before="120" w:after="120"/>
              <w:jc w:val="left"/>
              <w:rPr>
                <w:rFonts w:cs="Arial"/>
                <w:bCs/>
                <w:sz w:val="18"/>
                <w:szCs w:val="18"/>
              </w:rPr>
            </w:pPr>
            <w:r w:rsidRPr="00316837">
              <w:rPr>
                <w:rFonts w:cs="Arial"/>
                <w:bCs/>
                <w:sz w:val="18"/>
                <w:szCs w:val="18"/>
              </w:rPr>
              <w:t xml:space="preserve">procurement of the hardware and software systems, </w:t>
            </w:r>
          </w:p>
          <w:p w14:paraId="49A0F17D" w14:textId="77777777" w:rsidR="00DD7BEA" w:rsidRPr="00316837" w:rsidRDefault="00DD7BEA" w:rsidP="00DD7BEA">
            <w:pPr>
              <w:numPr>
                <w:ilvl w:val="0"/>
                <w:numId w:val="17"/>
              </w:numPr>
              <w:spacing w:before="120" w:after="120"/>
              <w:jc w:val="left"/>
              <w:rPr>
                <w:rFonts w:cs="Arial"/>
                <w:bCs/>
                <w:sz w:val="18"/>
                <w:szCs w:val="18"/>
              </w:rPr>
            </w:pPr>
            <w:r w:rsidRPr="00316837">
              <w:rPr>
                <w:rFonts w:cs="Arial"/>
                <w:bCs/>
                <w:sz w:val="18"/>
                <w:szCs w:val="18"/>
              </w:rPr>
              <w:t xml:space="preserve">training in the use of the different systems, and </w:t>
            </w:r>
          </w:p>
          <w:p w14:paraId="3E5D26BF" w14:textId="3AD94A52" w:rsidR="00DD7BEA" w:rsidRPr="00316837" w:rsidRDefault="00DD7BEA" w:rsidP="00DD7BEA">
            <w:pPr>
              <w:numPr>
                <w:ilvl w:val="0"/>
                <w:numId w:val="17"/>
              </w:numPr>
              <w:spacing w:before="120" w:after="120"/>
              <w:jc w:val="left"/>
              <w:rPr>
                <w:rFonts w:cs="Arial"/>
                <w:bCs/>
                <w:sz w:val="18"/>
                <w:szCs w:val="18"/>
              </w:rPr>
            </w:pPr>
            <w:r w:rsidRPr="00316837">
              <w:rPr>
                <w:rFonts w:cs="Arial"/>
                <w:bCs/>
                <w:sz w:val="18"/>
                <w:szCs w:val="18"/>
              </w:rPr>
              <w:t xml:space="preserve">a period of testing for both systems and human capability. </w:t>
            </w:r>
          </w:p>
          <w:p w14:paraId="16A43B2A" w14:textId="3A945B02" w:rsidR="00DD7BEA" w:rsidRPr="00316837" w:rsidRDefault="00DD7BEA" w:rsidP="00DD7BEA">
            <w:pPr>
              <w:spacing w:before="120" w:after="120"/>
              <w:jc w:val="left"/>
              <w:rPr>
                <w:rFonts w:cs="Arial"/>
                <w:bCs/>
                <w:sz w:val="18"/>
                <w:szCs w:val="18"/>
              </w:rPr>
            </w:pPr>
            <w:r w:rsidRPr="00316837">
              <w:rPr>
                <w:rFonts w:cs="Arial"/>
                <w:bCs/>
                <w:sz w:val="18"/>
                <w:szCs w:val="18"/>
              </w:rPr>
              <w:t xml:space="preserve">Countries have performed the necessary actions to implement open access in their transmission systems. </w:t>
            </w:r>
          </w:p>
          <w:p w14:paraId="357E8291" w14:textId="3E93F947" w:rsidR="00DD7BEA" w:rsidRPr="00316837" w:rsidRDefault="00DD7BEA" w:rsidP="00DD7BEA">
            <w:pPr>
              <w:spacing w:before="120" w:after="120"/>
              <w:jc w:val="left"/>
              <w:rPr>
                <w:rFonts w:cs="Arial"/>
                <w:bCs/>
                <w:sz w:val="18"/>
                <w:szCs w:val="18"/>
              </w:rPr>
            </w:pPr>
            <w:r w:rsidRPr="00316837">
              <w:rPr>
                <w:rFonts w:cs="Arial"/>
                <w:bCs/>
                <w:sz w:val="18"/>
                <w:szCs w:val="18"/>
              </w:rPr>
              <w:t xml:space="preserve">The Regional Market Rules for Phase 2 are drafted, reviewed, adopted and approved by ERERA. </w:t>
            </w:r>
          </w:p>
          <w:p w14:paraId="5163B304" w14:textId="2C50CA99" w:rsidR="00DD7BEA" w:rsidRPr="00316837" w:rsidRDefault="00DD7BEA" w:rsidP="00DD7BEA">
            <w:pPr>
              <w:spacing w:before="120" w:after="120"/>
              <w:jc w:val="left"/>
              <w:rPr>
                <w:rFonts w:cs="Arial"/>
                <w:bCs/>
                <w:sz w:val="18"/>
                <w:szCs w:val="18"/>
              </w:rPr>
            </w:pPr>
            <w:r w:rsidRPr="00316837">
              <w:rPr>
                <w:rFonts w:cs="Arial"/>
                <w:bCs/>
                <w:sz w:val="18"/>
                <w:szCs w:val="18"/>
              </w:rPr>
              <w:t xml:space="preserve">The agreed plan for implementation of regional standards continues is being implemented. </w:t>
            </w:r>
          </w:p>
          <w:p w14:paraId="78D77F16" w14:textId="48A54B4D" w:rsidR="00DD7BEA" w:rsidRPr="00316837" w:rsidRDefault="00DD7BEA" w:rsidP="00DD7BEA">
            <w:pPr>
              <w:spacing w:before="120" w:after="120"/>
              <w:jc w:val="left"/>
              <w:rPr>
                <w:rFonts w:cs="Arial"/>
                <w:bCs/>
                <w:sz w:val="18"/>
                <w:szCs w:val="18"/>
              </w:rPr>
            </w:pPr>
            <w:r w:rsidRPr="00316837">
              <w:rPr>
                <w:rFonts w:cs="Arial"/>
                <w:bCs/>
                <w:sz w:val="18"/>
                <w:szCs w:val="18"/>
              </w:rPr>
              <w:t xml:space="preserve">Regional transmission tariff model and wheeling services are agreed and put in place, and tariffs are actually calculated and enforced by ERERA. </w:t>
            </w:r>
          </w:p>
          <w:p w14:paraId="7E3358A3" w14:textId="17AF7133" w:rsidR="00DD7BEA" w:rsidRPr="00316837" w:rsidRDefault="00DD7BEA" w:rsidP="00DD7BEA">
            <w:pPr>
              <w:spacing w:before="120" w:after="120"/>
              <w:jc w:val="left"/>
              <w:rPr>
                <w:rFonts w:cs="Arial"/>
                <w:bCs/>
                <w:sz w:val="18"/>
                <w:szCs w:val="18"/>
              </w:rPr>
            </w:pPr>
            <w:r w:rsidRPr="00316837">
              <w:rPr>
                <w:rFonts w:cs="Arial"/>
                <w:bCs/>
                <w:sz w:val="18"/>
                <w:szCs w:val="18"/>
              </w:rPr>
              <w:t xml:space="preserve">Agreement on enforceability of regional transmission projects and reinforcement of domestic transmission systems is reached and implemented. </w:t>
            </w:r>
          </w:p>
          <w:p w14:paraId="4096690D" w14:textId="2D710F5E" w:rsidR="006D612D" w:rsidRPr="00316837" w:rsidRDefault="006D612D" w:rsidP="00DD7BEA">
            <w:pPr>
              <w:spacing w:before="120" w:after="120"/>
              <w:jc w:val="left"/>
              <w:rPr>
                <w:rFonts w:cs="Arial"/>
                <w:bCs/>
                <w:sz w:val="18"/>
                <w:szCs w:val="18"/>
              </w:rPr>
            </w:pPr>
            <w:r w:rsidRPr="00316837">
              <w:rPr>
                <w:rFonts w:cs="Arial"/>
                <w:bCs/>
                <w:sz w:val="18"/>
                <w:szCs w:val="18"/>
              </w:rPr>
              <w:t>The Electronic Data Processing System is put in place and operationalised to enable transactions in the day-ahead market on the basis of MMS and AMR (part of the Electronic Data Processing System).</w:t>
            </w:r>
            <w:r w:rsidR="001D4932" w:rsidRPr="00316837">
              <w:rPr>
                <w:rFonts w:cs="Arial"/>
                <w:bCs/>
                <w:sz w:val="18"/>
                <w:szCs w:val="18"/>
              </w:rPr>
              <w:t xml:space="preserve"> </w:t>
            </w:r>
          </w:p>
          <w:p w14:paraId="12DC69EA" w14:textId="656743E4" w:rsidR="00DD7BEA" w:rsidRPr="00316837" w:rsidRDefault="00DD7BEA" w:rsidP="00DD7BEA">
            <w:pPr>
              <w:spacing w:before="120" w:after="120"/>
              <w:jc w:val="left"/>
              <w:rPr>
                <w:rFonts w:cs="Arial"/>
                <w:bCs/>
                <w:sz w:val="18"/>
                <w:szCs w:val="18"/>
              </w:rPr>
            </w:pPr>
            <w:r w:rsidRPr="00316837">
              <w:rPr>
                <w:rFonts w:cs="Arial"/>
                <w:bCs/>
                <w:sz w:val="18"/>
                <w:szCs w:val="18"/>
              </w:rPr>
              <w:t>Training is performed at two levels</w:t>
            </w:r>
            <w:r w:rsidR="001D4932" w:rsidRPr="00316837">
              <w:rPr>
                <w:rFonts w:cs="Arial"/>
                <w:bCs/>
                <w:sz w:val="18"/>
                <w:szCs w:val="18"/>
              </w:rPr>
              <w:t>:</w:t>
            </w:r>
            <w:r w:rsidRPr="00316837">
              <w:rPr>
                <w:rFonts w:cs="Arial"/>
                <w:bCs/>
                <w:sz w:val="18"/>
                <w:szCs w:val="18"/>
              </w:rPr>
              <w:t xml:space="preserve"> </w:t>
            </w:r>
          </w:p>
          <w:p w14:paraId="2CD803DC" w14:textId="77777777" w:rsidR="00DD7BEA" w:rsidRPr="00316837" w:rsidRDefault="00DD7BEA" w:rsidP="00844664">
            <w:pPr>
              <w:numPr>
                <w:ilvl w:val="0"/>
                <w:numId w:val="17"/>
              </w:numPr>
              <w:spacing w:before="120" w:after="120"/>
              <w:ind w:left="319" w:hanging="283"/>
              <w:jc w:val="left"/>
              <w:rPr>
                <w:rFonts w:cs="Arial"/>
                <w:bCs/>
                <w:sz w:val="18"/>
                <w:szCs w:val="18"/>
              </w:rPr>
            </w:pPr>
            <w:r w:rsidRPr="00316837">
              <w:rPr>
                <w:rFonts w:cs="Arial"/>
                <w:bCs/>
                <w:sz w:val="18"/>
                <w:szCs w:val="18"/>
              </w:rPr>
              <w:t xml:space="preserve">at the level of market operator, tackling specific needs to operate the day-ahead market and trading with transit through third countries, and </w:t>
            </w:r>
          </w:p>
          <w:p w14:paraId="179343D5" w14:textId="06AE5C01" w:rsidR="00DD7BEA" w:rsidRPr="00316837" w:rsidRDefault="00DD7BEA" w:rsidP="00844664">
            <w:pPr>
              <w:numPr>
                <w:ilvl w:val="0"/>
                <w:numId w:val="17"/>
              </w:numPr>
              <w:spacing w:before="120" w:after="120"/>
              <w:ind w:left="319" w:hanging="283"/>
              <w:jc w:val="left"/>
              <w:rPr>
                <w:rFonts w:cs="Arial"/>
                <w:bCs/>
                <w:sz w:val="18"/>
                <w:szCs w:val="18"/>
              </w:rPr>
            </w:pPr>
            <w:r w:rsidRPr="00316837">
              <w:rPr>
                <w:rFonts w:cs="Arial"/>
                <w:bCs/>
                <w:sz w:val="18"/>
                <w:szCs w:val="18"/>
              </w:rPr>
              <w:t xml:space="preserve">at the level of market participants (utilities) and domestic TSOs, making them capable of trading efficiently and operating the domestic systems safely and meeting the regional standards. </w:t>
            </w:r>
          </w:p>
        </w:tc>
      </w:tr>
    </w:tbl>
    <w:p w14:paraId="6D6692FF" w14:textId="3DA94D58" w:rsidR="0044052B" w:rsidRPr="00316837" w:rsidRDefault="0044052B" w:rsidP="0068151A">
      <w:pPr>
        <w:rPr>
          <w:rFonts w:eastAsia="Calibri"/>
          <w:szCs w:val="20"/>
        </w:rPr>
      </w:pPr>
      <w:r w:rsidRPr="00316837">
        <w:rPr>
          <w:rFonts w:eastAsia="Calibri"/>
          <w:szCs w:val="22"/>
        </w:rPr>
        <w:lastRenderedPageBreak/>
        <w:t xml:space="preserve">Once fully established, the regional electricity market will enable customers to enter the market, participate in </w:t>
      </w:r>
      <w:r w:rsidRPr="00316837">
        <w:rPr>
          <w:rFonts w:eastAsia="Calibri"/>
          <w:szCs w:val="20"/>
        </w:rPr>
        <w:t xml:space="preserve">the market, and exit the market (see </w:t>
      </w:r>
      <w:r w:rsidRPr="00316837">
        <w:rPr>
          <w:rFonts w:eastAsia="Calibri"/>
          <w:szCs w:val="20"/>
        </w:rPr>
        <w:fldChar w:fldCharType="begin"/>
      </w:r>
      <w:r w:rsidRPr="00316837">
        <w:rPr>
          <w:rFonts w:eastAsia="Calibri"/>
          <w:szCs w:val="20"/>
        </w:rPr>
        <w:instrText xml:space="preserve"> REF _Ref72239688 \h  \* MERGEFORMAT </w:instrText>
      </w:r>
      <w:r w:rsidRPr="00316837">
        <w:rPr>
          <w:rFonts w:eastAsia="Calibri"/>
          <w:szCs w:val="20"/>
        </w:rPr>
      </w:r>
      <w:r w:rsidRPr="00316837">
        <w:rPr>
          <w:rFonts w:eastAsia="Calibri"/>
          <w:szCs w:val="20"/>
        </w:rPr>
        <w:fldChar w:fldCharType="separate"/>
      </w:r>
      <w:r w:rsidR="00507C15" w:rsidRPr="006273BD">
        <w:rPr>
          <w:rFonts w:eastAsia="Calibri"/>
          <w:bCs/>
          <w:szCs w:val="20"/>
        </w:rPr>
        <w:t>Figure 3</w:t>
      </w:r>
      <w:r w:rsidR="00507C15" w:rsidRPr="006273BD">
        <w:rPr>
          <w:rFonts w:eastAsia="Calibri"/>
          <w:bCs/>
          <w:szCs w:val="20"/>
        </w:rPr>
        <w:noBreakHyphen/>
        <w:t>8</w:t>
      </w:r>
      <w:r w:rsidRPr="00316837">
        <w:rPr>
          <w:rFonts w:eastAsia="Calibri"/>
          <w:szCs w:val="20"/>
        </w:rPr>
        <w:fldChar w:fldCharType="end"/>
      </w:r>
      <w:r w:rsidRPr="00C632F6">
        <w:rPr>
          <w:rFonts w:eastAsia="Calibri"/>
          <w:szCs w:val="20"/>
        </w:rPr>
        <w:t xml:space="preserve">). </w:t>
      </w:r>
    </w:p>
    <w:p w14:paraId="586690F2" w14:textId="77777777" w:rsidR="005332DB" w:rsidRPr="00316837" w:rsidRDefault="005332DB" w:rsidP="005332DB">
      <w:pPr>
        <w:rPr>
          <w:rFonts w:cs="Arial"/>
          <w:szCs w:val="20"/>
        </w:rPr>
      </w:pPr>
      <w:r w:rsidRPr="00316837">
        <w:rPr>
          <w:rFonts w:cs="Arial"/>
          <w:szCs w:val="20"/>
        </w:rPr>
        <w:t xml:space="preserve">The market will allow the exchange of electricity between market participants on the basis of: </w:t>
      </w:r>
    </w:p>
    <w:p w14:paraId="71D38713" w14:textId="77777777" w:rsidR="005332DB" w:rsidRPr="00316837" w:rsidRDefault="005332DB" w:rsidP="005332DB">
      <w:pPr>
        <w:pStyle w:val="ListParagraph"/>
        <w:numPr>
          <w:ilvl w:val="0"/>
          <w:numId w:val="2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remuneration for the use of the assets of each TSO, </w:t>
      </w:r>
    </w:p>
    <w:p w14:paraId="5AF1EB12" w14:textId="77777777" w:rsidR="005332DB" w:rsidRPr="00316837" w:rsidRDefault="005332DB" w:rsidP="005332DB">
      <w:pPr>
        <w:pStyle w:val="ListParagraph"/>
        <w:numPr>
          <w:ilvl w:val="0"/>
          <w:numId w:val="2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reimbursement to TSOs of losses caused by exchanges, and </w:t>
      </w:r>
    </w:p>
    <w:p w14:paraId="0DD40575" w14:textId="2FFA4107" w:rsidR="005332DB" w:rsidRPr="00316837" w:rsidRDefault="005332DB" w:rsidP="005332DB">
      <w:pPr>
        <w:pStyle w:val="ListParagraph"/>
        <w:numPr>
          <w:ilvl w:val="0"/>
          <w:numId w:val="27"/>
        </w:numPr>
        <w:spacing w:before="160" w:after="0" w:line="288" w:lineRule="auto"/>
        <w:rPr>
          <w:rFonts w:ascii="Arial" w:hAnsi="Arial" w:cs="Arial"/>
          <w:sz w:val="20"/>
          <w:szCs w:val="20"/>
          <w:lang w:val="en-GB"/>
        </w:rPr>
      </w:pPr>
      <w:r w:rsidRPr="00316837">
        <w:rPr>
          <w:rFonts w:ascii="Arial" w:hAnsi="Arial" w:cs="Arial"/>
          <w:sz w:val="20"/>
          <w:szCs w:val="20"/>
          <w:lang w:val="en-GB"/>
        </w:rPr>
        <w:t>payment of the operating costs of the specialised institutions in charge of the regional electricity market (</w:t>
      </w:r>
      <w:r w:rsidR="00533C25" w:rsidRPr="00316837">
        <w:rPr>
          <w:rFonts w:ascii="Arial" w:hAnsi="Arial" w:cs="Arial"/>
          <w:sz w:val="20"/>
          <w:szCs w:val="20"/>
          <w:lang w:val="en-GB"/>
        </w:rPr>
        <w:t>the RSMO</w:t>
      </w:r>
      <w:r w:rsidRPr="00316837">
        <w:rPr>
          <w:rFonts w:ascii="Arial" w:hAnsi="Arial" w:cs="Arial"/>
          <w:sz w:val="20"/>
          <w:szCs w:val="20"/>
          <w:lang w:val="en-GB"/>
        </w:rPr>
        <w:t xml:space="preserve"> and ERERA). </w:t>
      </w:r>
    </w:p>
    <w:p w14:paraId="41062D84" w14:textId="140AE47F" w:rsidR="0044052B" w:rsidRPr="00C632F6" w:rsidRDefault="0044052B" w:rsidP="0068151A">
      <w:pPr>
        <w:rPr>
          <w:rFonts w:eastAsia="Calibri"/>
          <w:szCs w:val="22"/>
        </w:rPr>
      </w:pPr>
      <w:r w:rsidRPr="006273BD">
        <w:rPr>
          <w:rFonts w:eastAsia="Calibri"/>
          <w:noProof/>
          <w:szCs w:val="22"/>
          <w:lang w:eastAsia="en-GB"/>
        </w:rPr>
        <w:lastRenderedPageBreak/>
        <w:drawing>
          <wp:inline distT="0" distB="0" distL="0" distR="0" wp14:anchorId="00EC85F3" wp14:editId="118BCCD8">
            <wp:extent cx="6085205" cy="571500"/>
            <wp:effectExtent l="19050" t="0" r="29845"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58556DB" w14:textId="4ECD2216" w:rsidR="0044052B" w:rsidRPr="00C632F6" w:rsidRDefault="0044052B" w:rsidP="0044052B">
      <w:pPr>
        <w:pStyle w:val="ListParagraph"/>
        <w:suppressAutoHyphens w:val="0"/>
        <w:spacing w:after="0"/>
        <w:ind w:left="0"/>
        <w:contextualSpacing/>
        <w:jc w:val="left"/>
        <w:rPr>
          <w:rFonts w:ascii="Times New Roman" w:hAnsi="Times New Roman" w:cs="Times New Roman"/>
          <w:sz w:val="18"/>
          <w:szCs w:val="24"/>
          <w:lang w:val="en-GB" w:eastAsia="en-US"/>
        </w:rPr>
      </w:pPr>
      <w:r w:rsidRPr="00316837">
        <w:rPr>
          <w:rFonts w:eastAsia="Calibri"/>
          <w:lang w:val="en-GB"/>
        </w:rPr>
        <w:t xml:space="preserve">           </w:t>
      </w:r>
      <w:r w:rsidRPr="006273BD">
        <w:rPr>
          <w:rFonts w:eastAsia="Calibri"/>
          <w:noProof/>
          <w:lang w:val="en-GB" w:eastAsia="en-GB"/>
        </w:rPr>
        <w:drawing>
          <wp:inline distT="0" distB="0" distL="0" distR="0" wp14:anchorId="01088877" wp14:editId="62A1C2EC">
            <wp:extent cx="993891" cy="1449070"/>
            <wp:effectExtent l="0" t="1905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Pr="00C632F6">
        <w:rPr>
          <w:rFonts w:eastAsia="Calibri"/>
          <w:lang w:val="en-GB"/>
        </w:rPr>
        <w:t xml:space="preserve">     </w:t>
      </w:r>
      <w:r w:rsidRPr="006273BD">
        <w:rPr>
          <w:rFonts w:eastAsia="Calibri"/>
          <w:noProof/>
          <w:lang w:val="en-GB" w:eastAsia="en-GB"/>
        </w:rPr>
        <w:drawing>
          <wp:inline distT="0" distB="0" distL="0" distR="0" wp14:anchorId="4D20818F" wp14:editId="2AC5CE65">
            <wp:extent cx="3210791" cy="1449070"/>
            <wp:effectExtent l="0" t="38100" r="889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C632F6">
        <w:rPr>
          <w:rFonts w:eastAsia="Calibri"/>
          <w:lang w:val="en-GB"/>
        </w:rPr>
        <w:t xml:space="preserve">   </w:t>
      </w:r>
      <w:r w:rsidRPr="006273BD">
        <w:rPr>
          <w:rFonts w:eastAsia="Calibri"/>
          <w:noProof/>
          <w:lang w:val="en-GB" w:eastAsia="en-GB"/>
        </w:rPr>
        <w:drawing>
          <wp:inline distT="0" distB="0" distL="0" distR="0" wp14:anchorId="3DA3DB86" wp14:editId="3CE4C1CA">
            <wp:extent cx="961159" cy="1449070"/>
            <wp:effectExtent l="0" t="3810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E438BD4" w14:textId="2AC96139" w:rsidR="0044052B" w:rsidRPr="00316837" w:rsidRDefault="0044052B" w:rsidP="0044052B">
      <w:pPr>
        <w:rPr>
          <w:rFonts w:eastAsia="Calibri"/>
          <w:bCs/>
          <w:sz w:val="18"/>
          <w:szCs w:val="18"/>
        </w:rPr>
      </w:pPr>
      <w:bookmarkStart w:id="96" w:name="_Ref72239688"/>
      <w:bookmarkStart w:id="97" w:name="_Toc77260270"/>
      <w:r w:rsidRPr="00316837">
        <w:rPr>
          <w:rFonts w:eastAsia="Calibri"/>
          <w:bCs/>
          <w:sz w:val="18"/>
          <w:szCs w:val="18"/>
        </w:rPr>
        <w:t xml:space="preserve">Figure </w:t>
      </w:r>
      <w:r w:rsidRPr="00316837">
        <w:rPr>
          <w:rFonts w:eastAsia="Calibri"/>
          <w:bCs/>
          <w:sz w:val="18"/>
          <w:szCs w:val="18"/>
        </w:rPr>
        <w:fldChar w:fldCharType="begin"/>
      </w:r>
      <w:r w:rsidRPr="00316837">
        <w:rPr>
          <w:rFonts w:eastAsia="Calibri"/>
          <w:bCs/>
          <w:sz w:val="18"/>
          <w:szCs w:val="18"/>
        </w:rPr>
        <w:instrText xml:space="preserve"> STYLEREF 1 \s </w:instrText>
      </w:r>
      <w:r w:rsidRPr="00316837">
        <w:rPr>
          <w:rFonts w:eastAsia="Calibri"/>
          <w:bCs/>
          <w:sz w:val="18"/>
          <w:szCs w:val="18"/>
        </w:rPr>
        <w:fldChar w:fldCharType="separate"/>
      </w:r>
      <w:r w:rsidR="00703397" w:rsidRPr="00316837">
        <w:rPr>
          <w:rFonts w:eastAsia="Calibri"/>
          <w:bCs/>
          <w:sz w:val="18"/>
          <w:szCs w:val="18"/>
        </w:rPr>
        <w:t>3</w:t>
      </w:r>
      <w:r w:rsidRPr="00316837">
        <w:rPr>
          <w:rFonts w:eastAsia="Calibri"/>
          <w:sz w:val="18"/>
          <w:szCs w:val="18"/>
        </w:rPr>
        <w:fldChar w:fldCharType="end"/>
      </w:r>
      <w:r w:rsidRPr="00C632F6">
        <w:rPr>
          <w:rFonts w:eastAsia="Calibri"/>
          <w:bCs/>
          <w:sz w:val="18"/>
          <w:szCs w:val="18"/>
        </w:rPr>
        <w:noBreakHyphen/>
      </w:r>
      <w:r w:rsidRPr="00316837">
        <w:rPr>
          <w:rFonts w:eastAsia="Calibri"/>
          <w:bCs/>
          <w:sz w:val="18"/>
          <w:szCs w:val="18"/>
        </w:rPr>
        <w:fldChar w:fldCharType="begin"/>
      </w:r>
      <w:r w:rsidRPr="00316837">
        <w:rPr>
          <w:rFonts w:eastAsia="Calibri"/>
          <w:bCs/>
          <w:sz w:val="18"/>
          <w:szCs w:val="18"/>
        </w:rPr>
        <w:instrText xml:space="preserve"> SEQ Figure \* ARABIC \s 1 </w:instrText>
      </w:r>
      <w:r w:rsidRPr="00316837">
        <w:rPr>
          <w:rFonts w:eastAsia="Calibri"/>
          <w:bCs/>
          <w:sz w:val="18"/>
          <w:szCs w:val="18"/>
        </w:rPr>
        <w:fldChar w:fldCharType="separate"/>
      </w:r>
      <w:r w:rsidR="00507C15">
        <w:rPr>
          <w:rFonts w:eastAsia="Calibri"/>
          <w:bCs/>
          <w:noProof/>
          <w:sz w:val="18"/>
          <w:szCs w:val="18"/>
        </w:rPr>
        <w:t>8</w:t>
      </w:r>
      <w:r w:rsidRPr="00316837">
        <w:rPr>
          <w:rFonts w:eastAsia="Calibri"/>
          <w:sz w:val="18"/>
          <w:szCs w:val="18"/>
        </w:rPr>
        <w:fldChar w:fldCharType="end"/>
      </w:r>
      <w:bookmarkEnd w:id="96"/>
      <w:r w:rsidRPr="00C632F6">
        <w:rPr>
          <w:rFonts w:eastAsia="Calibri"/>
          <w:bCs/>
          <w:sz w:val="18"/>
          <w:szCs w:val="18"/>
        </w:rPr>
        <w:t>: Customer journey in the market (source: WAPP)</w:t>
      </w:r>
      <w:bookmarkEnd w:id="97"/>
      <w:r w:rsidRPr="00C632F6">
        <w:rPr>
          <w:rFonts w:eastAsia="Calibri"/>
          <w:bCs/>
          <w:sz w:val="18"/>
          <w:szCs w:val="18"/>
        </w:rPr>
        <w:t xml:space="preserve"> </w:t>
      </w:r>
    </w:p>
    <w:p w14:paraId="5365D39C" w14:textId="218330DC" w:rsidR="00E70D87" w:rsidRPr="00316837" w:rsidRDefault="00E70D87" w:rsidP="0068151A">
      <w:pPr>
        <w:rPr>
          <w:rFonts w:eastAsia="Calibri"/>
          <w:szCs w:val="22"/>
        </w:rPr>
      </w:pPr>
      <w:r w:rsidRPr="00316837">
        <w:rPr>
          <w:rFonts w:eastAsia="Calibri"/>
          <w:szCs w:val="22"/>
        </w:rPr>
        <w:t xml:space="preserve">By pooling the energy resources and creating the regional electricity market, WAPP will bring immense opportunities and benefits to market participants, such as: optimisation of investments, optimisation of operating costs, improving security of electricity supply thanks to mutual assistance, improving reliability of the electrical system with reserve sharing possibilities, increasing cross-border electricity exchanges at competitive costs, etc. Through the supply or purchase of electricity at competitive prices in the framework of the regional electricity market, all market participants, i.e. electricity utilities, should profit once the infrastructures and the market are in place. </w:t>
      </w:r>
    </w:p>
    <w:p w14:paraId="61E845E1" w14:textId="09D400BB" w:rsidR="00A21496" w:rsidRPr="00316837" w:rsidRDefault="00744D32" w:rsidP="00744D32">
      <w:pPr>
        <w:pStyle w:val="Heading2"/>
        <w:rPr>
          <w:rFonts w:eastAsia="Calibri"/>
        </w:rPr>
      </w:pPr>
      <w:bookmarkStart w:id="98" w:name="_Toc77256302"/>
      <w:bookmarkStart w:id="99" w:name="_Toc77257542"/>
      <w:bookmarkStart w:id="100" w:name="_Toc77256303"/>
      <w:bookmarkStart w:id="101" w:name="_Toc77257543"/>
      <w:bookmarkStart w:id="102" w:name="_Toc77256304"/>
      <w:bookmarkStart w:id="103" w:name="_Toc77257544"/>
      <w:bookmarkStart w:id="104" w:name="_Toc77256305"/>
      <w:bookmarkStart w:id="105" w:name="_Toc77257545"/>
      <w:bookmarkStart w:id="106" w:name="_Toc77260299"/>
      <w:bookmarkEnd w:id="98"/>
      <w:bookmarkEnd w:id="99"/>
      <w:bookmarkEnd w:id="100"/>
      <w:bookmarkEnd w:id="101"/>
      <w:bookmarkEnd w:id="102"/>
      <w:bookmarkEnd w:id="103"/>
      <w:bookmarkEnd w:id="104"/>
      <w:bookmarkEnd w:id="105"/>
      <w:r w:rsidRPr="00C632F6">
        <w:rPr>
          <w:rFonts w:eastAsia="Calibri"/>
        </w:rPr>
        <w:t>EAPP</w:t>
      </w:r>
      <w:bookmarkEnd w:id="106"/>
    </w:p>
    <w:p w14:paraId="2B2C0CD7" w14:textId="77777777" w:rsidR="00844664" w:rsidRPr="00316837" w:rsidRDefault="00753DFA" w:rsidP="001A29F7">
      <w:r w:rsidRPr="00316837">
        <w:t xml:space="preserve">EAPP was established </w:t>
      </w:r>
      <w:r w:rsidR="00F37C4D" w:rsidRPr="00316837">
        <w:t xml:space="preserve">as a Power Pool </w:t>
      </w:r>
      <w:r w:rsidRPr="00316837">
        <w:t xml:space="preserve">in 2005 </w:t>
      </w:r>
      <w:r w:rsidR="00F37C4D" w:rsidRPr="00316837">
        <w:t xml:space="preserve">by the two Memoranda of Understanding: </w:t>
      </w:r>
    </w:p>
    <w:p w14:paraId="11D8F7EB" w14:textId="77777777" w:rsidR="00844664" w:rsidRPr="00316837" w:rsidRDefault="00753DFA" w:rsidP="006A5033">
      <w:pPr>
        <w:numPr>
          <w:ilvl w:val="0"/>
          <w:numId w:val="51"/>
        </w:numPr>
        <w:tabs>
          <w:tab w:val="num" w:pos="1417"/>
        </w:tabs>
        <w:ind w:left="720"/>
        <w:rPr>
          <w:rFonts w:eastAsia="Calibri"/>
          <w:szCs w:val="22"/>
        </w:rPr>
      </w:pPr>
      <w:r w:rsidRPr="00316837">
        <w:rPr>
          <w:rFonts w:eastAsia="Calibri"/>
          <w:szCs w:val="22"/>
        </w:rPr>
        <w:t xml:space="preserve">the Inter-Governmental </w:t>
      </w:r>
      <w:r w:rsidR="00F37C4D" w:rsidRPr="00316837">
        <w:rPr>
          <w:rFonts w:eastAsia="Calibri"/>
          <w:szCs w:val="22"/>
        </w:rPr>
        <w:t>Memorandum by the Eastern Africa countries</w:t>
      </w:r>
      <w:r w:rsidR="001A29F7" w:rsidRPr="00316837">
        <w:rPr>
          <w:rFonts w:eastAsia="Calibri"/>
          <w:szCs w:val="22"/>
        </w:rPr>
        <w:t xml:space="preserve"> (to enable the establishment of EAPP)</w:t>
      </w:r>
      <w:r w:rsidR="00F37C4D" w:rsidRPr="00316837">
        <w:rPr>
          <w:rFonts w:eastAsia="Calibri"/>
          <w:szCs w:val="22"/>
        </w:rPr>
        <w:t xml:space="preserve">, and </w:t>
      </w:r>
    </w:p>
    <w:p w14:paraId="0693B09A" w14:textId="536BB245" w:rsidR="00844664" w:rsidRPr="00316837" w:rsidRDefault="00F37C4D" w:rsidP="006A5033">
      <w:pPr>
        <w:numPr>
          <w:ilvl w:val="0"/>
          <w:numId w:val="51"/>
        </w:numPr>
        <w:tabs>
          <w:tab w:val="num" w:pos="1417"/>
        </w:tabs>
        <w:ind w:left="720"/>
        <w:rPr>
          <w:rFonts w:eastAsia="Calibri"/>
          <w:szCs w:val="22"/>
        </w:rPr>
      </w:pPr>
      <w:r w:rsidRPr="00316837">
        <w:rPr>
          <w:rFonts w:eastAsia="Calibri"/>
          <w:szCs w:val="22"/>
        </w:rPr>
        <w:t xml:space="preserve">the </w:t>
      </w:r>
      <w:r w:rsidR="00753DFA" w:rsidRPr="00316837">
        <w:rPr>
          <w:rFonts w:eastAsia="Calibri"/>
          <w:szCs w:val="22"/>
        </w:rPr>
        <w:t xml:space="preserve">Inter-Utility Memorandum </w:t>
      </w:r>
      <w:r w:rsidRPr="00316837">
        <w:rPr>
          <w:rFonts w:eastAsia="Calibri"/>
          <w:szCs w:val="22"/>
        </w:rPr>
        <w:t xml:space="preserve">by </w:t>
      </w:r>
      <w:r w:rsidR="00753DFA" w:rsidRPr="00316837">
        <w:rPr>
          <w:rFonts w:eastAsia="Calibri"/>
          <w:szCs w:val="22"/>
        </w:rPr>
        <w:t>the electricity utilities</w:t>
      </w:r>
      <w:r w:rsidRPr="00316837">
        <w:rPr>
          <w:rFonts w:eastAsia="Calibri"/>
          <w:szCs w:val="22"/>
        </w:rPr>
        <w:t xml:space="preserve"> of these countries</w:t>
      </w:r>
      <w:r w:rsidR="001A29F7" w:rsidRPr="00316837">
        <w:rPr>
          <w:rFonts w:eastAsia="Calibri"/>
          <w:szCs w:val="22"/>
        </w:rPr>
        <w:t xml:space="preserve"> (to define the fundamental principles for the management and operation of EAPP)</w:t>
      </w:r>
      <w:r w:rsidR="00753DFA" w:rsidRPr="00316837">
        <w:rPr>
          <w:rFonts w:eastAsia="Calibri"/>
          <w:szCs w:val="22"/>
        </w:rPr>
        <w:t xml:space="preserve">. </w:t>
      </w:r>
    </w:p>
    <w:p w14:paraId="3278962E" w14:textId="77777777" w:rsidR="00844664" w:rsidRPr="00316837" w:rsidRDefault="00753DFA" w:rsidP="001A29F7">
      <w:r w:rsidRPr="00316837">
        <w:t xml:space="preserve">In 2006, by </w:t>
      </w:r>
      <w:r w:rsidR="00F37C4D" w:rsidRPr="00316837">
        <w:t>D</w:t>
      </w:r>
      <w:r w:rsidRPr="00316837">
        <w:t xml:space="preserve">ecision </w:t>
      </w:r>
      <w:r w:rsidR="00F37C4D" w:rsidRPr="00316837">
        <w:t>of</w:t>
      </w:r>
      <w:r w:rsidRPr="00316837">
        <w:t xml:space="preserve"> the Heads of State and Government at the 11</w:t>
      </w:r>
      <w:r w:rsidRPr="00316837">
        <w:rPr>
          <w:vertAlign w:val="superscript"/>
        </w:rPr>
        <w:t>th</w:t>
      </w:r>
      <w:r w:rsidR="00F37C4D" w:rsidRPr="00316837">
        <w:t xml:space="preserve"> </w:t>
      </w:r>
      <w:r w:rsidRPr="00316837">
        <w:t xml:space="preserve">Summit of COMESA, EAPP evolved into a regional organisation and was adopted as a </w:t>
      </w:r>
      <w:r w:rsidR="00F37C4D" w:rsidRPr="00316837">
        <w:t>S</w:t>
      </w:r>
      <w:r w:rsidRPr="00316837">
        <w:t xml:space="preserve">pecialised </w:t>
      </w:r>
      <w:r w:rsidR="00F37C4D" w:rsidRPr="00316837">
        <w:t>I</w:t>
      </w:r>
      <w:r w:rsidRPr="00316837">
        <w:t xml:space="preserve">nstitution of COMESA for the electricity sector. </w:t>
      </w:r>
    </w:p>
    <w:p w14:paraId="4F82522D" w14:textId="65A2D2A9" w:rsidR="00F37C4D" w:rsidRPr="00316837" w:rsidRDefault="00F37C4D" w:rsidP="001A29F7">
      <w:r w:rsidRPr="00316837">
        <w:t xml:space="preserve">Headquarters of EAPP (i.e. the EAPP’s Permanent Secretariat) are located in Addis Ababa, Ethiopia. In 2012, the Conference of Energy Ministers of the EAPP Member States approved the transformation of EAPP’s Regulatory Forum into EAPP Independent Regulatory Board as a Regional Regulator, located at the EAPP’s Permanent Secretariat in Addis Ababa, Ethiopia. </w:t>
      </w:r>
    </w:p>
    <w:p w14:paraId="265049A5" w14:textId="77777777" w:rsidR="0056640A" w:rsidRPr="00316837" w:rsidRDefault="00753DFA" w:rsidP="00F37C4D">
      <w:r w:rsidRPr="00316837">
        <w:t>EAPP</w:t>
      </w:r>
      <w:r w:rsidR="00F37C4D" w:rsidRPr="00316837">
        <w:t xml:space="preserve"> was established with the </w:t>
      </w:r>
      <w:r w:rsidRPr="00316837">
        <w:t xml:space="preserve">purpose to foster power system interconnectivity in the </w:t>
      </w:r>
      <w:r w:rsidR="00F37C4D" w:rsidRPr="00316837">
        <w:t>Eastern Africa</w:t>
      </w:r>
      <w:r w:rsidRPr="00316837">
        <w:t xml:space="preserve"> Region, by encouraging cross-border electricity exchanges through the regional investment in electricity generation, transmission, and interconnection, and through the establishment of an operative framework for regional electricity exchanges.</w:t>
      </w:r>
      <w:r w:rsidR="00F37C4D" w:rsidRPr="00316837">
        <w:t xml:space="preserve"> </w:t>
      </w:r>
      <w:r w:rsidR="00213740" w:rsidRPr="00316837">
        <w:t xml:space="preserve">It facilitates bilateral and multilateral issues between its member utilities (active or affiliated) to enable development of the Power Pool (EAPP member utilities may include vertically integrated utilities or integrated utilities, owners of generation facilities and/or distribution companies and/or large consumers which are authorised within their national boundaries to trade within EAPP by their national system operator, TSOs, ITOs, and ISOs). </w:t>
      </w:r>
    </w:p>
    <w:p w14:paraId="097831BE" w14:textId="3E629D33" w:rsidR="00F37C4D" w:rsidRPr="00316837" w:rsidRDefault="00F37C4D" w:rsidP="00F37C4D">
      <w:bookmarkStart w:id="107" w:name="_Hlk76560128"/>
      <w:r w:rsidRPr="00316837">
        <w:t xml:space="preserve">Currently, </w:t>
      </w:r>
      <w:r w:rsidR="0056640A" w:rsidRPr="00316837">
        <w:t>EAPP</w:t>
      </w:r>
      <w:r w:rsidRPr="00316837">
        <w:t xml:space="preserve"> comprises 13 electricity utilities from 12 Member States. </w:t>
      </w:r>
      <w:r w:rsidR="00226DDD" w:rsidRPr="00316837">
        <w:t xml:space="preserve">These are either active members (public or concessionary utilities in charge of electricity generation, transmission or distribution in the region) or affiliate members (IPPs operating in the region who have fulfilled the membership conditions). </w:t>
      </w:r>
    </w:p>
    <w:bookmarkEnd w:id="107"/>
    <w:p w14:paraId="4A36DAAC" w14:textId="6BB75649" w:rsidR="00F37C4D" w:rsidRPr="00316837" w:rsidRDefault="00753DFA" w:rsidP="00753DFA">
      <w:pPr>
        <w:rPr>
          <w:szCs w:val="20"/>
        </w:rPr>
      </w:pPr>
      <w:r w:rsidRPr="00316837">
        <w:rPr>
          <w:szCs w:val="20"/>
        </w:rPr>
        <w:t>EAPP</w:t>
      </w:r>
      <w:r w:rsidR="00F37C4D" w:rsidRPr="00316837">
        <w:rPr>
          <w:szCs w:val="20"/>
        </w:rPr>
        <w:t xml:space="preserve">’s governing structure has six main levels (see </w:t>
      </w:r>
      <w:r w:rsidR="00F37C4D" w:rsidRPr="00316837">
        <w:rPr>
          <w:szCs w:val="20"/>
        </w:rPr>
        <w:fldChar w:fldCharType="begin"/>
      </w:r>
      <w:r w:rsidR="00F37C4D" w:rsidRPr="00316837">
        <w:rPr>
          <w:szCs w:val="20"/>
        </w:rPr>
        <w:instrText xml:space="preserve"> REF _Ref73365314 \h  \* MERGEFORMAT </w:instrText>
      </w:r>
      <w:r w:rsidR="00F37C4D" w:rsidRPr="00316837">
        <w:rPr>
          <w:szCs w:val="20"/>
        </w:rPr>
      </w:r>
      <w:r w:rsidR="00F37C4D" w:rsidRPr="00316837">
        <w:rPr>
          <w:szCs w:val="20"/>
        </w:rPr>
        <w:fldChar w:fldCharType="separate"/>
      </w:r>
      <w:r w:rsidR="00507C15" w:rsidRPr="006273BD">
        <w:rPr>
          <w:rFonts w:cs="Arial"/>
          <w:bCs/>
          <w:szCs w:val="20"/>
        </w:rPr>
        <w:t>Table 3</w:t>
      </w:r>
      <w:r w:rsidR="00507C15" w:rsidRPr="006273BD">
        <w:rPr>
          <w:rFonts w:cs="Arial"/>
          <w:bCs/>
          <w:szCs w:val="20"/>
        </w:rPr>
        <w:noBreakHyphen/>
        <w:t>8</w:t>
      </w:r>
      <w:r w:rsidR="00F37C4D" w:rsidRPr="00316837">
        <w:rPr>
          <w:szCs w:val="20"/>
        </w:rPr>
        <w:fldChar w:fldCharType="end"/>
      </w:r>
      <w:r w:rsidR="00F37C4D" w:rsidRPr="00C632F6">
        <w:rPr>
          <w:szCs w:val="20"/>
        </w:rPr>
        <w:t xml:space="preserve">). </w:t>
      </w:r>
    </w:p>
    <w:p w14:paraId="53FD079D" w14:textId="73762B92" w:rsidR="00F37C4D" w:rsidRPr="00316837" w:rsidRDefault="00F37C4D" w:rsidP="00F37C4D">
      <w:pPr>
        <w:suppressAutoHyphens w:val="0"/>
        <w:spacing w:before="120"/>
        <w:ind w:left="1134" w:hanging="1134"/>
        <w:rPr>
          <w:rFonts w:cs="Arial"/>
          <w:bCs/>
          <w:sz w:val="18"/>
          <w:szCs w:val="18"/>
        </w:rPr>
      </w:pPr>
      <w:bookmarkStart w:id="108" w:name="_Ref73365314"/>
      <w:bookmarkStart w:id="109" w:name="_Toc77260245"/>
      <w:r w:rsidRPr="00316837">
        <w:rPr>
          <w:rFonts w:cs="Arial"/>
          <w:bCs/>
          <w:sz w:val="18"/>
          <w:szCs w:val="18"/>
        </w:rPr>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507C15">
        <w:rPr>
          <w:rFonts w:cs="Arial"/>
          <w:bCs/>
          <w:noProof/>
          <w:sz w:val="18"/>
          <w:szCs w:val="18"/>
        </w:rPr>
        <w:t>8</w:t>
      </w:r>
      <w:r w:rsidRPr="00316837">
        <w:rPr>
          <w:rFonts w:cs="Arial"/>
          <w:bCs/>
          <w:sz w:val="18"/>
          <w:szCs w:val="18"/>
        </w:rPr>
        <w:fldChar w:fldCharType="end"/>
      </w:r>
      <w:bookmarkEnd w:id="108"/>
      <w:r w:rsidRPr="00C632F6">
        <w:rPr>
          <w:rFonts w:cs="Arial"/>
          <w:bCs/>
          <w:sz w:val="18"/>
          <w:szCs w:val="18"/>
        </w:rPr>
        <w:t>: EAPP’s governing structures</w:t>
      </w:r>
      <w:bookmarkEnd w:id="109"/>
      <w:r w:rsidRPr="00C632F6">
        <w:rPr>
          <w:rFonts w:cs="Arial"/>
          <w:bCs/>
          <w:sz w:val="18"/>
          <w:szCs w:val="18"/>
        </w:rPr>
        <w:t xml:space="preserve"> </w:t>
      </w:r>
    </w:p>
    <w:tbl>
      <w:tblPr>
        <w:tblStyle w:val="TableGrid"/>
        <w:tblW w:w="0" w:type="auto"/>
        <w:tblLook w:val="04A0" w:firstRow="1" w:lastRow="0" w:firstColumn="1" w:lastColumn="0" w:noHBand="0" w:noVBand="1"/>
      </w:tblPr>
      <w:tblGrid>
        <w:gridCol w:w="562"/>
        <w:gridCol w:w="1985"/>
        <w:gridCol w:w="7082"/>
      </w:tblGrid>
      <w:tr w:rsidR="00F37C4D" w:rsidRPr="00316837" w14:paraId="4DA0BD18" w14:textId="77777777" w:rsidTr="00E16180">
        <w:tc>
          <w:tcPr>
            <w:tcW w:w="562" w:type="dxa"/>
            <w:shd w:val="clear" w:color="auto" w:fill="F2F2F2" w:themeFill="background1" w:themeFillShade="F2"/>
          </w:tcPr>
          <w:p w14:paraId="2D19F9F6" w14:textId="77777777" w:rsidR="00F37C4D" w:rsidRPr="006273BD" w:rsidRDefault="00F37C4D" w:rsidP="00F37C4D">
            <w:pPr>
              <w:spacing w:before="120" w:after="120"/>
              <w:jc w:val="left"/>
              <w:rPr>
                <w:rFonts w:eastAsia="Calibri"/>
                <w:b/>
                <w:bCs/>
                <w:sz w:val="18"/>
                <w:szCs w:val="18"/>
              </w:rPr>
            </w:pPr>
            <w:r w:rsidRPr="006273BD">
              <w:rPr>
                <w:rFonts w:eastAsia="Calibri"/>
                <w:b/>
                <w:bCs/>
                <w:sz w:val="18"/>
                <w:szCs w:val="18"/>
              </w:rPr>
              <w:lastRenderedPageBreak/>
              <w:t>No.</w:t>
            </w:r>
          </w:p>
        </w:tc>
        <w:tc>
          <w:tcPr>
            <w:tcW w:w="1985" w:type="dxa"/>
            <w:shd w:val="clear" w:color="auto" w:fill="F2F2F2" w:themeFill="background1" w:themeFillShade="F2"/>
          </w:tcPr>
          <w:p w14:paraId="589729BB" w14:textId="48135BF9" w:rsidR="00F37C4D" w:rsidRPr="006273BD" w:rsidRDefault="00F37C4D" w:rsidP="00F37C4D">
            <w:pPr>
              <w:spacing w:before="120" w:after="120"/>
              <w:jc w:val="left"/>
              <w:rPr>
                <w:rFonts w:eastAsia="Calibri"/>
                <w:b/>
                <w:bCs/>
                <w:sz w:val="18"/>
                <w:szCs w:val="18"/>
              </w:rPr>
            </w:pPr>
            <w:r w:rsidRPr="006273BD">
              <w:rPr>
                <w:rFonts w:eastAsia="Calibri"/>
                <w:b/>
                <w:bCs/>
                <w:sz w:val="18"/>
                <w:szCs w:val="18"/>
              </w:rPr>
              <w:t xml:space="preserve">Organ </w:t>
            </w:r>
          </w:p>
        </w:tc>
        <w:tc>
          <w:tcPr>
            <w:tcW w:w="7082" w:type="dxa"/>
            <w:shd w:val="clear" w:color="auto" w:fill="F2F2F2" w:themeFill="background1" w:themeFillShade="F2"/>
          </w:tcPr>
          <w:p w14:paraId="3A28E332" w14:textId="77777777" w:rsidR="00F37C4D" w:rsidRPr="006273BD" w:rsidRDefault="00F37C4D" w:rsidP="00F37C4D">
            <w:pPr>
              <w:spacing w:before="120" w:after="120"/>
              <w:jc w:val="left"/>
              <w:rPr>
                <w:rFonts w:eastAsia="Calibri"/>
                <w:b/>
                <w:bCs/>
                <w:sz w:val="18"/>
                <w:szCs w:val="18"/>
              </w:rPr>
            </w:pPr>
            <w:r w:rsidRPr="006273BD">
              <w:rPr>
                <w:rFonts w:eastAsia="Calibri"/>
                <w:b/>
                <w:bCs/>
                <w:sz w:val="18"/>
                <w:szCs w:val="18"/>
              </w:rPr>
              <w:t>Description</w:t>
            </w:r>
          </w:p>
        </w:tc>
      </w:tr>
      <w:tr w:rsidR="00F37C4D" w:rsidRPr="00316837" w14:paraId="7C5DA452" w14:textId="77777777" w:rsidTr="00E16180">
        <w:tc>
          <w:tcPr>
            <w:tcW w:w="562" w:type="dxa"/>
          </w:tcPr>
          <w:p w14:paraId="2A8329F2" w14:textId="77777777" w:rsidR="00F37C4D" w:rsidRPr="00316837" w:rsidRDefault="00F37C4D" w:rsidP="00F37C4D">
            <w:pPr>
              <w:spacing w:before="120" w:after="120"/>
              <w:jc w:val="left"/>
              <w:rPr>
                <w:rFonts w:eastAsia="Calibri"/>
                <w:sz w:val="18"/>
                <w:szCs w:val="18"/>
              </w:rPr>
            </w:pPr>
            <w:r w:rsidRPr="00316837">
              <w:rPr>
                <w:rFonts w:eastAsia="Calibri"/>
                <w:sz w:val="18"/>
                <w:szCs w:val="18"/>
              </w:rPr>
              <w:t>1</w:t>
            </w:r>
          </w:p>
        </w:tc>
        <w:tc>
          <w:tcPr>
            <w:tcW w:w="1985" w:type="dxa"/>
          </w:tcPr>
          <w:p w14:paraId="04ECF5CB" w14:textId="3058CE65" w:rsidR="00F37C4D" w:rsidRPr="00316837" w:rsidRDefault="00F37C4D" w:rsidP="00F37C4D">
            <w:pPr>
              <w:spacing w:before="120" w:after="120"/>
              <w:jc w:val="left"/>
              <w:rPr>
                <w:rFonts w:eastAsia="Calibri"/>
                <w:sz w:val="18"/>
                <w:szCs w:val="18"/>
              </w:rPr>
            </w:pPr>
            <w:r w:rsidRPr="00316837">
              <w:rPr>
                <w:rFonts w:eastAsia="Calibri"/>
                <w:sz w:val="18"/>
                <w:szCs w:val="18"/>
              </w:rPr>
              <w:t>Conference of Ministers</w:t>
            </w:r>
            <w:r w:rsidR="001D4932" w:rsidRPr="00316837">
              <w:rPr>
                <w:rFonts w:eastAsia="Calibri"/>
                <w:sz w:val="18"/>
                <w:szCs w:val="18"/>
              </w:rPr>
              <w:t xml:space="preserve"> </w:t>
            </w:r>
          </w:p>
        </w:tc>
        <w:tc>
          <w:tcPr>
            <w:tcW w:w="7082" w:type="dxa"/>
          </w:tcPr>
          <w:p w14:paraId="119E2E29" w14:textId="16AE7E50" w:rsidR="00F37C4D" w:rsidRPr="00316837" w:rsidRDefault="00F37C4D" w:rsidP="00F37C4D">
            <w:pPr>
              <w:spacing w:before="120" w:after="120"/>
              <w:jc w:val="left"/>
              <w:rPr>
                <w:rFonts w:eastAsia="Calibri"/>
                <w:sz w:val="18"/>
                <w:szCs w:val="18"/>
              </w:rPr>
            </w:pPr>
            <w:r w:rsidRPr="00316837">
              <w:rPr>
                <w:rFonts w:eastAsia="Calibri"/>
                <w:sz w:val="18"/>
                <w:szCs w:val="18"/>
              </w:rPr>
              <w:t xml:space="preserve">The highest decision-making body of EAPP. </w:t>
            </w:r>
            <w:r w:rsidR="00213740" w:rsidRPr="00316837">
              <w:rPr>
                <w:rFonts w:eastAsia="Calibri"/>
                <w:sz w:val="18"/>
                <w:szCs w:val="18"/>
              </w:rPr>
              <w:t xml:space="preserve">Responsible for resolving major policy issues and for admitting new members to EAPP. Represented by the Energy Ministers in each member state. </w:t>
            </w:r>
          </w:p>
        </w:tc>
      </w:tr>
      <w:tr w:rsidR="00F37C4D" w:rsidRPr="00316837" w14:paraId="34BAAC44" w14:textId="77777777" w:rsidTr="00E16180">
        <w:tc>
          <w:tcPr>
            <w:tcW w:w="562" w:type="dxa"/>
          </w:tcPr>
          <w:p w14:paraId="2F75DE4B" w14:textId="77777777" w:rsidR="00F37C4D" w:rsidRPr="00316837" w:rsidRDefault="00F37C4D" w:rsidP="00F37C4D">
            <w:pPr>
              <w:spacing w:before="120" w:after="120"/>
              <w:jc w:val="left"/>
              <w:rPr>
                <w:rFonts w:eastAsia="Calibri"/>
                <w:sz w:val="18"/>
                <w:szCs w:val="18"/>
              </w:rPr>
            </w:pPr>
            <w:r w:rsidRPr="00316837">
              <w:rPr>
                <w:rFonts w:eastAsia="Calibri"/>
                <w:sz w:val="18"/>
                <w:szCs w:val="18"/>
              </w:rPr>
              <w:t>2</w:t>
            </w:r>
          </w:p>
        </w:tc>
        <w:tc>
          <w:tcPr>
            <w:tcW w:w="1985" w:type="dxa"/>
          </w:tcPr>
          <w:p w14:paraId="57DDAA80" w14:textId="59F2C81D" w:rsidR="00F37C4D" w:rsidRPr="00316837" w:rsidRDefault="00F37C4D" w:rsidP="00F37C4D">
            <w:pPr>
              <w:spacing w:before="120" w:after="120"/>
              <w:jc w:val="left"/>
              <w:rPr>
                <w:rFonts w:eastAsia="Calibri"/>
                <w:sz w:val="18"/>
                <w:szCs w:val="18"/>
              </w:rPr>
            </w:pPr>
            <w:r w:rsidRPr="00316837">
              <w:rPr>
                <w:rFonts w:eastAsia="Calibri"/>
                <w:sz w:val="18"/>
                <w:szCs w:val="18"/>
              </w:rPr>
              <w:t>Steering Committee</w:t>
            </w:r>
            <w:r w:rsidR="001D4932" w:rsidRPr="00316837">
              <w:rPr>
                <w:rFonts w:eastAsia="Calibri"/>
                <w:sz w:val="18"/>
                <w:szCs w:val="18"/>
              </w:rPr>
              <w:t xml:space="preserve"> </w:t>
            </w:r>
          </w:p>
        </w:tc>
        <w:tc>
          <w:tcPr>
            <w:tcW w:w="7082" w:type="dxa"/>
          </w:tcPr>
          <w:p w14:paraId="6DE2E6BC" w14:textId="38E69CF0" w:rsidR="00F37C4D" w:rsidRPr="00316837" w:rsidRDefault="00213740" w:rsidP="00213740">
            <w:pPr>
              <w:spacing w:before="120" w:after="120"/>
              <w:jc w:val="left"/>
              <w:rPr>
                <w:rFonts w:eastAsia="Calibri"/>
                <w:sz w:val="18"/>
                <w:szCs w:val="18"/>
              </w:rPr>
            </w:pPr>
            <w:r w:rsidRPr="00316837">
              <w:rPr>
                <w:rFonts w:eastAsia="Calibri"/>
                <w:sz w:val="18"/>
                <w:szCs w:val="18"/>
              </w:rPr>
              <w:t xml:space="preserve">Reports directly to the Conference of Ministers and acts as the Board of Directors of EAPP. Consists of the chief executive officers or managing directors of EAPP member utilities. </w:t>
            </w:r>
          </w:p>
        </w:tc>
      </w:tr>
      <w:tr w:rsidR="00F37C4D" w:rsidRPr="00316837" w14:paraId="3B508796" w14:textId="77777777" w:rsidTr="00E16180">
        <w:tc>
          <w:tcPr>
            <w:tcW w:w="562" w:type="dxa"/>
          </w:tcPr>
          <w:p w14:paraId="786F6AD1" w14:textId="77777777" w:rsidR="00F37C4D" w:rsidRPr="00316837" w:rsidRDefault="00F37C4D" w:rsidP="00F37C4D">
            <w:pPr>
              <w:spacing w:before="120" w:after="120"/>
              <w:jc w:val="left"/>
              <w:rPr>
                <w:rFonts w:eastAsia="Calibri"/>
                <w:sz w:val="18"/>
                <w:szCs w:val="18"/>
              </w:rPr>
            </w:pPr>
            <w:r w:rsidRPr="00316837">
              <w:rPr>
                <w:rFonts w:eastAsia="Calibri"/>
                <w:sz w:val="18"/>
                <w:szCs w:val="18"/>
              </w:rPr>
              <w:t>3</w:t>
            </w:r>
          </w:p>
        </w:tc>
        <w:tc>
          <w:tcPr>
            <w:tcW w:w="1985" w:type="dxa"/>
          </w:tcPr>
          <w:p w14:paraId="6561C404" w14:textId="51F3EF0E" w:rsidR="00F37C4D" w:rsidRPr="00316837" w:rsidRDefault="00F37C4D" w:rsidP="00F37C4D">
            <w:pPr>
              <w:spacing w:before="120" w:after="120"/>
              <w:jc w:val="left"/>
              <w:rPr>
                <w:rFonts w:eastAsia="Calibri"/>
                <w:sz w:val="18"/>
                <w:szCs w:val="18"/>
              </w:rPr>
            </w:pPr>
            <w:r w:rsidRPr="00316837">
              <w:rPr>
                <w:rFonts w:eastAsia="Calibri"/>
                <w:sz w:val="18"/>
                <w:szCs w:val="18"/>
              </w:rPr>
              <w:t>Independent Regulatory Board</w:t>
            </w:r>
            <w:r w:rsidR="001D4932" w:rsidRPr="00316837">
              <w:rPr>
                <w:rFonts w:eastAsia="Calibri"/>
                <w:sz w:val="18"/>
                <w:szCs w:val="18"/>
              </w:rPr>
              <w:t xml:space="preserve"> </w:t>
            </w:r>
          </w:p>
        </w:tc>
        <w:tc>
          <w:tcPr>
            <w:tcW w:w="7082" w:type="dxa"/>
          </w:tcPr>
          <w:p w14:paraId="76841624" w14:textId="1626C2DB" w:rsidR="00F37C4D" w:rsidRPr="00316837" w:rsidRDefault="00D66636" w:rsidP="00213740">
            <w:pPr>
              <w:spacing w:before="120" w:after="120"/>
              <w:jc w:val="left"/>
              <w:rPr>
                <w:rFonts w:eastAsia="Calibri"/>
                <w:sz w:val="18"/>
                <w:szCs w:val="18"/>
              </w:rPr>
            </w:pPr>
            <w:r w:rsidRPr="00316837">
              <w:rPr>
                <w:rFonts w:eastAsia="Calibri"/>
                <w:sz w:val="18"/>
                <w:szCs w:val="18"/>
              </w:rPr>
              <w:t>EAPP</w:t>
            </w:r>
            <w:r w:rsidR="00213740" w:rsidRPr="00316837">
              <w:rPr>
                <w:rFonts w:eastAsia="Calibri"/>
                <w:sz w:val="18"/>
                <w:szCs w:val="18"/>
              </w:rPr>
              <w:t>’s organ which</w:t>
            </w:r>
            <w:r w:rsidRPr="00316837">
              <w:rPr>
                <w:rFonts w:eastAsia="Calibri"/>
                <w:sz w:val="18"/>
                <w:szCs w:val="18"/>
              </w:rPr>
              <w:t xml:space="preserve"> act</w:t>
            </w:r>
            <w:r w:rsidR="00213740" w:rsidRPr="00316837">
              <w:rPr>
                <w:rFonts w:eastAsia="Calibri"/>
                <w:sz w:val="18"/>
                <w:szCs w:val="18"/>
              </w:rPr>
              <w:t>s</w:t>
            </w:r>
            <w:r w:rsidRPr="00316837">
              <w:rPr>
                <w:rFonts w:eastAsia="Calibri"/>
                <w:sz w:val="18"/>
                <w:szCs w:val="18"/>
              </w:rPr>
              <w:t xml:space="preserve"> as </w:t>
            </w:r>
            <w:r w:rsidR="00533C25" w:rsidRPr="00316837">
              <w:rPr>
                <w:rFonts w:eastAsia="Calibri"/>
                <w:sz w:val="18"/>
                <w:szCs w:val="18"/>
              </w:rPr>
              <w:t>the regional regulatory authority (</w:t>
            </w:r>
            <w:r w:rsidRPr="00316837">
              <w:rPr>
                <w:rFonts w:eastAsia="Calibri"/>
                <w:sz w:val="18"/>
                <w:szCs w:val="18"/>
              </w:rPr>
              <w:t>Regional Regulator</w:t>
            </w:r>
            <w:r w:rsidR="00533C25" w:rsidRPr="00316837">
              <w:rPr>
                <w:rFonts w:eastAsia="Calibri"/>
                <w:sz w:val="18"/>
                <w:szCs w:val="18"/>
              </w:rPr>
              <w:t>)</w:t>
            </w:r>
            <w:r w:rsidRPr="00316837">
              <w:rPr>
                <w:sz w:val="18"/>
                <w:szCs w:val="18"/>
              </w:rPr>
              <w:t xml:space="preserve"> </w:t>
            </w:r>
            <w:r w:rsidRPr="00316837">
              <w:rPr>
                <w:rFonts w:eastAsia="Calibri"/>
                <w:sz w:val="18"/>
                <w:szCs w:val="18"/>
              </w:rPr>
              <w:t xml:space="preserve">with mandate of providing fair and effective regulatory services to facilitate the development and efficient operation of the regional electricity market in the Eastern Africa Region and to ensure a conducive environment for regional infrastructure investments. </w:t>
            </w:r>
            <w:r w:rsidR="00213740" w:rsidRPr="00316837">
              <w:rPr>
                <w:rFonts w:eastAsia="Calibri"/>
                <w:sz w:val="18"/>
                <w:szCs w:val="18"/>
              </w:rPr>
              <w:t xml:space="preserve">Responsible for enforcing standards, procedures and specifications as set out by the Steering Committee; organising the electricity markets in EAPP; and settling any disputes which may arise between EAPP member utilities or related to the exchange and transactions within EAPP. Consists of nominees of </w:t>
            </w:r>
            <w:r w:rsidR="00533C25" w:rsidRPr="00316837">
              <w:rPr>
                <w:rFonts w:eastAsia="Calibri"/>
                <w:sz w:val="18"/>
                <w:szCs w:val="18"/>
              </w:rPr>
              <w:t>the national regulatory authoritie</w:t>
            </w:r>
            <w:r w:rsidR="00213740" w:rsidRPr="00316837">
              <w:rPr>
                <w:rFonts w:eastAsia="Calibri"/>
                <w:sz w:val="18"/>
                <w:szCs w:val="18"/>
              </w:rPr>
              <w:t>s in EAPP member states.</w:t>
            </w:r>
            <w:r w:rsidR="001D4932" w:rsidRPr="00316837">
              <w:rPr>
                <w:rFonts w:eastAsia="Calibri"/>
                <w:sz w:val="18"/>
                <w:szCs w:val="18"/>
              </w:rPr>
              <w:t xml:space="preserve"> </w:t>
            </w:r>
          </w:p>
          <w:p w14:paraId="411E7062" w14:textId="0197F390" w:rsidR="002B51CC" w:rsidRPr="00316837" w:rsidRDefault="002B51CC" w:rsidP="002B51CC">
            <w:pPr>
              <w:spacing w:before="120" w:after="120"/>
              <w:jc w:val="left"/>
              <w:rPr>
                <w:rFonts w:eastAsia="Calibri"/>
                <w:sz w:val="18"/>
                <w:szCs w:val="18"/>
              </w:rPr>
            </w:pPr>
            <w:r w:rsidRPr="00316837">
              <w:rPr>
                <w:rFonts w:eastAsia="Calibri"/>
                <w:sz w:val="18"/>
                <w:szCs w:val="18"/>
              </w:rPr>
              <w:t xml:space="preserve">With the support of the World Bank, the following six documents were recently completed as part of its full operationalisation: </w:t>
            </w:r>
          </w:p>
          <w:p w14:paraId="47CA3039" w14:textId="680E0C12" w:rsidR="002B51CC" w:rsidRPr="00316837" w:rsidRDefault="002B51CC" w:rsidP="00AB7DB1">
            <w:pPr>
              <w:numPr>
                <w:ilvl w:val="0"/>
                <w:numId w:val="28"/>
              </w:numPr>
              <w:spacing w:before="120" w:after="120"/>
              <w:jc w:val="left"/>
              <w:rPr>
                <w:rFonts w:eastAsia="Calibri"/>
                <w:sz w:val="18"/>
                <w:szCs w:val="18"/>
              </w:rPr>
            </w:pPr>
            <w:r w:rsidRPr="00316837">
              <w:rPr>
                <w:rFonts w:eastAsia="Calibri"/>
                <w:sz w:val="18"/>
                <w:szCs w:val="18"/>
              </w:rPr>
              <w:t>Ten-Year Strategic Plan (2021-2030);</w:t>
            </w:r>
            <w:r w:rsidR="001D4932" w:rsidRPr="00316837">
              <w:rPr>
                <w:rFonts w:eastAsia="Calibri"/>
                <w:sz w:val="18"/>
                <w:szCs w:val="18"/>
              </w:rPr>
              <w:t xml:space="preserve"> </w:t>
            </w:r>
          </w:p>
          <w:p w14:paraId="32A8E5A1" w14:textId="7DF1F76F" w:rsidR="002B51CC" w:rsidRPr="00316837" w:rsidRDefault="002B51CC" w:rsidP="00AB7DB1">
            <w:pPr>
              <w:numPr>
                <w:ilvl w:val="0"/>
                <w:numId w:val="28"/>
              </w:numPr>
              <w:spacing w:before="120" w:after="120"/>
              <w:jc w:val="left"/>
              <w:rPr>
                <w:rFonts w:eastAsia="Calibri"/>
                <w:sz w:val="18"/>
                <w:szCs w:val="18"/>
              </w:rPr>
            </w:pPr>
            <w:r w:rsidRPr="00316837">
              <w:rPr>
                <w:rFonts w:eastAsia="Calibri"/>
                <w:sz w:val="18"/>
                <w:szCs w:val="18"/>
              </w:rPr>
              <w:t>Three-Year Action Plan (2021- 2024);</w:t>
            </w:r>
            <w:r w:rsidR="001D4932" w:rsidRPr="00316837">
              <w:rPr>
                <w:rFonts w:eastAsia="Calibri"/>
                <w:sz w:val="18"/>
                <w:szCs w:val="18"/>
              </w:rPr>
              <w:t xml:space="preserve"> </w:t>
            </w:r>
          </w:p>
          <w:p w14:paraId="147E330C" w14:textId="46AE68EA" w:rsidR="002B51CC" w:rsidRPr="00316837" w:rsidRDefault="002B51CC" w:rsidP="00AB7DB1">
            <w:pPr>
              <w:numPr>
                <w:ilvl w:val="0"/>
                <w:numId w:val="28"/>
              </w:numPr>
              <w:spacing w:before="120" w:after="120"/>
              <w:jc w:val="left"/>
              <w:rPr>
                <w:rFonts w:eastAsia="Calibri"/>
                <w:sz w:val="18"/>
                <w:szCs w:val="18"/>
              </w:rPr>
            </w:pPr>
            <w:r w:rsidRPr="00316837">
              <w:rPr>
                <w:rFonts w:eastAsia="Calibri"/>
                <w:sz w:val="18"/>
                <w:szCs w:val="18"/>
              </w:rPr>
              <w:t>Self-Sustaining Funding Mechanism Report;</w:t>
            </w:r>
            <w:r w:rsidR="001D4932" w:rsidRPr="00316837">
              <w:rPr>
                <w:rFonts w:eastAsia="Calibri"/>
                <w:sz w:val="18"/>
                <w:szCs w:val="18"/>
              </w:rPr>
              <w:t xml:space="preserve"> </w:t>
            </w:r>
          </w:p>
          <w:p w14:paraId="487919DE" w14:textId="2BFBC222" w:rsidR="002B51CC" w:rsidRPr="00316837" w:rsidRDefault="002B51CC" w:rsidP="00AB7DB1">
            <w:pPr>
              <w:numPr>
                <w:ilvl w:val="0"/>
                <w:numId w:val="28"/>
              </w:numPr>
              <w:spacing w:before="120" w:after="120"/>
              <w:jc w:val="left"/>
              <w:rPr>
                <w:rFonts w:eastAsia="Calibri"/>
                <w:sz w:val="18"/>
                <w:szCs w:val="18"/>
              </w:rPr>
            </w:pPr>
            <w:r w:rsidRPr="00316837">
              <w:rPr>
                <w:rFonts w:eastAsia="Calibri"/>
                <w:sz w:val="18"/>
                <w:szCs w:val="18"/>
              </w:rPr>
              <w:t>IRB office Operations Manual;</w:t>
            </w:r>
            <w:r w:rsidR="001D4932" w:rsidRPr="00316837">
              <w:rPr>
                <w:rFonts w:eastAsia="Calibri"/>
                <w:sz w:val="18"/>
                <w:szCs w:val="18"/>
              </w:rPr>
              <w:t xml:space="preserve"> </w:t>
            </w:r>
          </w:p>
          <w:p w14:paraId="68E23090" w14:textId="7453661E" w:rsidR="002B51CC" w:rsidRPr="00316837" w:rsidRDefault="002B51CC" w:rsidP="00AB7DB1">
            <w:pPr>
              <w:numPr>
                <w:ilvl w:val="0"/>
                <w:numId w:val="28"/>
              </w:numPr>
              <w:spacing w:before="120" w:after="120"/>
              <w:jc w:val="left"/>
              <w:rPr>
                <w:rFonts w:eastAsia="Calibri"/>
                <w:sz w:val="18"/>
                <w:szCs w:val="18"/>
              </w:rPr>
            </w:pPr>
            <w:r w:rsidRPr="00316837">
              <w:rPr>
                <w:rFonts w:eastAsia="Calibri"/>
                <w:sz w:val="18"/>
                <w:szCs w:val="18"/>
              </w:rPr>
              <w:t>Capacity Building Recommendations (Training Needs Assessment); and</w:t>
            </w:r>
            <w:r w:rsidR="001D4932" w:rsidRPr="00316837">
              <w:rPr>
                <w:rFonts w:eastAsia="Calibri"/>
                <w:sz w:val="18"/>
                <w:szCs w:val="18"/>
              </w:rPr>
              <w:t xml:space="preserve"> </w:t>
            </w:r>
          </w:p>
          <w:p w14:paraId="2652388F" w14:textId="09494842" w:rsidR="002B51CC" w:rsidRPr="00316837" w:rsidRDefault="002B51CC" w:rsidP="00AB7DB1">
            <w:pPr>
              <w:numPr>
                <w:ilvl w:val="0"/>
                <w:numId w:val="28"/>
              </w:numPr>
              <w:spacing w:before="120" w:after="120"/>
              <w:jc w:val="left"/>
              <w:rPr>
                <w:rFonts w:eastAsia="Calibri"/>
                <w:sz w:val="18"/>
                <w:szCs w:val="18"/>
              </w:rPr>
            </w:pPr>
            <w:r w:rsidRPr="00316837">
              <w:rPr>
                <w:rFonts w:eastAsia="Calibri"/>
                <w:sz w:val="18"/>
                <w:szCs w:val="18"/>
              </w:rPr>
              <w:t xml:space="preserve">Road Map and Implementation Plan. </w:t>
            </w:r>
          </w:p>
        </w:tc>
      </w:tr>
      <w:tr w:rsidR="00F37C4D" w:rsidRPr="00316837" w14:paraId="14AB0AC8" w14:textId="77777777" w:rsidTr="00E16180">
        <w:tc>
          <w:tcPr>
            <w:tcW w:w="562" w:type="dxa"/>
          </w:tcPr>
          <w:p w14:paraId="1B6E63D4" w14:textId="77777777" w:rsidR="00F37C4D" w:rsidRPr="00316837" w:rsidRDefault="00F37C4D" w:rsidP="00F37C4D">
            <w:pPr>
              <w:spacing w:before="120" w:after="120"/>
              <w:jc w:val="left"/>
              <w:rPr>
                <w:rFonts w:eastAsia="Calibri"/>
                <w:sz w:val="18"/>
                <w:szCs w:val="18"/>
              </w:rPr>
            </w:pPr>
            <w:r w:rsidRPr="00316837">
              <w:rPr>
                <w:rFonts w:eastAsia="Calibri"/>
                <w:sz w:val="18"/>
                <w:szCs w:val="18"/>
              </w:rPr>
              <w:t>4</w:t>
            </w:r>
          </w:p>
        </w:tc>
        <w:tc>
          <w:tcPr>
            <w:tcW w:w="1985" w:type="dxa"/>
          </w:tcPr>
          <w:p w14:paraId="74F889CA" w14:textId="3E818FF3" w:rsidR="00F37C4D" w:rsidRPr="00316837" w:rsidRDefault="00F37C4D" w:rsidP="00F37C4D">
            <w:pPr>
              <w:spacing w:before="120" w:after="120"/>
              <w:jc w:val="left"/>
              <w:rPr>
                <w:rFonts w:eastAsia="Calibri"/>
                <w:sz w:val="18"/>
                <w:szCs w:val="18"/>
              </w:rPr>
            </w:pPr>
            <w:r w:rsidRPr="00316837">
              <w:rPr>
                <w:rFonts w:eastAsia="Calibri"/>
                <w:sz w:val="18"/>
                <w:szCs w:val="18"/>
              </w:rPr>
              <w:t>Permanent Secretariat</w:t>
            </w:r>
            <w:r w:rsidR="001D4932" w:rsidRPr="00316837">
              <w:rPr>
                <w:rFonts w:eastAsia="Calibri"/>
                <w:sz w:val="18"/>
                <w:szCs w:val="18"/>
              </w:rPr>
              <w:t xml:space="preserve"> </w:t>
            </w:r>
          </w:p>
        </w:tc>
        <w:tc>
          <w:tcPr>
            <w:tcW w:w="7082" w:type="dxa"/>
          </w:tcPr>
          <w:p w14:paraId="17939AEC" w14:textId="7A8C099D" w:rsidR="00F37C4D" w:rsidRPr="00316837" w:rsidRDefault="00213740" w:rsidP="00213740">
            <w:pPr>
              <w:spacing w:before="120" w:after="120"/>
              <w:jc w:val="left"/>
              <w:rPr>
                <w:rFonts w:eastAsia="Calibri"/>
                <w:sz w:val="18"/>
                <w:szCs w:val="18"/>
              </w:rPr>
            </w:pPr>
            <w:r w:rsidRPr="00316837">
              <w:rPr>
                <w:rFonts w:eastAsia="Calibri"/>
                <w:sz w:val="18"/>
                <w:szCs w:val="18"/>
              </w:rPr>
              <w:t>Oversees the administration of EAPP. Headed by an Executive Secretary recommended by the Steering Committee.</w:t>
            </w:r>
          </w:p>
        </w:tc>
      </w:tr>
      <w:tr w:rsidR="00F37C4D" w:rsidRPr="00316837" w14:paraId="1E0D0D4B" w14:textId="77777777" w:rsidTr="00E16180">
        <w:tc>
          <w:tcPr>
            <w:tcW w:w="562" w:type="dxa"/>
          </w:tcPr>
          <w:p w14:paraId="261E43EE" w14:textId="4106367E" w:rsidR="00F37C4D" w:rsidRPr="00316837" w:rsidRDefault="00213740" w:rsidP="00F37C4D">
            <w:pPr>
              <w:spacing w:before="120" w:after="120"/>
              <w:jc w:val="left"/>
              <w:rPr>
                <w:rFonts w:eastAsia="Calibri"/>
                <w:sz w:val="18"/>
                <w:szCs w:val="18"/>
              </w:rPr>
            </w:pPr>
            <w:r w:rsidRPr="00316837">
              <w:rPr>
                <w:rFonts w:eastAsia="Calibri"/>
                <w:sz w:val="18"/>
                <w:szCs w:val="18"/>
              </w:rPr>
              <w:t>5</w:t>
            </w:r>
          </w:p>
        </w:tc>
        <w:tc>
          <w:tcPr>
            <w:tcW w:w="1985" w:type="dxa"/>
          </w:tcPr>
          <w:p w14:paraId="7220D1C8" w14:textId="0B7C2B48" w:rsidR="00F37C4D" w:rsidRPr="00316837" w:rsidRDefault="00F37C4D" w:rsidP="00F37C4D">
            <w:pPr>
              <w:spacing w:before="120" w:after="120"/>
              <w:jc w:val="left"/>
              <w:rPr>
                <w:rFonts w:eastAsia="Calibri"/>
                <w:sz w:val="18"/>
                <w:szCs w:val="18"/>
              </w:rPr>
            </w:pPr>
            <w:r w:rsidRPr="00316837">
              <w:rPr>
                <w:rFonts w:eastAsia="Calibri"/>
                <w:sz w:val="18"/>
                <w:szCs w:val="18"/>
              </w:rPr>
              <w:t>Technical Sub-Committees</w:t>
            </w:r>
            <w:r w:rsidR="001D4932" w:rsidRPr="00316837">
              <w:rPr>
                <w:rFonts w:eastAsia="Calibri"/>
                <w:sz w:val="18"/>
                <w:szCs w:val="18"/>
              </w:rPr>
              <w:t xml:space="preserve"> </w:t>
            </w:r>
          </w:p>
        </w:tc>
        <w:tc>
          <w:tcPr>
            <w:tcW w:w="7082" w:type="dxa"/>
          </w:tcPr>
          <w:p w14:paraId="6CCD2AA9" w14:textId="34F99EB4" w:rsidR="00F37C4D" w:rsidRPr="00316837" w:rsidRDefault="00F37C4D" w:rsidP="00F37C4D">
            <w:pPr>
              <w:spacing w:before="120" w:after="120"/>
              <w:jc w:val="left"/>
              <w:rPr>
                <w:rFonts w:eastAsia="Calibri"/>
                <w:sz w:val="18"/>
                <w:szCs w:val="18"/>
              </w:rPr>
            </w:pPr>
            <w:r w:rsidRPr="00316837">
              <w:rPr>
                <w:rFonts w:eastAsia="Calibri"/>
                <w:sz w:val="18"/>
                <w:szCs w:val="18"/>
              </w:rPr>
              <w:t>Operational arms responsible for the implementation of technical activities:</w:t>
            </w:r>
            <w:r w:rsidR="001D4932" w:rsidRPr="00316837">
              <w:rPr>
                <w:rFonts w:eastAsia="Calibri"/>
                <w:sz w:val="18"/>
                <w:szCs w:val="18"/>
              </w:rPr>
              <w:t xml:space="preserve"> </w:t>
            </w:r>
          </w:p>
          <w:p w14:paraId="1A3B8405" w14:textId="56DD987B" w:rsidR="00F37C4D" w:rsidRPr="00316837" w:rsidRDefault="00F37C4D" w:rsidP="00AB7DB1">
            <w:pPr>
              <w:numPr>
                <w:ilvl w:val="0"/>
                <w:numId w:val="36"/>
              </w:numPr>
              <w:spacing w:before="120" w:after="120"/>
              <w:jc w:val="left"/>
              <w:rPr>
                <w:rFonts w:eastAsia="Calibri"/>
                <w:sz w:val="18"/>
                <w:szCs w:val="18"/>
              </w:rPr>
            </w:pPr>
            <w:r w:rsidRPr="00316837">
              <w:rPr>
                <w:rFonts w:eastAsia="Calibri"/>
                <w:sz w:val="18"/>
                <w:szCs w:val="18"/>
              </w:rPr>
              <w:t xml:space="preserve">Planning Sub-Committee, which is responsible for coordination of master plans and development programmes of </w:t>
            </w:r>
            <w:r w:rsidR="00213740" w:rsidRPr="00316837">
              <w:rPr>
                <w:rFonts w:eastAsia="Calibri"/>
                <w:sz w:val="18"/>
                <w:szCs w:val="18"/>
              </w:rPr>
              <w:t>EAPP</w:t>
            </w:r>
            <w:r w:rsidRPr="00316837">
              <w:rPr>
                <w:rFonts w:eastAsia="Calibri"/>
                <w:sz w:val="18"/>
                <w:szCs w:val="18"/>
              </w:rPr>
              <w:t xml:space="preserve"> member utilities; </w:t>
            </w:r>
          </w:p>
          <w:p w14:paraId="7844711B" w14:textId="095E6899" w:rsidR="00F37C4D" w:rsidRPr="00316837" w:rsidRDefault="00F37C4D" w:rsidP="00AB7DB1">
            <w:pPr>
              <w:numPr>
                <w:ilvl w:val="0"/>
                <w:numId w:val="36"/>
              </w:numPr>
              <w:spacing w:before="120" w:after="120"/>
              <w:jc w:val="left"/>
              <w:rPr>
                <w:rFonts w:eastAsia="Calibri"/>
                <w:sz w:val="18"/>
                <w:szCs w:val="18"/>
              </w:rPr>
            </w:pPr>
            <w:r w:rsidRPr="00316837">
              <w:rPr>
                <w:rFonts w:eastAsia="Calibri"/>
                <w:sz w:val="18"/>
                <w:szCs w:val="18"/>
              </w:rPr>
              <w:t xml:space="preserve">Operations Sub-Committee, which is responsible for definition of the operation and maintenance rules of power plants and networks involved in EAPP (its other specific tasks are defined in the Operation Agreement); and </w:t>
            </w:r>
          </w:p>
          <w:p w14:paraId="701CDB11" w14:textId="7AEEBD63" w:rsidR="00F37C4D" w:rsidRPr="00316837" w:rsidRDefault="00F37C4D" w:rsidP="00AB7DB1">
            <w:pPr>
              <w:numPr>
                <w:ilvl w:val="0"/>
                <w:numId w:val="36"/>
              </w:numPr>
              <w:spacing w:before="120" w:after="120"/>
              <w:jc w:val="left"/>
              <w:rPr>
                <w:rFonts w:eastAsia="Calibri"/>
                <w:sz w:val="18"/>
                <w:szCs w:val="18"/>
              </w:rPr>
            </w:pPr>
            <w:r w:rsidRPr="00316837">
              <w:rPr>
                <w:rFonts w:eastAsia="Calibri"/>
                <w:sz w:val="18"/>
                <w:szCs w:val="18"/>
              </w:rPr>
              <w:t xml:space="preserve">Environment Sub-Committee, which is responsible for the environmental impact assessment and mitigation measures on the electrical installations within EAPP. </w:t>
            </w:r>
          </w:p>
        </w:tc>
      </w:tr>
      <w:tr w:rsidR="00213740" w:rsidRPr="00316837" w14:paraId="3D9B0DAD" w14:textId="77777777" w:rsidTr="00213740">
        <w:tc>
          <w:tcPr>
            <w:tcW w:w="562" w:type="dxa"/>
          </w:tcPr>
          <w:p w14:paraId="1969F73D" w14:textId="19EF334D" w:rsidR="00213740" w:rsidRPr="00316837" w:rsidRDefault="00213740" w:rsidP="00E16180">
            <w:pPr>
              <w:spacing w:before="120" w:after="120"/>
              <w:jc w:val="left"/>
              <w:rPr>
                <w:rFonts w:eastAsia="Calibri"/>
                <w:sz w:val="18"/>
                <w:szCs w:val="18"/>
              </w:rPr>
            </w:pPr>
            <w:r w:rsidRPr="00316837">
              <w:rPr>
                <w:rFonts w:eastAsia="Calibri"/>
                <w:sz w:val="18"/>
                <w:szCs w:val="18"/>
              </w:rPr>
              <w:t>6</w:t>
            </w:r>
          </w:p>
        </w:tc>
        <w:tc>
          <w:tcPr>
            <w:tcW w:w="1985" w:type="dxa"/>
          </w:tcPr>
          <w:p w14:paraId="113EA825" w14:textId="35952001" w:rsidR="00213740" w:rsidRPr="00316837" w:rsidRDefault="00213740" w:rsidP="00E16180">
            <w:pPr>
              <w:spacing w:before="120" w:after="120"/>
              <w:jc w:val="left"/>
              <w:rPr>
                <w:rFonts w:eastAsia="Calibri"/>
                <w:sz w:val="18"/>
                <w:szCs w:val="18"/>
              </w:rPr>
            </w:pPr>
            <w:r w:rsidRPr="00316837">
              <w:rPr>
                <w:rFonts w:eastAsia="Calibri"/>
                <w:sz w:val="18"/>
                <w:szCs w:val="18"/>
              </w:rPr>
              <w:t>Coordination Centre</w:t>
            </w:r>
            <w:r w:rsidR="001D4932" w:rsidRPr="00316837">
              <w:rPr>
                <w:rFonts w:eastAsia="Calibri"/>
                <w:sz w:val="18"/>
                <w:szCs w:val="18"/>
              </w:rPr>
              <w:t xml:space="preserve"> </w:t>
            </w:r>
          </w:p>
        </w:tc>
        <w:tc>
          <w:tcPr>
            <w:tcW w:w="7082" w:type="dxa"/>
          </w:tcPr>
          <w:p w14:paraId="41DC5AFA" w14:textId="674A3F26" w:rsidR="00213740" w:rsidRPr="00316837" w:rsidRDefault="00213740" w:rsidP="00213740">
            <w:pPr>
              <w:spacing w:before="120" w:after="120"/>
              <w:jc w:val="left"/>
              <w:rPr>
                <w:rFonts w:eastAsia="Calibri"/>
                <w:sz w:val="18"/>
                <w:szCs w:val="18"/>
              </w:rPr>
            </w:pPr>
            <w:r w:rsidRPr="00316837">
              <w:rPr>
                <w:rFonts w:eastAsia="Calibri"/>
                <w:sz w:val="18"/>
                <w:szCs w:val="18"/>
              </w:rPr>
              <w:t>Yet to be established under the guidance of the Sub-Committee on Operation. To become responsible for the collection of technical and commercial information necessary for the operation of the regional interconnected power system and exchanges of electricity between EAPP member utilities/countries.</w:t>
            </w:r>
            <w:r w:rsidR="001D4932" w:rsidRPr="00316837">
              <w:rPr>
                <w:rFonts w:eastAsia="Calibri"/>
                <w:sz w:val="18"/>
                <w:szCs w:val="18"/>
              </w:rPr>
              <w:t xml:space="preserve"> </w:t>
            </w:r>
          </w:p>
        </w:tc>
      </w:tr>
    </w:tbl>
    <w:p w14:paraId="0BE1CE31" w14:textId="0EC3D294" w:rsidR="00316837" w:rsidRDefault="000E113B" w:rsidP="000E113B">
      <w:bookmarkStart w:id="110" w:name="_Hlk76560158"/>
      <w:r w:rsidRPr="00316837">
        <w:t xml:space="preserve">In 2021, the regional electricity system and market operation in the Eastern Africa Region is at a critical juncture since many national transmission systems will soon be interconnected and many of the electricity utilities will be enabled for the first time to trade in electricity across borders. </w:t>
      </w:r>
      <w:r w:rsidR="00316837" w:rsidRPr="00316837">
        <w:t xml:space="preserve">The priority generation and transmission (integration) projects for </w:t>
      </w:r>
      <w:r w:rsidR="00507C15">
        <w:t>E</w:t>
      </w:r>
      <w:r w:rsidR="00316837" w:rsidRPr="00316837">
        <w:t>APP have been identified and listed in the Continental Master Plan 1 Baseline Study (Deliverables 2&amp;3) for the short-, medium- and long terms.</w:t>
      </w:r>
    </w:p>
    <w:p w14:paraId="1CEB3F26" w14:textId="5AA1CA7C" w:rsidR="00074D21" w:rsidRPr="00316837" w:rsidRDefault="00074D21" w:rsidP="000E113B">
      <w:r w:rsidRPr="00316837">
        <w:t>Several c</w:t>
      </w:r>
      <w:r w:rsidR="000E113B" w:rsidRPr="00316837">
        <w:t xml:space="preserve">ritical interconnection projects </w:t>
      </w:r>
      <w:r w:rsidRPr="00316837">
        <w:t xml:space="preserve">which will </w:t>
      </w:r>
      <w:r w:rsidR="000E113B" w:rsidRPr="00316837">
        <w:t xml:space="preserve">serve as </w:t>
      </w:r>
      <w:r w:rsidRPr="00316837">
        <w:t xml:space="preserve">the main backbone </w:t>
      </w:r>
      <w:r w:rsidR="000E113B" w:rsidRPr="00316837">
        <w:t xml:space="preserve">transmission </w:t>
      </w:r>
      <w:r w:rsidRPr="00316837">
        <w:t>line</w:t>
      </w:r>
      <w:r w:rsidR="000E113B" w:rsidRPr="00316837">
        <w:t>s are progressing and are close to completion</w:t>
      </w:r>
      <w:r w:rsidRPr="00316837">
        <w:t>:</w:t>
      </w:r>
      <w:r w:rsidR="000E113B" w:rsidRPr="00316837">
        <w:t xml:space="preserve"> </w:t>
      </w:r>
    </w:p>
    <w:p w14:paraId="0D13A166" w14:textId="2F4E0CAD" w:rsidR="00074D21" w:rsidRPr="00316837" w:rsidRDefault="00074D21" w:rsidP="00AB7DB1">
      <w:pPr>
        <w:pStyle w:val="ListParagraph"/>
        <w:numPr>
          <w:ilvl w:val="0"/>
          <w:numId w:val="29"/>
        </w:numPr>
        <w:spacing w:before="160" w:after="0" w:line="288" w:lineRule="auto"/>
        <w:rPr>
          <w:rFonts w:ascii="Arial" w:hAnsi="Arial" w:cs="Arial"/>
          <w:sz w:val="20"/>
          <w:szCs w:val="20"/>
          <w:lang w:val="en-GB"/>
        </w:rPr>
      </w:pPr>
      <w:r w:rsidRPr="00316837">
        <w:rPr>
          <w:rFonts w:ascii="Arial" w:hAnsi="Arial" w:cs="Arial"/>
          <w:sz w:val="20"/>
          <w:szCs w:val="20"/>
          <w:lang w:val="en-GB"/>
        </w:rPr>
        <w:lastRenderedPageBreak/>
        <w:t xml:space="preserve">Ethiopia-Kenya interconnector (HVDC 500 kV, 1100 MW), expected to be commissioned before the end of 2021 and committed 400 MW for export as per the first phase of PPA; </w:t>
      </w:r>
    </w:p>
    <w:p w14:paraId="7F950A12" w14:textId="1D9580A4" w:rsidR="00074D21" w:rsidRPr="00316837" w:rsidRDefault="00074D21" w:rsidP="00AB7DB1">
      <w:pPr>
        <w:pStyle w:val="ListParagraph"/>
        <w:numPr>
          <w:ilvl w:val="0"/>
          <w:numId w:val="2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Ethiopia-Sudan interconnector (the second phase), under study; </w:t>
      </w:r>
    </w:p>
    <w:p w14:paraId="13B0574B" w14:textId="38CBB202" w:rsidR="00074D21" w:rsidRPr="00316837" w:rsidRDefault="00074D21" w:rsidP="00AB7DB1">
      <w:pPr>
        <w:pStyle w:val="ListParagraph"/>
        <w:numPr>
          <w:ilvl w:val="0"/>
          <w:numId w:val="2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Zambia-Tanzania-Kenya interconnector, under implementation; and </w:t>
      </w:r>
    </w:p>
    <w:p w14:paraId="3FC289AA" w14:textId="75394DF2" w:rsidR="00074D21" w:rsidRPr="00316837" w:rsidRDefault="00074D21" w:rsidP="00AB7DB1">
      <w:pPr>
        <w:pStyle w:val="ListParagraph"/>
        <w:numPr>
          <w:ilvl w:val="0"/>
          <w:numId w:val="2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Uganda-Tanzania interconnector, under study. </w:t>
      </w:r>
    </w:p>
    <w:p w14:paraId="6C12200E" w14:textId="2528232A" w:rsidR="000E113B" w:rsidRPr="00316837" w:rsidRDefault="000E113B" w:rsidP="000E113B">
      <w:r w:rsidRPr="00316837">
        <w:t>Hence, EAPP with the support of development partners (W</w:t>
      </w:r>
      <w:r w:rsidR="00337FDF" w:rsidRPr="00316837">
        <w:t xml:space="preserve">orld </w:t>
      </w:r>
      <w:r w:rsidRPr="00316837">
        <w:t>B</w:t>
      </w:r>
      <w:r w:rsidR="00337FDF" w:rsidRPr="00316837">
        <w:t>ank</w:t>
      </w:r>
      <w:r w:rsidRPr="00316837">
        <w:t xml:space="preserve">, SIDA, NORAD, AfDB, USAID) initiated several activities and programmes to ensure the Power Pool’s interconnected grid is operated safely for the purpose of facilitating regional electricity trade. This has been guided by </w:t>
      </w:r>
      <w:r w:rsidR="003230F5" w:rsidRPr="00316837">
        <w:t>the</w:t>
      </w:r>
      <w:r w:rsidRPr="00316837">
        <w:t xml:space="preserve"> EAPP </w:t>
      </w:r>
      <w:r w:rsidR="003230F5" w:rsidRPr="00316837">
        <w:t>Ten</w:t>
      </w:r>
      <w:r w:rsidRPr="00316837">
        <w:t xml:space="preserve">-Year Strategic Plan </w:t>
      </w:r>
      <w:r w:rsidR="003230F5" w:rsidRPr="00316837">
        <w:t xml:space="preserve">(2021-2030) </w:t>
      </w:r>
      <w:r w:rsidRPr="00316837">
        <w:t xml:space="preserve">and the </w:t>
      </w:r>
      <w:r w:rsidR="003230F5" w:rsidRPr="00316837">
        <w:t>Three-Year Action Plan (2021-2024)</w:t>
      </w:r>
      <w:r w:rsidRPr="00316837">
        <w:t xml:space="preserve">. </w:t>
      </w:r>
      <w:bookmarkEnd w:id="110"/>
      <w:r w:rsidR="003230F5" w:rsidRPr="00316837">
        <w:t>The</w:t>
      </w:r>
      <w:r w:rsidRPr="00316837">
        <w:t xml:space="preserve"> ongoing activities include: </w:t>
      </w:r>
    </w:p>
    <w:p w14:paraId="0E64A117" w14:textId="2F12C0AD" w:rsidR="000E113B" w:rsidRPr="00316837" w:rsidRDefault="000E113B" w:rsidP="00AB7DB1">
      <w:pPr>
        <w:pStyle w:val="ListParagraph"/>
        <w:numPr>
          <w:ilvl w:val="0"/>
          <w:numId w:val="3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Operational Readiness Study (IC compliance, development of operation guidelines, Power Balance Statement, and development of the EAPP load flow and dynamic simulation model); </w:t>
      </w:r>
    </w:p>
    <w:p w14:paraId="4584A754" w14:textId="5836B950" w:rsidR="000E113B" w:rsidRPr="00316837" w:rsidRDefault="000E113B" w:rsidP="00AB7DB1">
      <w:pPr>
        <w:pStyle w:val="ListParagraph"/>
        <w:numPr>
          <w:ilvl w:val="0"/>
          <w:numId w:val="3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Preparation for the Commercial Readiness Study and implementation of the EAPP trading platform; </w:t>
      </w:r>
    </w:p>
    <w:p w14:paraId="0D140F4B" w14:textId="05C1D1D5" w:rsidR="000E113B" w:rsidRPr="00316837" w:rsidRDefault="000E113B" w:rsidP="00AB7DB1">
      <w:pPr>
        <w:pStyle w:val="ListParagraph"/>
        <w:numPr>
          <w:ilvl w:val="0"/>
          <w:numId w:val="3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Preparation for the development of Regional Power System Master Plan and feasibility studies of regional interconnection projects; and </w:t>
      </w:r>
    </w:p>
    <w:p w14:paraId="04C902B6" w14:textId="2CD602D8" w:rsidR="000E113B" w:rsidRPr="00316837" w:rsidRDefault="000E113B" w:rsidP="00AB7DB1">
      <w:pPr>
        <w:pStyle w:val="ListParagraph"/>
        <w:numPr>
          <w:ilvl w:val="0"/>
          <w:numId w:val="3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Capacity building of the EAPP’s and electricity utilities’ staff (the EAPP Permanent Secretariat and the EAPP Technical Sub-Committees members). </w:t>
      </w:r>
    </w:p>
    <w:p w14:paraId="5DF3F95B" w14:textId="77777777" w:rsidR="003230F5" w:rsidRPr="00316837" w:rsidRDefault="003230F5" w:rsidP="003230F5">
      <w:r w:rsidRPr="00316837">
        <w:t xml:space="preserve">The Operational Readiness Study is being performed with the support of the World Bank through the consultancy services conducted by TRACTEBEL. One of the four tasks of the Study is the “Power System Analysis of the EAPP Region’’, wherein the steady-state and dynamic analyses are conducted for the EAPP Region for 2020 and 2025 to show transmission bottlenecks that could affect the regional electricity market (the full final report was made available and shared on 28 May 2021). </w:t>
      </w:r>
    </w:p>
    <w:p w14:paraId="125166D3" w14:textId="66441C06" w:rsidR="003230F5" w:rsidRPr="00316837" w:rsidRDefault="003230F5" w:rsidP="003230F5">
      <w:r w:rsidRPr="00316837">
        <w:t xml:space="preserve">The following recommendations are given to address them: </w:t>
      </w:r>
    </w:p>
    <w:p w14:paraId="32D2F74D" w14:textId="39F999A6" w:rsidR="003230F5" w:rsidRPr="00316837" w:rsidRDefault="003230F5"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load flow analysis detected many violations under </w:t>
      </w:r>
      <w:r w:rsidR="00B6101C" w:rsidRPr="00316837">
        <w:rPr>
          <w:rFonts w:ascii="Arial" w:hAnsi="Arial" w:cs="Arial"/>
          <w:sz w:val="20"/>
          <w:szCs w:val="20"/>
          <w:lang w:val="en-GB"/>
        </w:rPr>
        <w:t>(</w:t>
      </w:r>
      <w:r w:rsidRPr="00316837">
        <w:rPr>
          <w:rFonts w:ascii="Arial" w:hAnsi="Arial" w:cs="Arial"/>
          <w:sz w:val="20"/>
          <w:szCs w:val="20"/>
          <w:lang w:val="en-GB"/>
        </w:rPr>
        <w:t>N</w:t>
      </w:r>
      <w:r w:rsidR="00B6101C" w:rsidRPr="00316837">
        <w:rPr>
          <w:rFonts w:ascii="Arial" w:hAnsi="Arial" w:cs="Arial"/>
          <w:sz w:val="20"/>
          <w:szCs w:val="20"/>
          <w:lang w:val="en-GB"/>
        </w:rPr>
        <w:t>)</w:t>
      </w:r>
      <w:r w:rsidRPr="00316837">
        <w:rPr>
          <w:rFonts w:ascii="Arial" w:hAnsi="Arial" w:cs="Arial"/>
          <w:sz w:val="20"/>
          <w:szCs w:val="20"/>
          <w:lang w:val="en-GB"/>
        </w:rPr>
        <w:t xml:space="preserve"> and </w:t>
      </w:r>
      <w:r w:rsidR="00B6101C" w:rsidRPr="00316837">
        <w:rPr>
          <w:rFonts w:ascii="Arial" w:hAnsi="Arial" w:cs="Arial"/>
          <w:sz w:val="20"/>
          <w:szCs w:val="20"/>
          <w:lang w:val="en-GB"/>
        </w:rPr>
        <w:t>(</w:t>
      </w:r>
      <w:r w:rsidRPr="00316837">
        <w:rPr>
          <w:rFonts w:ascii="Arial" w:hAnsi="Arial" w:cs="Arial"/>
          <w:sz w:val="20"/>
          <w:szCs w:val="20"/>
          <w:lang w:val="en-GB"/>
        </w:rPr>
        <w:t>N-1</w:t>
      </w:r>
      <w:r w:rsidR="00B6101C" w:rsidRPr="00316837">
        <w:rPr>
          <w:rFonts w:ascii="Arial" w:hAnsi="Arial" w:cs="Arial"/>
          <w:sz w:val="20"/>
          <w:szCs w:val="20"/>
          <w:lang w:val="en-GB"/>
        </w:rPr>
        <w:t>)</w:t>
      </w:r>
      <w:r w:rsidRPr="00316837">
        <w:rPr>
          <w:rFonts w:ascii="Arial" w:hAnsi="Arial" w:cs="Arial"/>
          <w:sz w:val="20"/>
          <w:szCs w:val="20"/>
          <w:lang w:val="en-GB"/>
        </w:rPr>
        <w:t xml:space="preserve"> conditions in several EAPP member states, and called for the development of a mitigation plan under the Operational Readiness and its implementation by specific countries; </w:t>
      </w:r>
    </w:p>
    <w:p w14:paraId="62662302" w14:textId="77D6FCCB" w:rsidR="003230F5" w:rsidRPr="00316837" w:rsidRDefault="003230F5"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transient stability analysis detected cases in which a loss of synchronism was observed, and called for the installation of the Out-Of-Step protection at all tie-lines indicated in the analysis; </w:t>
      </w:r>
    </w:p>
    <w:p w14:paraId="0359DBFF" w14:textId="3210FD73" w:rsidR="003230F5" w:rsidRPr="00316837" w:rsidRDefault="003230F5"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transient stability analysis also called for the installation and adjustment of the Out-Of-Step protection for isolated units losing synchronism, as identified in some simulations; </w:t>
      </w:r>
    </w:p>
    <w:p w14:paraId="5D656742" w14:textId="6199D3B0" w:rsidR="003230F5" w:rsidRPr="00316837" w:rsidRDefault="003230F5"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analyses advised the deployment of the Special Protection Schemes in case of radial interconnections (single or double circuit) to prevent system collapse in case of system separation due to the loss of the interconnection (e.g. tower failures); </w:t>
      </w:r>
    </w:p>
    <w:p w14:paraId="2CC4AE04" w14:textId="0F8D21FD" w:rsidR="003230F5" w:rsidRPr="00316837" w:rsidRDefault="003230F5"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dynamic simulations identified some interarea modes with low damping ratios, and recommended the installation of Power System Stabilisers where they are not and their proper tuning. It also recommended to enforce, via grid code requirements, that every generating unit with nominal capacity equal or higher than 30 MVA be equipped with a Power System Stabiliser in service tuned to provide positive damping for electromechanical oscillations within the range of 0.15 to 2.0 Hz; </w:t>
      </w:r>
    </w:p>
    <w:p w14:paraId="734B9ADC" w14:textId="05597472" w:rsidR="003230F5" w:rsidRPr="00316837" w:rsidRDefault="003230F5"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dynamic simulations also suggested the installation of Phasor Measurement Units at the tie-lines to improve the observability of interarea modes and provide useful data for other applications (real-time monitoring, post-mortem analysis of widespread blackouts, model validation, etc.); </w:t>
      </w:r>
    </w:p>
    <w:p w14:paraId="10E8EF0F" w14:textId="26A96E99" w:rsidR="003230F5" w:rsidRPr="00316837" w:rsidRDefault="003230F5"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lastRenderedPageBreak/>
        <w:t xml:space="preserve">The analyses </w:t>
      </w:r>
      <w:r w:rsidR="001D5A75" w:rsidRPr="00316837">
        <w:rPr>
          <w:rFonts w:ascii="Arial" w:hAnsi="Arial" w:cs="Arial"/>
          <w:sz w:val="20"/>
          <w:szCs w:val="20"/>
          <w:lang w:val="en-GB"/>
        </w:rPr>
        <w:t xml:space="preserve">called for the definition of </w:t>
      </w:r>
      <w:r w:rsidRPr="00316837">
        <w:rPr>
          <w:rFonts w:ascii="Arial" w:hAnsi="Arial" w:cs="Arial"/>
          <w:sz w:val="20"/>
          <w:szCs w:val="20"/>
          <w:lang w:val="en-GB"/>
        </w:rPr>
        <w:t xml:space="preserve">the Net Transfer Capacities between neighbouring </w:t>
      </w:r>
      <w:r w:rsidR="001D5A75" w:rsidRPr="00316837">
        <w:rPr>
          <w:rFonts w:ascii="Arial" w:hAnsi="Arial" w:cs="Arial"/>
          <w:sz w:val="20"/>
          <w:szCs w:val="20"/>
          <w:lang w:val="en-GB"/>
        </w:rPr>
        <w:t>systems/</w:t>
      </w:r>
      <w:r w:rsidRPr="00316837">
        <w:rPr>
          <w:rFonts w:ascii="Arial" w:hAnsi="Arial" w:cs="Arial"/>
          <w:sz w:val="20"/>
          <w:szCs w:val="20"/>
          <w:lang w:val="en-GB"/>
        </w:rPr>
        <w:t>countries or different scenario to guarantee safe and stable operation</w:t>
      </w:r>
      <w:r w:rsidR="001D5A75" w:rsidRPr="00316837">
        <w:rPr>
          <w:rFonts w:ascii="Arial" w:hAnsi="Arial" w:cs="Arial"/>
          <w:sz w:val="20"/>
          <w:szCs w:val="20"/>
          <w:lang w:val="en-GB"/>
        </w:rPr>
        <w:t xml:space="preserve"> as the complexity of the grid increases;</w:t>
      </w:r>
      <w:r w:rsidRPr="00316837">
        <w:rPr>
          <w:rFonts w:ascii="Arial" w:hAnsi="Arial" w:cs="Arial"/>
          <w:sz w:val="20"/>
          <w:szCs w:val="20"/>
          <w:lang w:val="en-GB"/>
        </w:rPr>
        <w:t xml:space="preserve"> </w:t>
      </w:r>
    </w:p>
    <w:p w14:paraId="5327C506" w14:textId="2A86B36D" w:rsidR="003230F5" w:rsidRPr="00316837" w:rsidRDefault="001D5A75"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The analyses detected that l</w:t>
      </w:r>
      <w:r w:rsidR="003230F5" w:rsidRPr="00316837">
        <w:rPr>
          <w:rFonts w:ascii="Arial" w:hAnsi="Arial" w:cs="Arial"/>
          <w:sz w:val="20"/>
          <w:szCs w:val="20"/>
          <w:lang w:val="en-GB"/>
        </w:rPr>
        <w:t>ong overhead lines on 220</w:t>
      </w:r>
      <w:r w:rsidRPr="00316837">
        <w:rPr>
          <w:rFonts w:ascii="Arial" w:hAnsi="Arial" w:cs="Arial"/>
          <w:sz w:val="20"/>
          <w:szCs w:val="20"/>
          <w:lang w:val="en-GB"/>
        </w:rPr>
        <w:t xml:space="preserve"> </w:t>
      </w:r>
      <w:r w:rsidR="003230F5" w:rsidRPr="00316837">
        <w:rPr>
          <w:rFonts w:ascii="Arial" w:hAnsi="Arial" w:cs="Arial"/>
          <w:sz w:val="20"/>
          <w:szCs w:val="20"/>
          <w:lang w:val="en-GB"/>
        </w:rPr>
        <w:t>kV, 400</w:t>
      </w:r>
      <w:r w:rsidRPr="00316837">
        <w:rPr>
          <w:rFonts w:ascii="Arial" w:hAnsi="Arial" w:cs="Arial"/>
          <w:sz w:val="20"/>
          <w:szCs w:val="20"/>
          <w:lang w:val="en-GB"/>
        </w:rPr>
        <w:t xml:space="preserve"> </w:t>
      </w:r>
      <w:r w:rsidR="003230F5" w:rsidRPr="00316837">
        <w:rPr>
          <w:rFonts w:ascii="Arial" w:hAnsi="Arial" w:cs="Arial"/>
          <w:sz w:val="20"/>
          <w:szCs w:val="20"/>
          <w:lang w:val="en-GB"/>
        </w:rPr>
        <w:t>kV and 500 kV must have adequate reactive power compensation</w:t>
      </w:r>
      <w:r w:rsidRPr="00316837">
        <w:rPr>
          <w:rFonts w:ascii="Arial" w:hAnsi="Arial" w:cs="Arial"/>
          <w:sz w:val="20"/>
          <w:szCs w:val="20"/>
          <w:lang w:val="en-GB"/>
        </w:rPr>
        <w:t>;</w:t>
      </w:r>
      <w:r w:rsidR="003230F5" w:rsidRPr="00316837">
        <w:rPr>
          <w:rFonts w:ascii="Arial" w:hAnsi="Arial" w:cs="Arial"/>
          <w:sz w:val="20"/>
          <w:szCs w:val="20"/>
          <w:lang w:val="en-GB"/>
        </w:rPr>
        <w:t xml:space="preserve"> </w:t>
      </w:r>
    </w:p>
    <w:p w14:paraId="2BB91127" w14:textId="767676B9" w:rsidR="003230F5" w:rsidRPr="00316837" w:rsidRDefault="001D5A75"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The studies asked for paying attention to the operation of parallel lines at different voltage levels</w:t>
      </w:r>
      <w:r w:rsidR="003230F5" w:rsidRPr="00316837">
        <w:rPr>
          <w:rFonts w:ascii="Arial" w:hAnsi="Arial" w:cs="Arial"/>
          <w:sz w:val="20"/>
          <w:szCs w:val="20"/>
          <w:lang w:val="en-GB"/>
        </w:rPr>
        <w:t>. As the grid evolves rapidly, it is common to build new lines at higher voltage levels along the corridor of existing lines. If these lines at different voltage levels are operated in parallel, it is often observed that the line on the lower voltage is the limiting factor on the transfer capacity;</w:t>
      </w:r>
      <w:r w:rsidRPr="00316837">
        <w:rPr>
          <w:rFonts w:ascii="Arial" w:hAnsi="Arial" w:cs="Arial"/>
          <w:sz w:val="20"/>
          <w:szCs w:val="20"/>
          <w:lang w:val="en-GB"/>
        </w:rPr>
        <w:t xml:space="preserve"> </w:t>
      </w:r>
    </w:p>
    <w:p w14:paraId="6AE9C57D" w14:textId="57BF6E4D" w:rsidR="003230F5" w:rsidRPr="00316837" w:rsidRDefault="001D5A75"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The studies called for t</w:t>
      </w:r>
      <w:r w:rsidR="003230F5" w:rsidRPr="00316837">
        <w:rPr>
          <w:rFonts w:ascii="Arial" w:hAnsi="Arial" w:cs="Arial"/>
          <w:sz w:val="20"/>
          <w:szCs w:val="20"/>
          <w:lang w:val="en-GB"/>
        </w:rPr>
        <w:t xml:space="preserve">he implementation of </w:t>
      </w:r>
      <w:r w:rsidRPr="00316837">
        <w:rPr>
          <w:rFonts w:ascii="Arial" w:hAnsi="Arial" w:cs="Arial"/>
          <w:sz w:val="20"/>
          <w:szCs w:val="20"/>
          <w:lang w:val="en-GB"/>
        </w:rPr>
        <w:t xml:space="preserve">AGC </w:t>
      </w:r>
      <w:r w:rsidR="003230F5" w:rsidRPr="00316837">
        <w:rPr>
          <w:rFonts w:ascii="Arial" w:hAnsi="Arial" w:cs="Arial"/>
          <w:sz w:val="20"/>
          <w:szCs w:val="20"/>
          <w:lang w:val="en-GB"/>
        </w:rPr>
        <w:t xml:space="preserve">at </w:t>
      </w:r>
      <w:r w:rsidRPr="00316837">
        <w:rPr>
          <w:rFonts w:ascii="Arial" w:hAnsi="Arial" w:cs="Arial"/>
          <w:sz w:val="20"/>
          <w:szCs w:val="20"/>
          <w:lang w:val="en-GB"/>
        </w:rPr>
        <w:t xml:space="preserve">the </w:t>
      </w:r>
      <w:r w:rsidR="003230F5" w:rsidRPr="00316837">
        <w:rPr>
          <w:rFonts w:ascii="Arial" w:hAnsi="Arial" w:cs="Arial"/>
          <w:sz w:val="20"/>
          <w:szCs w:val="20"/>
          <w:lang w:val="en-GB"/>
        </w:rPr>
        <w:t xml:space="preserve">national and regional levels </w:t>
      </w:r>
      <w:r w:rsidRPr="00316837">
        <w:rPr>
          <w:rFonts w:ascii="Arial" w:hAnsi="Arial" w:cs="Arial"/>
          <w:sz w:val="20"/>
          <w:szCs w:val="20"/>
          <w:lang w:val="en-GB"/>
        </w:rPr>
        <w:t xml:space="preserve">in presence of </w:t>
      </w:r>
      <w:r w:rsidR="003230F5" w:rsidRPr="00316837">
        <w:rPr>
          <w:rFonts w:ascii="Arial" w:hAnsi="Arial" w:cs="Arial"/>
          <w:sz w:val="20"/>
          <w:szCs w:val="20"/>
          <w:lang w:val="en-GB"/>
        </w:rPr>
        <w:t>increased system complexity due to RES integration and deployment of interconnections. AGC should be implemented to provide both secondary frequency and tie-line power flow control;</w:t>
      </w:r>
      <w:r w:rsidRPr="00316837">
        <w:rPr>
          <w:rFonts w:ascii="Arial" w:hAnsi="Arial" w:cs="Arial"/>
          <w:sz w:val="20"/>
          <w:szCs w:val="20"/>
          <w:lang w:val="en-GB"/>
        </w:rPr>
        <w:t xml:space="preserve"> and </w:t>
      </w:r>
    </w:p>
    <w:p w14:paraId="590B71C5" w14:textId="4B84A411" w:rsidR="003230F5" w:rsidRPr="00316837" w:rsidRDefault="001D5A75"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The studies proposed the d</w:t>
      </w:r>
      <w:r w:rsidR="003230F5" w:rsidRPr="00316837">
        <w:rPr>
          <w:rFonts w:ascii="Arial" w:hAnsi="Arial" w:cs="Arial"/>
          <w:sz w:val="20"/>
          <w:szCs w:val="20"/>
          <w:lang w:val="en-GB"/>
        </w:rPr>
        <w:t>eployment of a harmonised Under Frequency Load Shedding scheme</w:t>
      </w:r>
      <w:r w:rsidRPr="00316837">
        <w:rPr>
          <w:rFonts w:ascii="Arial" w:hAnsi="Arial" w:cs="Arial"/>
          <w:sz w:val="20"/>
          <w:szCs w:val="20"/>
          <w:lang w:val="en-GB"/>
        </w:rPr>
        <w:t>, in f</w:t>
      </w:r>
      <w:r w:rsidR="003230F5" w:rsidRPr="00316837">
        <w:rPr>
          <w:rFonts w:ascii="Arial" w:hAnsi="Arial" w:cs="Arial"/>
          <w:sz w:val="20"/>
          <w:szCs w:val="20"/>
          <w:lang w:val="en-GB"/>
        </w:rPr>
        <w:t xml:space="preserve">orward looking </w:t>
      </w:r>
      <w:r w:rsidRPr="00316837">
        <w:rPr>
          <w:rFonts w:ascii="Arial" w:hAnsi="Arial" w:cs="Arial"/>
          <w:sz w:val="20"/>
          <w:szCs w:val="20"/>
          <w:lang w:val="en-GB"/>
        </w:rPr>
        <w:t xml:space="preserve">manner </w:t>
      </w:r>
      <w:r w:rsidR="003230F5" w:rsidRPr="00316837">
        <w:rPr>
          <w:rFonts w:ascii="Arial" w:hAnsi="Arial" w:cs="Arial"/>
          <w:sz w:val="20"/>
          <w:szCs w:val="20"/>
          <w:lang w:val="en-GB"/>
        </w:rPr>
        <w:t xml:space="preserve">in the sense </w:t>
      </w:r>
      <w:r w:rsidRPr="00316837">
        <w:rPr>
          <w:rFonts w:ascii="Arial" w:hAnsi="Arial" w:cs="Arial"/>
          <w:sz w:val="20"/>
          <w:szCs w:val="20"/>
          <w:lang w:val="en-GB"/>
        </w:rPr>
        <w:t>of a</w:t>
      </w:r>
      <w:r w:rsidR="003230F5" w:rsidRPr="00316837">
        <w:rPr>
          <w:rFonts w:ascii="Arial" w:hAnsi="Arial" w:cs="Arial"/>
          <w:sz w:val="20"/>
          <w:szCs w:val="20"/>
          <w:lang w:val="en-GB"/>
        </w:rPr>
        <w:t xml:space="preserve"> need for harmoni</w:t>
      </w:r>
      <w:r w:rsidRPr="00316837">
        <w:rPr>
          <w:rFonts w:ascii="Arial" w:hAnsi="Arial" w:cs="Arial"/>
          <w:sz w:val="20"/>
          <w:szCs w:val="20"/>
          <w:lang w:val="en-GB"/>
        </w:rPr>
        <w:t>s</w:t>
      </w:r>
      <w:r w:rsidR="003230F5" w:rsidRPr="00316837">
        <w:rPr>
          <w:rFonts w:ascii="Arial" w:hAnsi="Arial" w:cs="Arial"/>
          <w:sz w:val="20"/>
          <w:szCs w:val="20"/>
          <w:lang w:val="en-GB"/>
        </w:rPr>
        <w:t xml:space="preserve">ation of at least the first stage </w:t>
      </w:r>
      <w:r w:rsidRPr="00316837">
        <w:rPr>
          <w:rFonts w:ascii="Arial" w:hAnsi="Arial" w:cs="Arial"/>
          <w:sz w:val="20"/>
          <w:szCs w:val="20"/>
          <w:lang w:val="en-GB"/>
        </w:rPr>
        <w:t xml:space="preserve">of the scheme </w:t>
      </w:r>
      <w:r w:rsidR="003230F5" w:rsidRPr="00316837">
        <w:rPr>
          <w:rFonts w:ascii="Arial" w:hAnsi="Arial" w:cs="Arial"/>
          <w:sz w:val="20"/>
          <w:szCs w:val="20"/>
          <w:lang w:val="en-GB"/>
        </w:rPr>
        <w:t>for a future interconnection with SAPP.</w:t>
      </w:r>
      <w:r w:rsidRPr="00316837">
        <w:rPr>
          <w:rFonts w:ascii="Arial" w:hAnsi="Arial" w:cs="Arial"/>
          <w:sz w:val="20"/>
          <w:szCs w:val="20"/>
          <w:lang w:val="en-GB"/>
        </w:rPr>
        <w:t xml:space="preserve"> </w:t>
      </w:r>
    </w:p>
    <w:p w14:paraId="4DC52DCE" w14:textId="119574F0" w:rsidR="00337FDF" w:rsidRPr="00316837" w:rsidRDefault="00617966" w:rsidP="00337FDF">
      <w:r w:rsidRPr="00316837">
        <w:t xml:space="preserve">In addition to the implementation of the regional projects, </w:t>
      </w:r>
      <w:r w:rsidR="00337FDF" w:rsidRPr="00316837">
        <w:t xml:space="preserve">the </w:t>
      </w:r>
      <w:r w:rsidRPr="00316837">
        <w:t xml:space="preserve">EAPP </w:t>
      </w:r>
      <w:r w:rsidR="00337FDF" w:rsidRPr="00316837">
        <w:t>Ten Year Strategic P</w:t>
      </w:r>
      <w:r w:rsidRPr="00316837">
        <w:t xml:space="preserve">lan </w:t>
      </w:r>
      <w:r w:rsidR="00337FDF" w:rsidRPr="00316837">
        <w:t>(2021-2030) also identified yet another part of the hard infrastructure to be installed at the EAPP Headquarters Building that will give the Grid Coordination Unit the ability to monitor the regional electricity system operation (i.e. power flows and system stability) while facilitating the regional electricity market operations. This includes ICTs, communications infrastructure, SCADA/EMS for monitoring, and AGC for flow control at the interconnectors. It should be noted that although the EAPP Grid Coordination Unit will be equipped with such hard infrastructure, the regional dispatch and control is not envisaged at EAPP. The use of such hard infrastructure will be limited to monitoring and coordination</w:t>
      </w:r>
      <w:r w:rsidR="00821289" w:rsidRPr="00316837">
        <w:t xml:space="preserve"> (i.e. without having the capability to intervene on the interconnectors)</w:t>
      </w:r>
      <w:r w:rsidR="00337FDF" w:rsidRPr="00316837">
        <w:t xml:space="preserve">, whereas the real-time operation will be kept in the hands of transmission system operators in the EAPP member states. </w:t>
      </w:r>
    </w:p>
    <w:p w14:paraId="4444646C" w14:textId="4008BB24" w:rsidR="006B3481" w:rsidRPr="00316837" w:rsidRDefault="00337FDF" w:rsidP="006B3481">
      <w:r w:rsidRPr="00316837">
        <w:t xml:space="preserve">The EAPP Three-Year Action Plan (2021-2024) followed the above strategic lines and identified the regional dispatch and control/ICT capabilities to be a priority, with a tentative budget which is yet to be funded. In the short-term period (for 2022), it is planned to conduct preparatory activities for the design of SCADA/EMS/AGC, engage consultancy services, and finalise the design with the aim to get the necessary approval upon which SCADA/EMS/AGC will be procured. In the same short-term period (2022), it is also planned to develop a Roadmap for EAPP Energy Information System, and then to implement it. </w:t>
      </w:r>
      <w:r w:rsidR="00617966" w:rsidRPr="00316837">
        <w:t xml:space="preserve">Such </w:t>
      </w:r>
      <w:r w:rsidRPr="00316837">
        <w:t>short-term activities</w:t>
      </w:r>
      <w:r w:rsidR="00617966" w:rsidRPr="00316837">
        <w:t xml:space="preserve"> make a part of the preparatory works </w:t>
      </w:r>
      <w:r w:rsidR="003118FE" w:rsidRPr="00316837">
        <w:t>for</w:t>
      </w:r>
      <w:r w:rsidR="00617966" w:rsidRPr="00316837">
        <w:t xml:space="preserve"> </w:t>
      </w:r>
      <w:r w:rsidR="003118FE" w:rsidRPr="00316837">
        <w:t>coordination of</w:t>
      </w:r>
      <w:r w:rsidR="00617966" w:rsidRPr="00316837">
        <w:t xml:space="preserve"> the electricity system operation with the electricity market trade for which a short-term trading platform is </w:t>
      </w:r>
      <w:r w:rsidRPr="00316837">
        <w:t>needed</w:t>
      </w:r>
      <w:r w:rsidR="00617966" w:rsidRPr="00316837">
        <w:t xml:space="preserve">. </w:t>
      </w:r>
    </w:p>
    <w:p w14:paraId="67FB9CB9" w14:textId="406F5F13" w:rsidR="002D3869" w:rsidRPr="00316837" w:rsidRDefault="002D3869" w:rsidP="002D3869">
      <w:r w:rsidRPr="00316837">
        <w:t xml:space="preserve">EAPP is conducting different studies of the trading platform development under the World Bank financing (IDA Grant). The current status of activities is the following: </w:t>
      </w:r>
    </w:p>
    <w:p w14:paraId="3AB847BD" w14:textId="2F1D7DCA" w:rsidR="002D3869" w:rsidRPr="00316837" w:rsidRDefault="002D3869"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EAPP Market Design – ongoing, expected to be completed in July 2021; </w:t>
      </w:r>
    </w:p>
    <w:p w14:paraId="4AA4F207" w14:textId="3244476F" w:rsidR="002D3869" w:rsidRPr="00316837" w:rsidRDefault="002D3869"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Drafting of the Rules for the EAPP – expected to start in August 2021 and to be completed in December 2021; </w:t>
      </w:r>
    </w:p>
    <w:p w14:paraId="34E5E49D" w14:textId="6F4E5D34" w:rsidR="002D3869" w:rsidRPr="00316837" w:rsidRDefault="002D3869"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Preparation of the EAPP Market Trading Platform – expected to start in April 2022 and completed in December 2022; and </w:t>
      </w:r>
    </w:p>
    <w:p w14:paraId="72802E5A" w14:textId="6E1131F5" w:rsidR="002D3869" w:rsidRPr="00316837" w:rsidRDefault="002D3869" w:rsidP="00AB7DB1">
      <w:pPr>
        <w:pStyle w:val="ListParagraph"/>
        <w:numPr>
          <w:ilvl w:val="0"/>
          <w:numId w:val="3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Electricity trade – expected to start on the EAPP Market Platform in January 2023. </w:t>
      </w:r>
    </w:p>
    <w:p w14:paraId="1D46285A" w14:textId="2AC85F14" w:rsidR="00337FDF" w:rsidRPr="00316837" w:rsidRDefault="002D3869" w:rsidP="002D3869">
      <w:r w:rsidRPr="00316837">
        <w:t xml:space="preserve">Under the AfDB financing, EAPP is also conducting the “capacity building for the operationalisation of the EAPP regional power market trade project” (for the shadow market operations). </w:t>
      </w:r>
    </w:p>
    <w:p w14:paraId="0F81DC97" w14:textId="77704A78" w:rsidR="00617966" w:rsidRPr="00316837" w:rsidRDefault="003118FE" w:rsidP="00617966">
      <w:pPr>
        <w:rPr>
          <w:rFonts w:eastAsia="Calibri"/>
          <w:szCs w:val="20"/>
        </w:rPr>
      </w:pPr>
      <w:r w:rsidRPr="00316837">
        <w:rPr>
          <w:rFonts w:eastAsia="Calibri"/>
          <w:szCs w:val="22"/>
        </w:rPr>
        <w:t>T</w:t>
      </w:r>
      <w:r w:rsidR="00BF1A8D" w:rsidRPr="00316837">
        <w:rPr>
          <w:rFonts w:eastAsia="Calibri"/>
          <w:szCs w:val="22"/>
        </w:rPr>
        <w:t>he above</w:t>
      </w:r>
      <w:r w:rsidRPr="00316837">
        <w:rPr>
          <w:rFonts w:eastAsia="Calibri"/>
          <w:szCs w:val="22"/>
        </w:rPr>
        <w:t xml:space="preserve"> ongoing activities will feed into the </w:t>
      </w:r>
      <w:r w:rsidR="009113F6" w:rsidRPr="00316837">
        <w:rPr>
          <w:rFonts w:eastAsia="Calibri"/>
          <w:szCs w:val="22"/>
        </w:rPr>
        <w:t xml:space="preserve">revision of </w:t>
      </w:r>
      <w:r w:rsidRPr="00316837">
        <w:rPr>
          <w:rFonts w:eastAsia="Calibri"/>
          <w:szCs w:val="22"/>
        </w:rPr>
        <w:t xml:space="preserve">existing </w:t>
      </w:r>
      <w:r w:rsidR="00BF1A8D" w:rsidRPr="00316837">
        <w:rPr>
          <w:rFonts w:eastAsia="Calibri"/>
          <w:szCs w:val="22"/>
        </w:rPr>
        <w:t xml:space="preserve">system </w:t>
      </w:r>
      <w:r w:rsidR="00617966" w:rsidRPr="00316837">
        <w:t xml:space="preserve">and </w:t>
      </w:r>
      <w:r w:rsidR="00617966" w:rsidRPr="00316837">
        <w:rPr>
          <w:rFonts w:eastAsia="Calibri"/>
          <w:szCs w:val="22"/>
        </w:rPr>
        <w:t xml:space="preserve">market governance </w:t>
      </w:r>
      <w:r w:rsidR="00617966" w:rsidRPr="00316837">
        <w:rPr>
          <w:rFonts w:eastAsia="Calibri"/>
          <w:szCs w:val="20"/>
        </w:rPr>
        <w:t xml:space="preserve">documents </w:t>
      </w:r>
      <w:r w:rsidRPr="00316837">
        <w:rPr>
          <w:rFonts w:eastAsia="Calibri"/>
          <w:szCs w:val="20"/>
        </w:rPr>
        <w:t xml:space="preserve">which were </w:t>
      </w:r>
      <w:r w:rsidRPr="00316837">
        <w:rPr>
          <w:rFonts w:eastAsia="Calibri"/>
          <w:szCs w:val="22"/>
        </w:rPr>
        <w:t xml:space="preserve">previously developed and adopted </w:t>
      </w:r>
      <w:r w:rsidR="00BF1A8D" w:rsidRPr="00316837">
        <w:rPr>
          <w:rFonts w:eastAsia="Calibri"/>
          <w:szCs w:val="20"/>
        </w:rPr>
        <w:t>as</w:t>
      </w:r>
      <w:r w:rsidR="00617966" w:rsidRPr="00316837">
        <w:rPr>
          <w:rFonts w:eastAsia="Calibri"/>
          <w:szCs w:val="20"/>
        </w:rPr>
        <w:t xml:space="preserve"> a basis for electricity trade in the </w:t>
      </w:r>
      <w:r w:rsidR="00BF1A8D" w:rsidRPr="00316837">
        <w:rPr>
          <w:rFonts w:eastAsia="Calibri"/>
          <w:szCs w:val="20"/>
        </w:rPr>
        <w:t>Eastern</w:t>
      </w:r>
      <w:r w:rsidR="00617966" w:rsidRPr="00316837">
        <w:rPr>
          <w:rFonts w:eastAsia="Calibri"/>
          <w:szCs w:val="20"/>
        </w:rPr>
        <w:t xml:space="preserve"> Africa Region (see</w:t>
      </w:r>
      <w:r w:rsidR="00507C15">
        <w:rPr>
          <w:rFonts w:eastAsia="Calibri"/>
          <w:szCs w:val="20"/>
        </w:rPr>
        <w:t xml:space="preserve"> Annex </w:t>
      </w:r>
      <w:r w:rsidR="00507C15">
        <w:rPr>
          <w:rFonts w:eastAsia="Calibri"/>
          <w:szCs w:val="20"/>
        </w:rPr>
        <w:fldChar w:fldCharType="begin"/>
      </w:r>
      <w:r w:rsidR="00507C15">
        <w:rPr>
          <w:rFonts w:eastAsia="Calibri"/>
          <w:szCs w:val="20"/>
        </w:rPr>
        <w:instrText xml:space="preserve"> REF _Ref77254947 \w \h </w:instrText>
      </w:r>
      <w:r w:rsidR="00507C15">
        <w:rPr>
          <w:rFonts w:eastAsia="Calibri"/>
          <w:szCs w:val="20"/>
        </w:rPr>
      </w:r>
      <w:r w:rsidR="00507C15">
        <w:rPr>
          <w:rFonts w:eastAsia="Calibri"/>
          <w:szCs w:val="20"/>
        </w:rPr>
        <w:fldChar w:fldCharType="separate"/>
      </w:r>
      <w:r w:rsidR="00507C15">
        <w:rPr>
          <w:rFonts w:eastAsia="Calibri"/>
          <w:szCs w:val="20"/>
        </w:rPr>
        <w:t>8.4</w:t>
      </w:r>
      <w:r w:rsidR="00507C15">
        <w:rPr>
          <w:rFonts w:eastAsia="Calibri"/>
          <w:szCs w:val="20"/>
        </w:rPr>
        <w:fldChar w:fldCharType="end"/>
      </w:r>
      <w:r w:rsidR="00617966" w:rsidRPr="00C632F6">
        <w:rPr>
          <w:rFonts w:eastAsia="Calibri"/>
          <w:szCs w:val="20"/>
        </w:rPr>
        <w:t xml:space="preserve">). </w:t>
      </w:r>
    </w:p>
    <w:p w14:paraId="5CE778FD" w14:textId="2155C319" w:rsidR="00BF1A8D" w:rsidRPr="00316837" w:rsidRDefault="00BF1A8D" w:rsidP="00BF1A8D">
      <w:r w:rsidRPr="00316837">
        <w:lastRenderedPageBreak/>
        <w:t>The current situation as regards electricity trade in the Eastern Africa Region is characterised by the absence of a centrally organised short-term electricity market and thereto related day-ahead/intraday/balancing market trading platforms. The c</w:t>
      </w:r>
      <w:r w:rsidR="00753DFA" w:rsidRPr="00316837">
        <w:t>ross-border electricity trad</w:t>
      </w:r>
      <w:r w:rsidRPr="00316837">
        <w:t>es</w:t>
      </w:r>
      <w:r w:rsidR="00753DFA" w:rsidRPr="00316837">
        <w:t xml:space="preserve"> between market participants from the interconnected countries </w:t>
      </w:r>
      <w:r w:rsidRPr="00316837">
        <w:t>are</w:t>
      </w:r>
      <w:r w:rsidR="00753DFA" w:rsidRPr="00316837">
        <w:t xml:space="preserve"> based on bilateral agreements </w:t>
      </w:r>
      <w:r w:rsidRPr="00316837">
        <w:t xml:space="preserve">in the bilateral OTC/forward market wherein EAPP has no role. </w:t>
      </w:r>
      <w:r w:rsidR="00213740" w:rsidRPr="00316837">
        <w:t>Such trades are managed based on long-term schedules (e.g. weekly) and on beforehand agreed exchange prices of electricity.</w:t>
      </w:r>
      <w:r w:rsidR="001D4932" w:rsidRPr="00316837">
        <w:t xml:space="preserve"> </w:t>
      </w:r>
    </w:p>
    <w:p w14:paraId="124C3C7D" w14:textId="21F0C60A" w:rsidR="00BF1A8D" w:rsidRPr="00316837" w:rsidRDefault="00BF1A8D" w:rsidP="00CE7FD9">
      <w:r w:rsidRPr="00316837">
        <w:t xml:space="preserve">Schedules of electricity exchanges and power flows are monitored by the national dispatching and control centres of system operators of the electricity systems between which trades are realised and which are responsible for metering. Since EAPP is not involved in exchange of and/or trade in electricity, it only receives information on trades from the related system operators. </w:t>
      </w:r>
      <w:r w:rsidR="00CE7FD9" w:rsidRPr="00316837">
        <w:t>Five control areas are yet to be established: 1) Egypt-Libya; 2) Sudan-South Sudan; 3) Ethiopia; 4) Kenya, Uganda, Rwanda, Burundi; and 5) Tanzania.</w:t>
      </w:r>
      <w:r w:rsidR="001D4932" w:rsidRPr="00316837">
        <w:t xml:space="preserve"> </w:t>
      </w:r>
    </w:p>
    <w:p w14:paraId="55AD89F9" w14:textId="4ECB9238" w:rsidR="00213740" w:rsidRPr="00316837" w:rsidRDefault="00BF1A8D" w:rsidP="00753DFA">
      <w:r w:rsidRPr="00316837">
        <w:t>T</w:t>
      </w:r>
      <w:r w:rsidR="00753DFA" w:rsidRPr="00316837">
        <w:t>rades are based on traditional long-term bilateral contracts on purchase and sale of electricity</w:t>
      </w:r>
      <w:r w:rsidR="00213740" w:rsidRPr="00316837">
        <w:t xml:space="preserve"> (which run for approximately 3 years; every time a MWh is exchanged from one country to another the price of exchange is the same and will only change when the contract is up for a new negotiation, i.e. every third year)</w:t>
      </w:r>
      <w:r w:rsidR="00753DFA" w:rsidRPr="00316837">
        <w:t>, and that on a rather small scale</w:t>
      </w:r>
      <w:r w:rsidRPr="00316837">
        <w:t xml:space="preserve"> (e.g. Ethiopia-Sudan</w:t>
      </w:r>
      <w:r w:rsidR="00213740" w:rsidRPr="00316837">
        <w:t xml:space="preserve"> up to 140 MW per hour;</w:t>
      </w:r>
      <w:r w:rsidRPr="00316837">
        <w:t xml:space="preserve"> Ethiopia-Djibouti</w:t>
      </w:r>
      <w:r w:rsidR="00213740" w:rsidRPr="00316837">
        <w:t xml:space="preserve"> up to 60 MW per hour; and</w:t>
      </w:r>
      <w:r w:rsidRPr="00316837">
        <w:t xml:space="preserve"> Kenya-Uganda</w:t>
      </w:r>
      <w:r w:rsidR="00213740" w:rsidRPr="00316837">
        <w:t xml:space="preserve"> for +/- 4 MW for managing imbalances in each of the power system</w:t>
      </w:r>
      <w:r w:rsidRPr="00316837">
        <w:t>)</w:t>
      </w:r>
      <w:r w:rsidR="00753DFA" w:rsidRPr="00316837">
        <w:t xml:space="preserve">. </w:t>
      </w:r>
    </w:p>
    <w:p w14:paraId="3E65DCCD" w14:textId="0FAC07A2" w:rsidR="00BF1A8D" w:rsidRPr="00316837" w:rsidRDefault="00753DFA" w:rsidP="00753DFA">
      <w:r w:rsidRPr="00316837">
        <w:t>Such trade</w:t>
      </w:r>
      <w:r w:rsidR="00BF1A8D" w:rsidRPr="00316837">
        <w:t>s</w:t>
      </w:r>
      <w:r w:rsidRPr="00316837">
        <w:t xml:space="preserve"> </w:t>
      </w:r>
      <w:r w:rsidR="00BF1A8D" w:rsidRPr="00316837">
        <w:t>are</w:t>
      </w:r>
      <w:r w:rsidRPr="00316837">
        <w:t xml:space="preserve"> handled bilaterally</w:t>
      </w:r>
      <w:r w:rsidR="00BF1A8D" w:rsidRPr="00316837">
        <w:t>,</w:t>
      </w:r>
      <w:r w:rsidRPr="00316837">
        <w:t xml:space="preserve"> </w:t>
      </w:r>
      <w:r w:rsidR="00BF1A8D" w:rsidRPr="00316837">
        <w:t>as</w:t>
      </w:r>
      <w:r w:rsidRPr="00316837">
        <w:t xml:space="preserve"> </w:t>
      </w:r>
      <w:r w:rsidR="00BF1A8D" w:rsidRPr="00316837">
        <w:t>they</w:t>
      </w:r>
      <w:r w:rsidRPr="00316837">
        <w:t xml:space="preserve"> </w:t>
      </w:r>
      <w:r w:rsidR="00BF1A8D" w:rsidRPr="00316837">
        <w:t>are</w:t>
      </w:r>
      <w:r w:rsidRPr="00316837">
        <w:t xml:space="preserve"> realised between the electricity utilities from each side of a border for a contracted quantity at a contracted price</w:t>
      </w:r>
      <w:r w:rsidR="00BF1A8D" w:rsidRPr="00316837">
        <w:t>,</w:t>
      </w:r>
      <w:r w:rsidRPr="00316837">
        <w:t xml:space="preserve"> which comprises losses as well</w:t>
      </w:r>
      <w:r w:rsidR="00BF1A8D" w:rsidRPr="00316837">
        <w:t xml:space="preserve">. The electricity network losses which are caused by a cross-border transaction are included in the price noted in the contract on purchase and sale of electricity. A </w:t>
      </w:r>
      <w:r w:rsidRPr="00316837">
        <w:t xml:space="preserve">buying party pays 100% of losses incurred by a transaction and each contractual party covers losses in its system. </w:t>
      </w:r>
    </w:p>
    <w:p w14:paraId="5892CD78" w14:textId="77777777" w:rsidR="00BF1A8D" w:rsidRPr="00316837" w:rsidRDefault="00BF1A8D" w:rsidP="00BF1A8D">
      <w:r w:rsidRPr="00316837">
        <w:t xml:space="preserve">There are no wheeling transactions yet (across a third country). However, several studies have analysed costs of such wheeling (i.e. a loss study is made for the Ethiopia-Kenya-Tanzania transaction, for which incremental losses with/without transaction are identified based on computer modelling and load flow calculations). </w:t>
      </w:r>
    </w:p>
    <w:p w14:paraId="6CF5075E" w14:textId="2CEA2B13" w:rsidR="00213740" w:rsidRPr="00316837" w:rsidRDefault="00213740" w:rsidP="00744D32">
      <w:pPr>
        <w:rPr>
          <w:rFonts w:eastAsia="Calibri"/>
        </w:rPr>
      </w:pPr>
      <w:r w:rsidRPr="00316837">
        <w:rPr>
          <w:rFonts w:eastAsia="Calibri"/>
        </w:rPr>
        <w:t>Sales volume in the long-term wholesale market are low, and additional quantities of electricity should be brought for trade in the bilateral market. It would also be necessary to increase a currently limited number of market participants, increase a currently limited transmission capacity for wheeling, and increase a currently limited number of transmission interconnectors available.</w:t>
      </w:r>
      <w:r w:rsidR="001D4932" w:rsidRPr="00316837">
        <w:rPr>
          <w:rFonts w:eastAsia="Calibri"/>
        </w:rPr>
        <w:t xml:space="preserve"> </w:t>
      </w:r>
    </w:p>
    <w:p w14:paraId="06292B53" w14:textId="55E40A56" w:rsidR="00F358A3" w:rsidRPr="00316837" w:rsidRDefault="00213740" w:rsidP="00744D32">
      <w:pPr>
        <w:rPr>
          <w:rFonts w:eastAsia="Calibri"/>
        </w:rPr>
      </w:pPr>
      <w:r w:rsidRPr="00316837">
        <w:rPr>
          <w:rFonts w:eastAsia="Calibri"/>
        </w:rPr>
        <w:t>However, a</w:t>
      </w:r>
      <w:r w:rsidR="003118FE" w:rsidRPr="00316837">
        <w:rPr>
          <w:rFonts w:eastAsia="Calibri"/>
        </w:rPr>
        <w:t xml:space="preserve"> currently low sales volume </w:t>
      </w:r>
      <w:r w:rsidRPr="00316837">
        <w:rPr>
          <w:rFonts w:eastAsia="Calibri"/>
        </w:rPr>
        <w:t>does</w:t>
      </w:r>
      <w:r w:rsidR="003118FE" w:rsidRPr="00316837">
        <w:rPr>
          <w:rFonts w:eastAsia="Calibri"/>
        </w:rPr>
        <w:t xml:space="preserve"> not prevent </w:t>
      </w:r>
      <w:r w:rsidRPr="00316837">
        <w:rPr>
          <w:rFonts w:eastAsia="Calibri"/>
        </w:rPr>
        <w:t xml:space="preserve">EAPP to work on a </w:t>
      </w:r>
      <w:r w:rsidR="003118FE" w:rsidRPr="00316837">
        <w:rPr>
          <w:rFonts w:eastAsia="Calibri"/>
        </w:rPr>
        <w:t>further development of the regional electricity market. In parallel with the development of SCADA/EMS/AGC system</w:t>
      </w:r>
      <w:r w:rsidRPr="00316837">
        <w:rPr>
          <w:rFonts w:eastAsia="Calibri"/>
        </w:rPr>
        <w:t>, it also works on the</w:t>
      </w:r>
      <w:r w:rsidR="003118FE" w:rsidRPr="00316837">
        <w:rPr>
          <w:rFonts w:eastAsia="Calibri"/>
        </w:rPr>
        <w:t xml:space="preserve"> short-term trading platform</w:t>
      </w:r>
      <w:r w:rsidRPr="00316837">
        <w:rPr>
          <w:rFonts w:eastAsia="Calibri"/>
        </w:rPr>
        <w:t xml:space="preserve"> expecting some short-term trade as well</w:t>
      </w:r>
      <w:r w:rsidR="00F358A3" w:rsidRPr="00316837">
        <w:rPr>
          <w:rFonts w:eastAsia="Calibri"/>
        </w:rPr>
        <w:t xml:space="preserve"> (i.e. it has developed a pilot system to test a potential short-term market setup)</w:t>
      </w:r>
      <w:r w:rsidRPr="00316837">
        <w:rPr>
          <w:rFonts w:eastAsia="Calibri"/>
        </w:rPr>
        <w:t>.</w:t>
      </w:r>
      <w:r w:rsidR="003118FE" w:rsidRPr="00316837">
        <w:rPr>
          <w:rFonts w:eastAsia="Calibri"/>
        </w:rPr>
        <w:t xml:space="preserve"> </w:t>
      </w:r>
    </w:p>
    <w:p w14:paraId="1CD25E03" w14:textId="280FEDF9" w:rsidR="00753DFA" w:rsidRPr="00316837" w:rsidRDefault="00213740" w:rsidP="00744D32">
      <w:pPr>
        <w:rPr>
          <w:rFonts w:eastAsia="Calibri"/>
        </w:rPr>
      </w:pPr>
      <w:r w:rsidRPr="00316837">
        <w:rPr>
          <w:rFonts w:eastAsia="Calibri"/>
        </w:rPr>
        <w:t xml:space="preserve">Future short-term trade will differ from current long-term one in so far as short-term exchanges on interconnectors will be determined daily for each hour of the coming day, as part of the daily, day-ahead planning of operation, where covering of the load also in a systematic way will take generation from adjacent countries into account. The main difference between short- and long-term trade will be in the determination of electricity price used for settlement of electricity exchanged between the countries. </w:t>
      </w:r>
    </w:p>
    <w:p w14:paraId="093AE50D" w14:textId="7DDB2BF4" w:rsidR="00213740" w:rsidRPr="00316837" w:rsidRDefault="00213740" w:rsidP="00213740">
      <w:pPr>
        <w:rPr>
          <w:rFonts w:eastAsia="Calibri"/>
        </w:rPr>
      </w:pPr>
      <w:r w:rsidRPr="00316837">
        <w:rPr>
          <w:rFonts w:eastAsia="Calibri"/>
        </w:rPr>
        <w:t>A new actor will be introduced for the short-term cross-border electricity trade – the market operator. In EAPP, the market operation is supposed to be facilitated by the Coordination Centre which will replace the current day-ahead procedures taking place today within TSOs’ and producers when it comes to plan for the interconnector short-term exchange and generation plans for the coming day. The Coordination Centre, given the role of performing market operation, will on a daily basis receive information from TSOs and producers and after calculation of prices and schedules, schedules will be sen</w:t>
      </w:r>
      <w:r w:rsidR="00104640" w:rsidRPr="00316837">
        <w:rPr>
          <w:rFonts w:eastAsia="Calibri"/>
        </w:rPr>
        <w:t>t</w:t>
      </w:r>
      <w:r w:rsidRPr="00316837">
        <w:rPr>
          <w:rFonts w:eastAsia="Calibri"/>
        </w:rPr>
        <w:t xml:space="preserve"> to TSOs and producers. </w:t>
      </w:r>
    </w:p>
    <w:p w14:paraId="3DE5F770" w14:textId="722A6A73" w:rsidR="00CE7FD9" w:rsidRPr="00316837" w:rsidRDefault="001D4932" w:rsidP="00744D32">
      <w:pPr>
        <w:rPr>
          <w:rFonts w:eastAsia="Calibri"/>
          <w:szCs w:val="20"/>
        </w:rPr>
      </w:pPr>
      <w:r w:rsidRPr="00316837">
        <w:rPr>
          <w:rFonts w:eastAsia="Calibri"/>
          <w:szCs w:val="20"/>
        </w:rPr>
        <w:t>T</w:t>
      </w:r>
      <w:r w:rsidR="00104640" w:rsidRPr="00316837">
        <w:rPr>
          <w:rFonts w:eastAsia="Calibri"/>
          <w:szCs w:val="20"/>
        </w:rPr>
        <w:t xml:space="preserve">he Market Road Map was elaborated for development in the period 2010-2025 (see </w:t>
      </w:r>
      <w:r w:rsidR="00104640" w:rsidRPr="00316837">
        <w:rPr>
          <w:rFonts w:eastAsia="Calibri"/>
          <w:szCs w:val="20"/>
        </w:rPr>
        <w:fldChar w:fldCharType="begin"/>
      </w:r>
      <w:r w:rsidR="00104640" w:rsidRPr="00316837">
        <w:rPr>
          <w:rFonts w:eastAsia="Calibri"/>
          <w:szCs w:val="20"/>
        </w:rPr>
        <w:instrText xml:space="preserve"> REF _Ref73706367 \h  \* MERGEFORMAT </w:instrText>
      </w:r>
      <w:r w:rsidR="00104640" w:rsidRPr="00316837">
        <w:rPr>
          <w:rFonts w:eastAsia="Calibri"/>
          <w:szCs w:val="20"/>
        </w:rPr>
      </w:r>
      <w:r w:rsidR="00104640" w:rsidRPr="00316837">
        <w:rPr>
          <w:rFonts w:eastAsia="Calibri"/>
          <w:szCs w:val="20"/>
        </w:rPr>
        <w:fldChar w:fldCharType="separate"/>
      </w:r>
      <w:r w:rsidR="00507C15" w:rsidRPr="006273BD">
        <w:rPr>
          <w:rFonts w:eastAsia="Calibri"/>
          <w:bCs/>
          <w:szCs w:val="20"/>
        </w:rPr>
        <w:t>Figure 3</w:t>
      </w:r>
      <w:r w:rsidR="00507C15" w:rsidRPr="006273BD">
        <w:rPr>
          <w:rFonts w:eastAsia="Calibri"/>
          <w:bCs/>
          <w:szCs w:val="20"/>
        </w:rPr>
        <w:noBreakHyphen/>
        <w:t>9</w:t>
      </w:r>
      <w:r w:rsidR="00104640" w:rsidRPr="00316837">
        <w:rPr>
          <w:rFonts w:eastAsia="Calibri"/>
          <w:szCs w:val="20"/>
        </w:rPr>
        <w:fldChar w:fldCharType="end"/>
      </w:r>
      <w:r w:rsidR="00104640" w:rsidRPr="00C632F6">
        <w:rPr>
          <w:rFonts w:eastAsia="Calibri"/>
          <w:szCs w:val="20"/>
        </w:rPr>
        <w:t xml:space="preserve">). </w:t>
      </w:r>
    </w:p>
    <w:p w14:paraId="5BB454D2" w14:textId="766E827A" w:rsidR="00104640" w:rsidRPr="00C632F6" w:rsidRDefault="00104640" w:rsidP="00844664">
      <w:pPr>
        <w:jc w:val="center"/>
        <w:rPr>
          <w:rFonts w:eastAsia="Calibri"/>
        </w:rPr>
      </w:pPr>
      <w:r w:rsidRPr="006273BD">
        <w:rPr>
          <w:rFonts w:eastAsia="Calibri"/>
          <w:noProof/>
          <w:lang w:eastAsia="en-GB"/>
        </w:rPr>
        <w:lastRenderedPageBreak/>
        <w:drawing>
          <wp:inline distT="0" distB="0" distL="0" distR="0" wp14:anchorId="5AC17B24" wp14:editId="6E674D9B">
            <wp:extent cx="5466051" cy="3212123"/>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6027" cy="3282627"/>
                    </a:xfrm>
                    <a:prstGeom prst="rect">
                      <a:avLst/>
                    </a:prstGeom>
                    <a:noFill/>
                    <a:ln>
                      <a:noFill/>
                    </a:ln>
                  </pic:spPr>
                </pic:pic>
              </a:graphicData>
            </a:graphic>
          </wp:inline>
        </w:drawing>
      </w:r>
    </w:p>
    <w:p w14:paraId="4D6BCFAA" w14:textId="6CF175BF" w:rsidR="00104640" w:rsidRPr="00316837" w:rsidRDefault="00104640" w:rsidP="00104640">
      <w:pPr>
        <w:rPr>
          <w:rFonts w:eastAsia="Calibri"/>
          <w:bCs/>
          <w:sz w:val="18"/>
          <w:szCs w:val="18"/>
        </w:rPr>
      </w:pPr>
      <w:bookmarkStart w:id="111" w:name="_Ref73706367"/>
      <w:bookmarkStart w:id="112" w:name="_Toc77260271"/>
      <w:r w:rsidRPr="00316837">
        <w:rPr>
          <w:rFonts w:eastAsia="Calibri"/>
          <w:bCs/>
          <w:sz w:val="18"/>
          <w:szCs w:val="18"/>
        </w:rPr>
        <w:t xml:space="preserve">Figure </w:t>
      </w:r>
      <w:r w:rsidRPr="00316837">
        <w:rPr>
          <w:rFonts w:eastAsia="Calibri"/>
          <w:bCs/>
          <w:sz w:val="18"/>
          <w:szCs w:val="18"/>
        </w:rPr>
        <w:fldChar w:fldCharType="begin"/>
      </w:r>
      <w:r w:rsidRPr="00316837">
        <w:rPr>
          <w:rFonts w:eastAsia="Calibri"/>
          <w:bCs/>
          <w:sz w:val="18"/>
          <w:szCs w:val="18"/>
        </w:rPr>
        <w:instrText xml:space="preserve"> STYLEREF 1 \s </w:instrText>
      </w:r>
      <w:r w:rsidRPr="00316837">
        <w:rPr>
          <w:rFonts w:eastAsia="Calibri"/>
          <w:bCs/>
          <w:sz w:val="18"/>
          <w:szCs w:val="18"/>
        </w:rPr>
        <w:fldChar w:fldCharType="separate"/>
      </w:r>
      <w:r w:rsidR="00703397" w:rsidRPr="00316837">
        <w:rPr>
          <w:rFonts w:eastAsia="Calibri"/>
          <w:bCs/>
          <w:sz w:val="18"/>
          <w:szCs w:val="18"/>
        </w:rPr>
        <w:t>3</w:t>
      </w:r>
      <w:r w:rsidRPr="00316837">
        <w:rPr>
          <w:rFonts w:eastAsia="Calibri"/>
          <w:sz w:val="18"/>
          <w:szCs w:val="18"/>
        </w:rPr>
        <w:fldChar w:fldCharType="end"/>
      </w:r>
      <w:r w:rsidRPr="00C632F6">
        <w:rPr>
          <w:rFonts w:eastAsia="Calibri"/>
          <w:bCs/>
          <w:sz w:val="18"/>
          <w:szCs w:val="18"/>
        </w:rPr>
        <w:noBreakHyphen/>
      </w:r>
      <w:r w:rsidRPr="00316837">
        <w:rPr>
          <w:rFonts w:eastAsia="Calibri"/>
          <w:bCs/>
          <w:sz w:val="18"/>
          <w:szCs w:val="18"/>
        </w:rPr>
        <w:fldChar w:fldCharType="begin"/>
      </w:r>
      <w:r w:rsidRPr="00316837">
        <w:rPr>
          <w:rFonts w:eastAsia="Calibri"/>
          <w:bCs/>
          <w:sz w:val="18"/>
          <w:szCs w:val="18"/>
        </w:rPr>
        <w:instrText xml:space="preserve"> SEQ Figure \* ARABIC \s 1 </w:instrText>
      </w:r>
      <w:r w:rsidRPr="00316837">
        <w:rPr>
          <w:rFonts w:eastAsia="Calibri"/>
          <w:bCs/>
          <w:sz w:val="18"/>
          <w:szCs w:val="18"/>
        </w:rPr>
        <w:fldChar w:fldCharType="separate"/>
      </w:r>
      <w:r w:rsidR="00507C15">
        <w:rPr>
          <w:rFonts w:eastAsia="Calibri"/>
          <w:bCs/>
          <w:noProof/>
          <w:sz w:val="18"/>
          <w:szCs w:val="18"/>
        </w:rPr>
        <w:t>9</w:t>
      </w:r>
      <w:r w:rsidRPr="00316837">
        <w:rPr>
          <w:rFonts w:eastAsia="Calibri"/>
          <w:sz w:val="18"/>
          <w:szCs w:val="18"/>
        </w:rPr>
        <w:fldChar w:fldCharType="end"/>
      </w:r>
      <w:bookmarkEnd w:id="111"/>
      <w:r w:rsidRPr="00C632F6">
        <w:rPr>
          <w:rFonts w:eastAsia="Calibri"/>
          <w:bCs/>
          <w:sz w:val="18"/>
          <w:szCs w:val="18"/>
        </w:rPr>
        <w:t>: EAPP Market Road Map (source: EAPP)</w:t>
      </w:r>
      <w:bookmarkEnd w:id="112"/>
      <w:r w:rsidRPr="00C632F6">
        <w:rPr>
          <w:rFonts w:eastAsia="Calibri"/>
          <w:bCs/>
          <w:sz w:val="18"/>
          <w:szCs w:val="18"/>
        </w:rPr>
        <w:t xml:space="preserve"> </w:t>
      </w:r>
    </w:p>
    <w:p w14:paraId="3D972F7E" w14:textId="2615397C" w:rsidR="00104640" w:rsidRPr="00316837" w:rsidRDefault="00CE7FD9" w:rsidP="00744D32">
      <w:pPr>
        <w:rPr>
          <w:rFonts w:eastAsia="Calibri"/>
        </w:rPr>
      </w:pPr>
      <w:r w:rsidRPr="00316837">
        <w:rPr>
          <w:rFonts w:eastAsia="Calibri"/>
        </w:rPr>
        <w:t xml:space="preserve">It covered five dimensions (the black boxes) illustrating what was needed in order to have a fully-fledged EAPP regional electricity market in 2025. It is still appropriate and correct, also comparing with the European market development as a reference. However, as very little has happened since 2010 where it was published, the very first steps were identified in 2014 taking the current EAPP market design as a point of departure. In 2021, all these steps have entered into another revision. </w:t>
      </w:r>
    </w:p>
    <w:p w14:paraId="76F93A8C" w14:textId="5EDD4672" w:rsidR="00744D32" w:rsidRPr="00316837" w:rsidRDefault="00744D32" w:rsidP="00744D32">
      <w:pPr>
        <w:pStyle w:val="Heading2"/>
      </w:pPr>
      <w:bookmarkStart w:id="113" w:name="_Toc77260300"/>
      <w:r w:rsidRPr="00C632F6">
        <w:t>CAPP</w:t>
      </w:r>
      <w:bookmarkEnd w:id="113"/>
    </w:p>
    <w:p w14:paraId="2CC38E6F" w14:textId="77777777" w:rsidR="00844664" w:rsidRPr="00316837" w:rsidRDefault="00F12F4A" w:rsidP="00F12F4A">
      <w:pPr>
        <w:rPr>
          <w:rFonts w:eastAsia="Calibri"/>
          <w:szCs w:val="22"/>
        </w:rPr>
      </w:pPr>
      <w:r w:rsidRPr="00316837">
        <w:rPr>
          <w:rFonts w:eastAsia="Calibri"/>
          <w:szCs w:val="22"/>
        </w:rPr>
        <w:t xml:space="preserve">CAPP was </w:t>
      </w:r>
      <w:r w:rsidR="00C2232E" w:rsidRPr="00316837">
        <w:rPr>
          <w:rFonts w:eastAsia="Calibri"/>
          <w:szCs w:val="22"/>
        </w:rPr>
        <w:t>created</w:t>
      </w:r>
      <w:r w:rsidRPr="00316837">
        <w:rPr>
          <w:rFonts w:eastAsia="Calibri"/>
          <w:szCs w:val="22"/>
        </w:rPr>
        <w:t xml:space="preserve"> </w:t>
      </w:r>
      <w:r w:rsidR="00C2232E" w:rsidRPr="00316837">
        <w:rPr>
          <w:rFonts w:eastAsia="Calibri"/>
          <w:szCs w:val="22"/>
        </w:rPr>
        <w:t xml:space="preserve">as a Power Pool </w:t>
      </w:r>
      <w:r w:rsidRPr="00316837">
        <w:rPr>
          <w:rFonts w:eastAsia="Calibri"/>
          <w:szCs w:val="22"/>
        </w:rPr>
        <w:t>in 2003 on the basis of</w:t>
      </w:r>
      <w:r w:rsidR="00844664" w:rsidRPr="00316837">
        <w:rPr>
          <w:rFonts w:eastAsia="Calibri"/>
          <w:szCs w:val="22"/>
        </w:rPr>
        <w:t>:</w:t>
      </w:r>
      <w:r w:rsidRPr="00316837">
        <w:rPr>
          <w:rFonts w:eastAsia="Calibri"/>
          <w:szCs w:val="22"/>
        </w:rPr>
        <w:t xml:space="preserve"> </w:t>
      </w:r>
    </w:p>
    <w:p w14:paraId="0F15D17E" w14:textId="77777777" w:rsidR="00844664" w:rsidRPr="00316837" w:rsidRDefault="00F12F4A" w:rsidP="006A5033">
      <w:pPr>
        <w:numPr>
          <w:ilvl w:val="0"/>
          <w:numId w:val="51"/>
        </w:numPr>
        <w:tabs>
          <w:tab w:val="num" w:pos="1417"/>
        </w:tabs>
        <w:ind w:left="720"/>
        <w:rPr>
          <w:rFonts w:eastAsia="Calibri"/>
          <w:szCs w:val="22"/>
        </w:rPr>
      </w:pPr>
      <w:r w:rsidRPr="00316837">
        <w:rPr>
          <w:rFonts w:eastAsia="Calibri"/>
          <w:szCs w:val="22"/>
        </w:rPr>
        <w:t xml:space="preserve">the Inter-Governmental Framework Agreement Establishing the Central African Power Pool as a </w:t>
      </w:r>
      <w:r w:rsidR="00C2232E" w:rsidRPr="00316837">
        <w:rPr>
          <w:rFonts w:eastAsia="Calibri"/>
          <w:szCs w:val="22"/>
        </w:rPr>
        <w:t>S</w:t>
      </w:r>
      <w:r w:rsidRPr="00316837">
        <w:rPr>
          <w:rFonts w:eastAsia="Calibri"/>
          <w:szCs w:val="22"/>
        </w:rPr>
        <w:t xml:space="preserve">pecialised </w:t>
      </w:r>
      <w:r w:rsidR="00C2232E" w:rsidRPr="00316837">
        <w:rPr>
          <w:rFonts w:eastAsia="Calibri"/>
          <w:szCs w:val="22"/>
        </w:rPr>
        <w:t>A</w:t>
      </w:r>
      <w:r w:rsidRPr="00316837">
        <w:rPr>
          <w:rFonts w:eastAsia="Calibri"/>
          <w:szCs w:val="22"/>
        </w:rPr>
        <w:t>gency of ECCAS</w:t>
      </w:r>
      <w:r w:rsidR="00982188" w:rsidRPr="00316837">
        <w:rPr>
          <w:rFonts w:eastAsia="Calibri"/>
          <w:szCs w:val="22"/>
        </w:rPr>
        <w:t xml:space="preserve">, </w:t>
      </w:r>
      <w:r w:rsidR="00844664" w:rsidRPr="00316837">
        <w:rPr>
          <w:rFonts w:eastAsia="Calibri"/>
          <w:szCs w:val="22"/>
        </w:rPr>
        <w:t>and</w:t>
      </w:r>
      <w:r w:rsidR="00982188" w:rsidRPr="00316837">
        <w:rPr>
          <w:rFonts w:eastAsia="Calibri"/>
          <w:szCs w:val="22"/>
        </w:rPr>
        <w:t xml:space="preserve"> </w:t>
      </w:r>
      <w:bookmarkStart w:id="114" w:name="_Hlk72923752"/>
    </w:p>
    <w:p w14:paraId="60C276B7" w14:textId="5BC77D11" w:rsidR="00844664" w:rsidRPr="00316837" w:rsidRDefault="00982188" w:rsidP="006A5033">
      <w:pPr>
        <w:numPr>
          <w:ilvl w:val="0"/>
          <w:numId w:val="51"/>
        </w:numPr>
        <w:tabs>
          <w:tab w:val="num" w:pos="1417"/>
        </w:tabs>
        <w:ind w:left="720"/>
        <w:rPr>
          <w:rFonts w:eastAsia="Calibri"/>
          <w:szCs w:val="22"/>
        </w:rPr>
      </w:pPr>
      <w:r w:rsidRPr="00316837">
        <w:rPr>
          <w:rFonts w:eastAsia="Calibri"/>
          <w:szCs w:val="22"/>
        </w:rPr>
        <w:t>the Inter-</w:t>
      </w:r>
      <w:r w:rsidR="00696060" w:rsidRPr="00316837">
        <w:rPr>
          <w:rFonts w:eastAsia="Calibri"/>
          <w:szCs w:val="22"/>
        </w:rPr>
        <w:t>Utilit</w:t>
      </w:r>
      <w:r w:rsidRPr="00316837">
        <w:rPr>
          <w:rFonts w:eastAsia="Calibri"/>
          <w:szCs w:val="22"/>
        </w:rPr>
        <w:t>y Agreement</w:t>
      </w:r>
      <w:bookmarkEnd w:id="114"/>
      <w:r w:rsidR="00C2232E" w:rsidRPr="00316837">
        <w:rPr>
          <w:rFonts w:eastAsia="Calibri"/>
          <w:szCs w:val="22"/>
        </w:rPr>
        <w:t>.</w:t>
      </w:r>
      <w:r w:rsidR="00F12F4A" w:rsidRPr="00316837">
        <w:rPr>
          <w:rFonts w:eastAsia="Calibri"/>
          <w:szCs w:val="22"/>
        </w:rPr>
        <w:t xml:space="preserve"> </w:t>
      </w:r>
    </w:p>
    <w:p w14:paraId="06D9B169" w14:textId="77777777" w:rsidR="00844664" w:rsidRPr="00316837" w:rsidRDefault="009D3D3F" w:rsidP="00F12F4A">
      <w:pPr>
        <w:rPr>
          <w:rFonts w:eastAsia="Calibri"/>
          <w:szCs w:val="22"/>
        </w:rPr>
      </w:pPr>
      <w:r w:rsidRPr="00316837">
        <w:rPr>
          <w:rFonts w:eastAsia="Calibri"/>
          <w:szCs w:val="22"/>
        </w:rPr>
        <w:t>Complementary legal texts on CAPP were adopted in 2004. The Conference of Heads of State and Government adopted the Central African Electricity Market Code in 2009</w:t>
      </w:r>
      <w:r w:rsidR="003B0A4E" w:rsidRPr="00316837">
        <w:rPr>
          <w:rFonts w:eastAsia="Calibri"/>
          <w:szCs w:val="22"/>
        </w:rPr>
        <w:t xml:space="preserve">, and approved a CAPP levy and the creation of a Development Fund for the electricity sector of the Central Africa in 2015. </w:t>
      </w:r>
    </w:p>
    <w:p w14:paraId="79DCC7A4" w14:textId="531279DB" w:rsidR="00C2232E" w:rsidRPr="00316837" w:rsidRDefault="00C2232E" w:rsidP="00F12F4A">
      <w:pPr>
        <w:rPr>
          <w:rFonts w:eastAsia="Calibri"/>
          <w:szCs w:val="22"/>
        </w:rPr>
      </w:pPr>
      <w:r w:rsidRPr="00316837">
        <w:rPr>
          <w:rFonts w:eastAsia="Calibri"/>
          <w:szCs w:val="22"/>
        </w:rPr>
        <w:t>Headquarters of CAPP are located in Brazzaville, the Republic of the Congo.</w:t>
      </w:r>
      <w:r w:rsidR="009D3D3F" w:rsidRPr="00316837">
        <w:t xml:space="preserve"> The founding documents </w:t>
      </w:r>
      <w:r w:rsidR="002B26D6" w:rsidRPr="00316837">
        <w:t xml:space="preserve">(i.e. the Inter-Governmental Framework Agreement) </w:t>
      </w:r>
      <w:r w:rsidR="009D3D3F" w:rsidRPr="00316837">
        <w:t xml:space="preserve">and later legal texts </w:t>
      </w:r>
      <w:r w:rsidR="002B26D6" w:rsidRPr="00316837">
        <w:t xml:space="preserve">(i.e. the Central African Electricity Market Code) </w:t>
      </w:r>
      <w:r w:rsidR="009D3D3F" w:rsidRPr="00316837">
        <w:t xml:space="preserve">envisage the establishment of a CAPP regulatory </w:t>
      </w:r>
      <w:r w:rsidR="00911A72" w:rsidRPr="00316837">
        <w:t>body</w:t>
      </w:r>
      <w:r w:rsidR="009D3D3F" w:rsidRPr="00316837">
        <w:t xml:space="preserve">. </w:t>
      </w:r>
    </w:p>
    <w:p w14:paraId="31A7D0EB" w14:textId="77777777" w:rsidR="0056640A" w:rsidRPr="00316837" w:rsidRDefault="00C2232E" w:rsidP="009D3D3F">
      <w:pPr>
        <w:rPr>
          <w:rFonts w:eastAsia="Calibri"/>
          <w:szCs w:val="22"/>
        </w:rPr>
      </w:pPr>
      <w:r w:rsidRPr="00316837">
        <w:rPr>
          <w:rFonts w:eastAsia="Calibri"/>
          <w:szCs w:val="22"/>
        </w:rPr>
        <w:t xml:space="preserve">CAPP was established </w:t>
      </w:r>
      <w:r w:rsidR="00F12F4A" w:rsidRPr="00316837">
        <w:rPr>
          <w:rFonts w:eastAsia="Calibri"/>
          <w:szCs w:val="22"/>
        </w:rPr>
        <w:t xml:space="preserve">with the aim to develop a regional electricity market </w:t>
      </w:r>
      <w:r w:rsidRPr="00316837">
        <w:rPr>
          <w:rFonts w:eastAsia="Calibri"/>
          <w:szCs w:val="22"/>
        </w:rPr>
        <w:t xml:space="preserve">in the Central Africa Region </w:t>
      </w:r>
      <w:r w:rsidR="00F12F4A" w:rsidRPr="00316837">
        <w:rPr>
          <w:rFonts w:eastAsia="Calibri"/>
          <w:szCs w:val="22"/>
        </w:rPr>
        <w:t xml:space="preserve">through physical connections (e.g. transmission lines) and harmonised regulations. </w:t>
      </w:r>
      <w:r w:rsidRPr="00316837">
        <w:rPr>
          <w:rFonts w:eastAsia="Calibri"/>
          <w:szCs w:val="22"/>
        </w:rPr>
        <w:t>Hence, it</w:t>
      </w:r>
      <w:r w:rsidR="00F12F4A" w:rsidRPr="00316837">
        <w:rPr>
          <w:rFonts w:eastAsia="Calibri"/>
          <w:szCs w:val="22"/>
        </w:rPr>
        <w:t xml:space="preserve"> is responsible for </w:t>
      </w:r>
      <w:r w:rsidR="009D3D3F" w:rsidRPr="00316837">
        <w:rPr>
          <w:rFonts w:eastAsia="Calibri"/>
          <w:szCs w:val="22"/>
        </w:rPr>
        <w:t xml:space="preserve">the implementation of energy policy, </w:t>
      </w:r>
      <w:r w:rsidR="00F12F4A" w:rsidRPr="00316837">
        <w:rPr>
          <w:rFonts w:eastAsia="Calibri"/>
          <w:szCs w:val="22"/>
        </w:rPr>
        <w:t xml:space="preserve">the construction of the </w:t>
      </w:r>
      <w:r w:rsidRPr="00316837">
        <w:rPr>
          <w:rFonts w:eastAsia="Calibri"/>
          <w:szCs w:val="22"/>
        </w:rPr>
        <w:t>ECCAS</w:t>
      </w:r>
      <w:r w:rsidR="00F12F4A" w:rsidRPr="00316837">
        <w:rPr>
          <w:rFonts w:eastAsia="Calibri"/>
          <w:szCs w:val="22"/>
        </w:rPr>
        <w:t xml:space="preserve"> infrastructure</w:t>
      </w:r>
      <w:r w:rsidR="009D3D3F" w:rsidRPr="00316837">
        <w:rPr>
          <w:rFonts w:eastAsia="Calibri"/>
          <w:szCs w:val="22"/>
        </w:rPr>
        <w:t>,</w:t>
      </w:r>
      <w:r w:rsidR="00F12F4A" w:rsidRPr="00316837">
        <w:rPr>
          <w:rFonts w:eastAsia="Calibri"/>
          <w:szCs w:val="22"/>
        </w:rPr>
        <w:t xml:space="preserve"> and the organisation of exchanges </w:t>
      </w:r>
      <w:r w:rsidR="009D3D3F" w:rsidRPr="00316837">
        <w:rPr>
          <w:rFonts w:eastAsia="Calibri"/>
          <w:szCs w:val="22"/>
        </w:rPr>
        <w:t>in</w:t>
      </w:r>
      <w:r w:rsidR="00F12F4A" w:rsidRPr="00316837">
        <w:rPr>
          <w:rFonts w:eastAsia="Calibri"/>
          <w:szCs w:val="22"/>
        </w:rPr>
        <w:t xml:space="preserve"> electricity and related services in the Region. </w:t>
      </w:r>
      <w:r w:rsidRPr="00316837">
        <w:rPr>
          <w:rFonts w:eastAsia="Calibri"/>
          <w:szCs w:val="22"/>
        </w:rPr>
        <w:t xml:space="preserve">It facilitates the development of priority integration projects and the pilot cross-border electrification programme, which aim to build electricity networks and a future regional energy exchange. </w:t>
      </w:r>
    </w:p>
    <w:p w14:paraId="2F348F71" w14:textId="18E78C20" w:rsidR="00C2232E" w:rsidRPr="00316837" w:rsidRDefault="00C2232E" w:rsidP="009D3D3F">
      <w:pPr>
        <w:rPr>
          <w:rFonts w:eastAsia="Calibri"/>
          <w:szCs w:val="22"/>
        </w:rPr>
      </w:pPr>
      <w:bookmarkStart w:id="115" w:name="_Hlk76560189"/>
      <w:r w:rsidRPr="00316837">
        <w:rPr>
          <w:rFonts w:eastAsia="Calibri"/>
          <w:szCs w:val="22"/>
        </w:rPr>
        <w:t xml:space="preserve">Currently, </w:t>
      </w:r>
      <w:r w:rsidR="0056640A" w:rsidRPr="00316837">
        <w:rPr>
          <w:rFonts w:eastAsia="Calibri"/>
          <w:szCs w:val="22"/>
        </w:rPr>
        <w:t>CAPP</w:t>
      </w:r>
      <w:r w:rsidRPr="00316837">
        <w:rPr>
          <w:rFonts w:eastAsia="Calibri"/>
          <w:szCs w:val="22"/>
        </w:rPr>
        <w:t xml:space="preserve"> covers 1</w:t>
      </w:r>
      <w:r w:rsidR="009D3D3F" w:rsidRPr="00316837">
        <w:rPr>
          <w:rFonts w:eastAsia="Calibri"/>
          <w:szCs w:val="22"/>
        </w:rPr>
        <w:t>1</w:t>
      </w:r>
      <w:r w:rsidRPr="00316837">
        <w:rPr>
          <w:rFonts w:eastAsia="Calibri"/>
          <w:szCs w:val="22"/>
        </w:rPr>
        <w:t xml:space="preserve"> ECCAS Member States and is made up of </w:t>
      </w:r>
      <w:r w:rsidR="009D3D3F" w:rsidRPr="00316837">
        <w:rPr>
          <w:rFonts w:eastAsia="Calibri"/>
          <w:szCs w:val="22"/>
        </w:rPr>
        <w:t>12 member utilities</w:t>
      </w:r>
      <w:bookmarkEnd w:id="115"/>
      <w:r w:rsidR="009D3D3F" w:rsidRPr="00316837">
        <w:rPr>
          <w:rFonts w:eastAsia="Calibri"/>
          <w:szCs w:val="22"/>
        </w:rPr>
        <w:t xml:space="preserve">, i.e. public, private and/or mixed generation, transmission and distribution undertakings. Hence, CAPP member utilities are generation, transmission, distribution and retail supply companies operating in the electricity systems in the Central Africa Region to which CAPP ensures regional integration of the electricity system and market. </w:t>
      </w:r>
    </w:p>
    <w:p w14:paraId="660566A0" w14:textId="72E32348" w:rsidR="009D3D3F" w:rsidRPr="00316837" w:rsidRDefault="009D3D3F" w:rsidP="009D3D3F">
      <w:pPr>
        <w:rPr>
          <w:rFonts w:eastAsia="Calibri"/>
          <w:szCs w:val="20"/>
        </w:rPr>
      </w:pPr>
      <w:r w:rsidRPr="00316837">
        <w:rPr>
          <w:rFonts w:eastAsia="Calibri"/>
          <w:szCs w:val="20"/>
        </w:rPr>
        <w:lastRenderedPageBreak/>
        <w:t>CAPP</w:t>
      </w:r>
      <w:r w:rsidR="00F37C4D" w:rsidRPr="00316837">
        <w:rPr>
          <w:rFonts w:eastAsia="Calibri"/>
          <w:szCs w:val="20"/>
        </w:rPr>
        <w:t>’s</w:t>
      </w:r>
      <w:r w:rsidRPr="00316837">
        <w:rPr>
          <w:rFonts w:eastAsia="Calibri"/>
          <w:szCs w:val="20"/>
        </w:rPr>
        <w:t xml:space="preserve"> governing structure (see </w:t>
      </w:r>
      <w:r w:rsidRPr="00316837">
        <w:rPr>
          <w:rFonts w:eastAsia="Calibri"/>
          <w:szCs w:val="20"/>
        </w:rPr>
        <w:fldChar w:fldCharType="begin"/>
      </w:r>
      <w:r w:rsidRPr="00316837">
        <w:rPr>
          <w:rFonts w:eastAsia="Calibri"/>
          <w:szCs w:val="20"/>
        </w:rPr>
        <w:instrText xml:space="preserve"> REF _Ref72924535 \h  \* MERGEFORMAT </w:instrText>
      </w:r>
      <w:r w:rsidRPr="00316837">
        <w:rPr>
          <w:rFonts w:eastAsia="Calibri"/>
          <w:szCs w:val="20"/>
        </w:rPr>
      </w:r>
      <w:r w:rsidRPr="00316837">
        <w:rPr>
          <w:rFonts w:eastAsia="Calibri"/>
          <w:szCs w:val="20"/>
        </w:rPr>
        <w:fldChar w:fldCharType="separate"/>
      </w:r>
      <w:r w:rsidR="00507C15" w:rsidRPr="006273BD">
        <w:rPr>
          <w:rFonts w:cs="Arial"/>
          <w:bCs/>
          <w:szCs w:val="20"/>
        </w:rPr>
        <w:t>Table 3</w:t>
      </w:r>
      <w:r w:rsidR="00507C15" w:rsidRPr="006273BD">
        <w:rPr>
          <w:rFonts w:cs="Arial"/>
          <w:bCs/>
          <w:szCs w:val="20"/>
        </w:rPr>
        <w:noBreakHyphen/>
        <w:t>9</w:t>
      </w:r>
      <w:r w:rsidRPr="00316837">
        <w:rPr>
          <w:rFonts w:eastAsia="Calibri"/>
          <w:szCs w:val="20"/>
        </w:rPr>
        <w:fldChar w:fldCharType="end"/>
      </w:r>
      <w:r w:rsidRPr="00C632F6">
        <w:rPr>
          <w:rFonts w:eastAsia="Calibri"/>
          <w:szCs w:val="20"/>
        </w:rPr>
        <w:t>) follow</w:t>
      </w:r>
      <w:r w:rsidR="00F37C4D" w:rsidRPr="00316837">
        <w:rPr>
          <w:rFonts w:eastAsia="Calibri"/>
          <w:szCs w:val="20"/>
        </w:rPr>
        <w:t>s</w:t>
      </w:r>
      <w:r w:rsidRPr="00316837">
        <w:rPr>
          <w:rFonts w:eastAsia="Calibri"/>
          <w:szCs w:val="20"/>
        </w:rPr>
        <w:t xml:space="preserve"> </w:t>
      </w:r>
      <w:r w:rsidR="00F37C4D" w:rsidRPr="00316837">
        <w:rPr>
          <w:rFonts w:eastAsia="Calibri"/>
          <w:szCs w:val="20"/>
        </w:rPr>
        <w:t>the</w:t>
      </w:r>
      <w:r w:rsidRPr="00316837">
        <w:rPr>
          <w:rFonts w:eastAsia="Calibri"/>
          <w:szCs w:val="20"/>
        </w:rPr>
        <w:t xml:space="preserve"> main objectives by undertaking related actions (see </w:t>
      </w:r>
      <w:r w:rsidRPr="00316837">
        <w:rPr>
          <w:rFonts w:eastAsia="Calibri"/>
          <w:szCs w:val="20"/>
        </w:rPr>
        <w:fldChar w:fldCharType="begin"/>
      </w:r>
      <w:r w:rsidRPr="00316837">
        <w:rPr>
          <w:rFonts w:eastAsia="Calibri"/>
          <w:szCs w:val="20"/>
        </w:rPr>
        <w:instrText xml:space="preserve"> REF _Ref72927610 \h  \* MERGEFORMAT </w:instrText>
      </w:r>
      <w:r w:rsidRPr="00316837">
        <w:rPr>
          <w:rFonts w:eastAsia="Calibri"/>
          <w:szCs w:val="20"/>
        </w:rPr>
      </w:r>
      <w:r w:rsidRPr="00316837">
        <w:rPr>
          <w:rFonts w:eastAsia="Calibri"/>
          <w:szCs w:val="20"/>
        </w:rPr>
        <w:fldChar w:fldCharType="separate"/>
      </w:r>
      <w:r w:rsidR="00507C15" w:rsidRPr="006273BD">
        <w:rPr>
          <w:rFonts w:cs="Arial"/>
          <w:bCs/>
          <w:szCs w:val="20"/>
        </w:rPr>
        <w:t>Table 3</w:t>
      </w:r>
      <w:r w:rsidR="00507C15" w:rsidRPr="006273BD">
        <w:rPr>
          <w:rFonts w:cs="Arial"/>
          <w:bCs/>
          <w:szCs w:val="20"/>
        </w:rPr>
        <w:noBreakHyphen/>
        <w:t>10</w:t>
      </w:r>
      <w:r w:rsidRPr="00316837">
        <w:rPr>
          <w:rFonts w:eastAsia="Calibri"/>
          <w:szCs w:val="20"/>
        </w:rPr>
        <w:fldChar w:fldCharType="end"/>
      </w:r>
      <w:r w:rsidRPr="00C632F6">
        <w:rPr>
          <w:rFonts w:eastAsia="Calibri"/>
          <w:szCs w:val="20"/>
        </w:rPr>
        <w:t xml:space="preserve">). </w:t>
      </w:r>
    </w:p>
    <w:p w14:paraId="783EE482" w14:textId="0ECD80C3" w:rsidR="009D3D3F" w:rsidRPr="00316837" w:rsidRDefault="009D3D3F" w:rsidP="009D3D3F">
      <w:pPr>
        <w:suppressAutoHyphens w:val="0"/>
        <w:spacing w:before="120"/>
        <w:ind w:left="1134" w:hanging="1134"/>
        <w:rPr>
          <w:rFonts w:cs="Arial"/>
          <w:bCs/>
          <w:sz w:val="18"/>
          <w:szCs w:val="18"/>
        </w:rPr>
      </w:pPr>
      <w:bookmarkStart w:id="116" w:name="_Ref72924535"/>
      <w:bookmarkStart w:id="117" w:name="_Toc77260246"/>
      <w:r w:rsidRPr="00316837">
        <w:rPr>
          <w:rFonts w:cs="Arial"/>
          <w:bCs/>
          <w:sz w:val="18"/>
          <w:szCs w:val="18"/>
        </w:rPr>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507C15">
        <w:rPr>
          <w:rFonts w:cs="Arial"/>
          <w:bCs/>
          <w:noProof/>
          <w:sz w:val="18"/>
          <w:szCs w:val="18"/>
        </w:rPr>
        <w:t>9</w:t>
      </w:r>
      <w:r w:rsidRPr="00316837">
        <w:rPr>
          <w:rFonts w:cs="Arial"/>
          <w:bCs/>
          <w:sz w:val="18"/>
          <w:szCs w:val="18"/>
        </w:rPr>
        <w:fldChar w:fldCharType="end"/>
      </w:r>
      <w:bookmarkEnd w:id="116"/>
      <w:r w:rsidRPr="00C632F6">
        <w:rPr>
          <w:rFonts w:cs="Arial"/>
          <w:bCs/>
          <w:sz w:val="18"/>
          <w:szCs w:val="18"/>
        </w:rPr>
        <w:t>: CAPP’s governing structures</w:t>
      </w:r>
      <w:bookmarkEnd w:id="117"/>
      <w:r w:rsidRPr="00C632F6">
        <w:rPr>
          <w:rFonts w:cs="Arial"/>
          <w:bCs/>
          <w:sz w:val="18"/>
          <w:szCs w:val="18"/>
        </w:rPr>
        <w:t xml:space="preserve"> </w:t>
      </w:r>
    </w:p>
    <w:tbl>
      <w:tblPr>
        <w:tblStyle w:val="TableGrid"/>
        <w:tblW w:w="5000" w:type="pct"/>
        <w:tblLook w:val="04A0" w:firstRow="1" w:lastRow="0" w:firstColumn="1" w:lastColumn="0" w:noHBand="0" w:noVBand="1"/>
      </w:tblPr>
      <w:tblGrid>
        <w:gridCol w:w="563"/>
        <w:gridCol w:w="1985"/>
        <w:gridCol w:w="7081"/>
      </w:tblGrid>
      <w:tr w:rsidR="009D3D3F" w:rsidRPr="00316837" w14:paraId="5C51C4E5" w14:textId="77777777" w:rsidTr="009D3D3F">
        <w:tc>
          <w:tcPr>
            <w:tcW w:w="292" w:type="pct"/>
            <w:shd w:val="clear" w:color="auto" w:fill="F2F2F2" w:themeFill="background1" w:themeFillShade="F2"/>
          </w:tcPr>
          <w:p w14:paraId="1FD14E02" w14:textId="77777777" w:rsidR="009D3D3F" w:rsidRPr="006273BD" w:rsidRDefault="009D3D3F" w:rsidP="0056640A">
            <w:pPr>
              <w:spacing w:before="120" w:after="120"/>
              <w:jc w:val="left"/>
              <w:rPr>
                <w:rFonts w:eastAsia="Calibri"/>
                <w:b/>
                <w:bCs/>
                <w:sz w:val="18"/>
                <w:szCs w:val="18"/>
              </w:rPr>
            </w:pPr>
            <w:r w:rsidRPr="006273BD">
              <w:rPr>
                <w:rFonts w:eastAsia="Calibri"/>
                <w:b/>
                <w:bCs/>
                <w:sz w:val="18"/>
                <w:szCs w:val="18"/>
              </w:rPr>
              <w:t>No.</w:t>
            </w:r>
          </w:p>
        </w:tc>
        <w:tc>
          <w:tcPr>
            <w:tcW w:w="1031" w:type="pct"/>
            <w:shd w:val="clear" w:color="auto" w:fill="F2F2F2" w:themeFill="background1" w:themeFillShade="F2"/>
          </w:tcPr>
          <w:p w14:paraId="3BAA6317" w14:textId="122A0C0D" w:rsidR="009D3D3F" w:rsidRPr="006273BD" w:rsidRDefault="009D3D3F" w:rsidP="0056640A">
            <w:pPr>
              <w:spacing w:before="120" w:after="120"/>
              <w:jc w:val="left"/>
              <w:rPr>
                <w:rFonts w:eastAsia="Calibri"/>
                <w:b/>
                <w:bCs/>
                <w:sz w:val="18"/>
                <w:szCs w:val="18"/>
              </w:rPr>
            </w:pPr>
            <w:r w:rsidRPr="006273BD">
              <w:rPr>
                <w:rFonts w:eastAsia="Calibri"/>
                <w:b/>
                <w:bCs/>
                <w:sz w:val="18"/>
                <w:szCs w:val="18"/>
              </w:rPr>
              <w:t xml:space="preserve">Organ </w:t>
            </w:r>
          </w:p>
        </w:tc>
        <w:tc>
          <w:tcPr>
            <w:tcW w:w="3677" w:type="pct"/>
            <w:shd w:val="clear" w:color="auto" w:fill="F2F2F2" w:themeFill="background1" w:themeFillShade="F2"/>
          </w:tcPr>
          <w:p w14:paraId="12A84452" w14:textId="77777777" w:rsidR="009D3D3F" w:rsidRPr="006273BD" w:rsidRDefault="009D3D3F" w:rsidP="0056640A">
            <w:pPr>
              <w:spacing w:before="120" w:after="120"/>
              <w:jc w:val="left"/>
              <w:rPr>
                <w:rFonts w:eastAsia="Calibri"/>
                <w:b/>
                <w:bCs/>
                <w:sz w:val="18"/>
                <w:szCs w:val="18"/>
              </w:rPr>
            </w:pPr>
            <w:r w:rsidRPr="006273BD">
              <w:rPr>
                <w:rFonts w:eastAsia="Calibri"/>
                <w:b/>
                <w:bCs/>
                <w:sz w:val="18"/>
                <w:szCs w:val="18"/>
              </w:rPr>
              <w:t>Description</w:t>
            </w:r>
          </w:p>
        </w:tc>
      </w:tr>
      <w:tr w:rsidR="009D3D3F" w:rsidRPr="00316837" w14:paraId="5074CDE4" w14:textId="77777777" w:rsidTr="009D3D3F">
        <w:tc>
          <w:tcPr>
            <w:tcW w:w="292" w:type="pct"/>
          </w:tcPr>
          <w:p w14:paraId="47FB6D7E" w14:textId="77777777" w:rsidR="009D3D3F" w:rsidRPr="00316837" w:rsidRDefault="009D3D3F" w:rsidP="0056640A">
            <w:pPr>
              <w:spacing w:before="120" w:after="120"/>
              <w:jc w:val="left"/>
              <w:rPr>
                <w:rFonts w:eastAsia="Calibri"/>
                <w:sz w:val="18"/>
                <w:szCs w:val="18"/>
              </w:rPr>
            </w:pPr>
            <w:r w:rsidRPr="00316837">
              <w:rPr>
                <w:rFonts w:eastAsia="Calibri"/>
                <w:sz w:val="18"/>
                <w:szCs w:val="18"/>
              </w:rPr>
              <w:t>1</w:t>
            </w:r>
          </w:p>
        </w:tc>
        <w:tc>
          <w:tcPr>
            <w:tcW w:w="1031" w:type="pct"/>
          </w:tcPr>
          <w:p w14:paraId="13A44E9F" w14:textId="2E834FA5" w:rsidR="009D3D3F" w:rsidRPr="00316837" w:rsidRDefault="009D3D3F" w:rsidP="0056640A">
            <w:pPr>
              <w:spacing w:before="120" w:after="120"/>
              <w:jc w:val="left"/>
              <w:rPr>
                <w:rFonts w:eastAsia="Calibri"/>
                <w:sz w:val="18"/>
                <w:szCs w:val="18"/>
              </w:rPr>
            </w:pPr>
            <w:r w:rsidRPr="00316837">
              <w:rPr>
                <w:rFonts w:eastAsia="Calibri"/>
                <w:sz w:val="18"/>
                <w:szCs w:val="18"/>
              </w:rPr>
              <w:t>Council of Ministers</w:t>
            </w:r>
            <w:r w:rsidR="001D4932" w:rsidRPr="00316837">
              <w:rPr>
                <w:rFonts w:eastAsia="Calibri"/>
                <w:sz w:val="18"/>
                <w:szCs w:val="18"/>
              </w:rPr>
              <w:t xml:space="preserve"> </w:t>
            </w:r>
          </w:p>
        </w:tc>
        <w:tc>
          <w:tcPr>
            <w:tcW w:w="3677" w:type="pct"/>
          </w:tcPr>
          <w:p w14:paraId="5B44C024" w14:textId="77777777" w:rsidR="009D3D3F" w:rsidRPr="00316837" w:rsidRDefault="009D3D3F" w:rsidP="0056640A">
            <w:pPr>
              <w:spacing w:before="120" w:after="120"/>
              <w:jc w:val="left"/>
              <w:rPr>
                <w:rFonts w:eastAsia="Calibri"/>
                <w:sz w:val="18"/>
                <w:szCs w:val="18"/>
              </w:rPr>
            </w:pPr>
            <w:r w:rsidRPr="00316837">
              <w:rPr>
                <w:rFonts w:eastAsia="Calibri"/>
                <w:sz w:val="18"/>
                <w:szCs w:val="18"/>
              </w:rPr>
              <w:t xml:space="preserve">The highest decision-making body of CAPP. Composed of the ministers in charge of energy. </w:t>
            </w:r>
          </w:p>
          <w:p w14:paraId="2168E70E" w14:textId="71576C1D" w:rsidR="00911A72" w:rsidRPr="00316837" w:rsidRDefault="00911A72" w:rsidP="00911A72">
            <w:pPr>
              <w:spacing w:before="120" w:after="120"/>
              <w:jc w:val="left"/>
              <w:rPr>
                <w:rFonts w:eastAsia="Calibri"/>
                <w:sz w:val="18"/>
                <w:szCs w:val="18"/>
              </w:rPr>
            </w:pPr>
            <w:r w:rsidRPr="00316837">
              <w:rPr>
                <w:rFonts w:eastAsia="Calibri"/>
                <w:sz w:val="18"/>
                <w:szCs w:val="18"/>
              </w:rPr>
              <w:t>Signs or amends the constitutive act of CAPP. Approves the Inter-Utility Agreement. Defines the common energy policy. Approves community energy development plans. Sets up the Executive Committee and the Management Committee. Approves the admission of new members. Takes sanctions against defaulting members.</w:t>
            </w:r>
            <w:r w:rsidR="001D4932" w:rsidRPr="00316837">
              <w:rPr>
                <w:rFonts w:eastAsia="Calibri"/>
                <w:sz w:val="18"/>
                <w:szCs w:val="18"/>
              </w:rPr>
              <w:t xml:space="preserve"> </w:t>
            </w:r>
          </w:p>
        </w:tc>
      </w:tr>
      <w:tr w:rsidR="009D3D3F" w:rsidRPr="00316837" w14:paraId="36B3CF39" w14:textId="77777777" w:rsidTr="009D3D3F">
        <w:tc>
          <w:tcPr>
            <w:tcW w:w="292" w:type="pct"/>
          </w:tcPr>
          <w:p w14:paraId="2C0B7A72" w14:textId="77777777" w:rsidR="009D3D3F" w:rsidRPr="00316837" w:rsidRDefault="009D3D3F" w:rsidP="0056640A">
            <w:pPr>
              <w:spacing w:before="120" w:after="120"/>
              <w:jc w:val="left"/>
              <w:rPr>
                <w:rFonts w:eastAsia="Calibri"/>
                <w:sz w:val="18"/>
                <w:szCs w:val="18"/>
              </w:rPr>
            </w:pPr>
            <w:r w:rsidRPr="00316837">
              <w:rPr>
                <w:rFonts w:eastAsia="Calibri"/>
                <w:sz w:val="18"/>
                <w:szCs w:val="18"/>
              </w:rPr>
              <w:t>2</w:t>
            </w:r>
          </w:p>
        </w:tc>
        <w:tc>
          <w:tcPr>
            <w:tcW w:w="1031" w:type="pct"/>
          </w:tcPr>
          <w:p w14:paraId="4F65405A" w14:textId="7E933B50" w:rsidR="009D3D3F" w:rsidRPr="00316837" w:rsidRDefault="009D3D3F" w:rsidP="0056640A">
            <w:pPr>
              <w:spacing w:before="120" w:after="120"/>
              <w:jc w:val="left"/>
              <w:rPr>
                <w:rFonts w:eastAsia="Calibri"/>
                <w:sz w:val="18"/>
                <w:szCs w:val="18"/>
              </w:rPr>
            </w:pPr>
            <w:r w:rsidRPr="00316837">
              <w:rPr>
                <w:rFonts w:eastAsia="Calibri"/>
                <w:sz w:val="18"/>
                <w:szCs w:val="18"/>
              </w:rPr>
              <w:t>Executive Committee</w:t>
            </w:r>
            <w:r w:rsidR="001D4932" w:rsidRPr="00316837">
              <w:rPr>
                <w:rFonts w:eastAsia="Calibri"/>
                <w:sz w:val="18"/>
                <w:szCs w:val="18"/>
              </w:rPr>
              <w:t xml:space="preserve"> </w:t>
            </w:r>
          </w:p>
        </w:tc>
        <w:tc>
          <w:tcPr>
            <w:tcW w:w="3677" w:type="pct"/>
          </w:tcPr>
          <w:p w14:paraId="7290BF97" w14:textId="277F4FA0" w:rsidR="009D3D3F" w:rsidRPr="00316837" w:rsidRDefault="009D3D3F" w:rsidP="0056640A">
            <w:pPr>
              <w:spacing w:before="120" w:after="120"/>
              <w:jc w:val="left"/>
              <w:rPr>
                <w:rFonts w:eastAsia="Calibri"/>
                <w:sz w:val="18"/>
                <w:szCs w:val="18"/>
              </w:rPr>
            </w:pPr>
            <w:r w:rsidRPr="00316837">
              <w:rPr>
                <w:rFonts w:eastAsia="Calibri"/>
                <w:sz w:val="18"/>
                <w:szCs w:val="18"/>
              </w:rPr>
              <w:t xml:space="preserve">Responsible for implementing the decisions of the Council of Ministers. Composed of the </w:t>
            </w:r>
            <w:r w:rsidR="00D97673" w:rsidRPr="00316837">
              <w:rPr>
                <w:rFonts w:eastAsia="Calibri"/>
                <w:sz w:val="18"/>
                <w:szCs w:val="18"/>
              </w:rPr>
              <w:t xml:space="preserve">general directors or general secretaries </w:t>
            </w:r>
            <w:r w:rsidRPr="00316837">
              <w:rPr>
                <w:rFonts w:eastAsia="Calibri"/>
                <w:sz w:val="18"/>
                <w:szCs w:val="18"/>
              </w:rPr>
              <w:t xml:space="preserve">of the ministries in charge of energy. </w:t>
            </w:r>
          </w:p>
          <w:p w14:paraId="24B9D9B7" w14:textId="77777777" w:rsidR="009D3D3F" w:rsidRPr="00316837" w:rsidRDefault="009D3D3F" w:rsidP="0056640A">
            <w:pPr>
              <w:spacing w:before="120" w:after="120"/>
              <w:jc w:val="left"/>
              <w:rPr>
                <w:rFonts w:eastAsia="Calibri"/>
                <w:sz w:val="18"/>
                <w:szCs w:val="18"/>
              </w:rPr>
            </w:pPr>
            <w:r w:rsidRPr="00316837">
              <w:rPr>
                <w:rFonts w:eastAsia="Calibri"/>
                <w:sz w:val="18"/>
                <w:szCs w:val="18"/>
              </w:rPr>
              <w:t xml:space="preserve">Currently supported by the Management Committee and in future by the regulatory body (not yet effectuated). </w:t>
            </w:r>
          </w:p>
          <w:p w14:paraId="7A62ADD5" w14:textId="41AD6461" w:rsidR="00911A72" w:rsidRPr="00316837" w:rsidRDefault="00911A72" w:rsidP="00911A72">
            <w:pPr>
              <w:spacing w:before="120" w:after="120"/>
              <w:jc w:val="left"/>
              <w:rPr>
                <w:rFonts w:eastAsia="Calibri"/>
                <w:sz w:val="18"/>
                <w:szCs w:val="18"/>
              </w:rPr>
            </w:pPr>
            <w:r w:rsidRPr="00316837">
              <w:rPr>
                <w:rFonts w:eastAsia="Calibri"/>
                <w:sz w:val="18"/>
                <w:szCs w:val="18"/>
              </w:rPr>
              <w:t>Defines common energy policy implementation plans and programs, particularly in terms of pricing policies, planning and standardisation. Defines the orientations of the CAPP’s activities and monitor their application. Approves the CAPP’s action programs. Proposes the admission of new members. Proposes sanctions against defaulting members. Harmonises and approves the tariffs for access to international networks proposed by the Management Committee. Enacts the rules of the game between members participating in exchanges and at competitive auctions in CAPP.</w:t>
            </w:r>
          </w:p>
        </w:tc>
      </w:tr>
      <w:tr w:rsidR="00911A72" w:rsidRPr="00316837" w14:paraId="6D471B63" w14:textId="77777777" w:rsidTr="009D3D3F">
        <w:tc>
          <w:tcPr>
            <w:tcW w:w="292" w:type="pct"/>
          </w:tcPr>
          <w:p w14:paraId="1513482F" w14:textId="5BF28A7E" w:rsidR="00911A72" w:rsidRPr="00316837" w:rsidRDefault="00911A72" w:rsidP="0056640A">
            <w:pPr>
              <w:spacing w:before="120" w:after="120"/>
              <w:jc w:val="left"/>
              <w:rPr>
                <w:rFonts w:eastAsia="Calibri"/>
                <w:sz w:val="18"/>
                <w:szCs w:val="18"/>
              </w:rPr>
            </w:pPr>
            <w:r w:rsidRPr="00316837">
              <w:rPr>
                <w:rFonts w:eastAsia="Calibri"/>
                <w:sz w:val="18"/>
                <w:szCs w:val="18"/>
              </w:rPr>
              <w:t>3</w:t>
            </w:r>
          </w:p>
        </w:tc>
        <w:tc>
          <w:tcPr>
            <w:tcW w:w="1031" w:type="pct"/>
          </w:tcPr>
          <w:p w14:paraId="1FC4FA8F" w14:textId="0039D765" w:rsidR="00911A72" w:rsidRPr="00316837" w:rsidRDefault="00911A72" w:rsidP="0056640A">
            <w:pPr>
              <w:spacing w:before="120" w:after="120"/>
              <w:jc w:val="left"/>
              <w:rPr>
                <w:rFonts w:eastAsia="Calibri"/>
                <w:sz w:val="18"/>
                <w:szCs w:val="18"/>
              </w:rPr>
            </w:pPr>
            <w:r w:rsidRPr="00316837">
              <w:rPr>
                <w:rFonts w:eastAsia="Calibri"/>
                <w:sz w:val="18"/>
                <w:szCs w:val="18"/>
              </w:rPr>
              <w:t>Regulatory Body (not established yet</w:t>
            </w:r>
            <w:r w:rsidR="002B43A7" w:rsidRPr="00316837">
              <w:rPr>
                <w:rFonts w:eastAsia="Calibri"/>
                <w:sz w:val="18"/>
                <w:szCs w:val="18"/>
              </w:rPr>
              <w:t>; some activities are underway to establish it by the yearend 2021 with AfDB’s financing</w:t>
            </w:r>
            <w:r w:rsidRPr="00316837">
              <w:rPr>
                <w:rFonts w:eastAsia="Calibri"/>
                <w:sz w:val="18"/>
                <w:szCs w:val="18"/>
              </w:rPr>
              <w:t xml:space="preserve">) </w:t>
            </w:r>
          </w:p>
        </w:tc>
        <w:tc>
          <w:tcPr>
            <w:tcW w:w="3677" w:type="pct"/>
          </w:tcPr>
          <w:p w14:paraId="28B66B81" w14:textId="693F1BF7" w:rsidR="00911A72" w:rsidRPr="00316837" w:rsidRDefault="00911A72" w:rsidP="00911A72">
            <w:pPr>
              <w:spacing w:before="120" w:after="120"/>
              <w:jc w:val="left"/>
              <w:rPr>
                <w:rFonts w:eastAsia="Calibri"/>
                <w:sz w:val="18"/>
                <w:szCs w:val="18"/>
              </w:rPr>
            </w:pPr>
            <w:r w:rsidRPr="00316837">
              <w:rPr>
                <w:rFonts w:eastAsia="Calibri"/>
                <w:sz w:val="18"/>
                <w:szCs w:val="18"/>
              </w:rPr>
              <w:t xml:space="preserve">Responsible for dealing with the regulatory </w:t>
            </w:r>
            <w:r w:rsidR="001D4932" w:rsidRPr="00316837">
              <w:rPr>
                <w:rFonts w:eastAsia="Calibri"/>
                <w:sz w:val="18"/>
                <w:szCs w:val="18"/>
              </w:rPr>
              <w:t>affairs</w:t>
            </w:r>
            <w:r w:rsidRPr="00316837">
              <w:rPr>
                <w:rFonts w:eastAsia="Calibri"/>
                <w:sz w:val="18"/>
                <w:szCs w:val="18"/>
              </w:rPr>
              <w:t xml:space="preserve"> in CAPP. </w:t>
            </w:r>
          </w:p>
          <w:p w14:paraId="62CCFE5D" w14:textId="6EBADA10" w:rsidR="00911A72" w:rsidRPr="00316837" w:rsidRDefault="00911A72" w:rsidP="00911A72">
            <w:pPr>
              <w:spacing w:before="120" w:after="120"/>
              <w:jc w:val="left"/>
              <w:rPr>
                <w:rFonts w:eastAsia="Calibri"/>
                <w:sz w:val="18"/>
                <w:szCs w:val="18"/>
              </w:rPr>
            </w:pPr>
            <w:r w:rsidRPr="00316837">
              <w:rPr>
                <w:rFonts w:eastAsia="Calibri"/>
                <w:sz w:val="18"/>
                <w:szCs w:val="18"/>
              </w:rPr>
              <w:t xml:space="preserve">Ensures the application of the rules of the game between members participating in the exchanges and at competitive auctions in CAPP. Harmonises the accounting and billing procedures for electricity exchanges (power and energy). Requires the accounting separation and management of the accounts of integrated utilities participating in CAPP. Harmonises network access tariffs for member utilities of the Operation Sub-Committee. Organises the electricity markets in CAPP. Harmonises the accounting and invoicing procedures for electricity exchanges. </w:t>
            </w:r>
          </w:p>
        </w:tc>
      </w:tr>
      <w:tr w:rsidR="009D3D3F" w:rsidRPr="00316837" w14:paraId="2C0FFA9C" w14:textId="77777777" w:rsidTr="009D3D3F">
        <w:tc>
          <w:tcPr>
            <w:tcW w:w="292" w:type="pct"/>
          </w:tcPr>
          <w:p w14:paraId="2B218783" w14:textId="3EE16C46" w:rsidR="009D3D3F" w:rsidRPr="00316837" w:rsidRDefault="00911A72" w:rsidP="0056640A">
            <w:pPr>
              <w:spacing w:before="120" w:after="120"/>
              <w:jc w:val="left"/>
              <w:rPr>
                <w:rFonts w:eastAsia="Calibri"/>
                <w:sz w:val="18"/>
                <w:szCs w:val="18"/>
              </w:rPr>
            </w:pPr>
            <w:r w:rsidRPr="00316837">
              <w:rPr>
                <w:rFonts w:eastAsia="Calibri"/>
                <w:sz w:val="18"/>
                <w:szCs w:val="18"/>
              </w:rPr>
              <w:t>4</w:t>
            </w:r>
          </w:p>
        </w:tc>
        <w:tc>
          <w:tcPr>
            <w:tcW w:w="1031" w:type="pct"/>
          </w:tcPr>
          <w:p w14:paraId="40588335" w14:textId="41DB7EB5" w:rsidR="009D3D3F" w:rsidRPr="00316837" w:rsidRDefault="009D3D3F" w:rsidP="0056640A">
            <w:pPr>
              <w:spacing w:before="120" w:after="120"/>
              <w:jc w:val="left"/>
              <w:rPr>
                <w:rFonts w:eastAsia="Calibri"/>
                <w:sz w:val="18"/>
                <w:szCs w:val="18"/>
              </w:rPr>
            </w:pPr>
            <w:r w:rsidRPr="00316837">
              <w:rPr>
                <w:rFonts w:eastAsia="Calibri"/>
                <w:sz w:val="18"/>
                <w:szCs w:val="18"/>
              </w:rPr>
              <w:t>Management Committee</w:t>
            </w:r>
            <w:r w:rsidR="001D4932" w:rsidRPr="00316837">
              <w:rPr>
                <w:rFonts w:eastAsia="Calibri"/>
                <w:sz w:val="18"/>
                <w:szCs w:val="18"/>
              </w:rPr>
              <w:t xml:space="preserve"> </w:t>
            </w:r>
          </w:p>
        </w:tc>
        <w:tc>
          <w:tcPr>
            <w:tcW w:w="3677" w:type="pct"/>
          </w:tcPr>
          <w:p w14:paraId="7F9C5AAB" w14:textId="5FE01F34" w:rsidR="009D3D3F" w:rsidRPr="00316837" w:rsidRDefault="009D3D3F" w:rsidP="0056640A">
            <w:pPr>
              <w:spacing w:before="120" w:after="120"/>
              <w:jc w:val="left"/>
              <w:rPr>
                <w:rFonts w:eastAsia="Calibri"/>
                <w:sz w:val="18"/>
                <w:szCs w:val="18"/>
              </w:rPr>
            </w:pPr>
            <w:r w:rsidRPr="00316837">
              <w:rPr>
                <w:rFonts w:eastAsia="Calibri"/>
                <w:sz w:val="18"/>
                <w:szCs w:val="18"/>
              </w:rPr>
              <w:t xml:space="preserve">Reports to the Executive Committee and the Council of Ministers. Composed of the general managers or </w:t>
            </w:r>
            <w:r w:rsidR="00D97673" w:rsidRPr="00316837">
              <w:rPr>
                <w:rFonts w:eastAsia="Calibri"/>
                <w:sz w:val="18"/>
                <w:szCs w:val="18"/>
              </w:rPr>
              <w:t>chief executive officers</w:t>
            </w:r>
            <w:r w:rsidRPr="00316837">
              <w:rPr>
                <w:rFonts w:eastAsia="Calibri"/>
                <w:sz w:val="18"/>
                <w:szCs w:val="18"/>
              </w:rPr>
              <w:t xml:space="preserve"> of the CAPP member utilities</w:t>
            </w:r>
            <w:r w:rsidR="00D97673" w:rsidRPr="00316837">
              <w:rPr>
                <w:rFonts w:eastAsia="Calibri"/>
                <w:sz w:val="18"/>
                <w:szCs w:val="18"/>
              </w:rPr>
              <w:t xml:space="preserve"> whose meetings are prepared by the Committee of Experts</w:t>
            </w:r>
            <w:r w:rsidRPr="00316837">
              <w:rPr>
                <w:rFonts w:eastAsia="Calibri"/>
                <w:sz w:val="18"/>
                <w:szCs w:val="18"/>
              </w:rPr>
              <w:t xml:space="preserve">. </w:t>
            </w:r>
          </w:p>
          <w:p w14:paraId="5E40761A" w14:textId="77777777" w:rsidR="009D3D3F" w:rsidRPr="00316837" w:rsidRDefault="009D3D3F" w:rsidP="0056640A">
            <w:pPr>
              <w:spacing w:before="120" w:after="120"/>
              <w:jc w:val="left"/>
              <w:rPr>
                <w:rFonts w:eastAsia="Calibri"/>
                <w:sz w:val="18"/>
                <w:szCs w:val="18"/>
              </w:rPr>
            </w:pPr>
            <w:r w:rsidRPr="00316837">
              <w:rPr>
                <w:rFonts w:eastAsia="Calibri"/>
                <w:sz w:val="18"/>
                <w:szCs w:val="18"/>
              </w:rPr>
              <w:t xml:space="preserve">Currently supported by the Permanent Secretariat and in future by the </w:t>
            </w:r>
            <w:r w:rsidR="00D97673" w:rsidRPr="00316837">
              <w:rPr>
                <w:rFonts w:eastAsia="Calibri"/>
                <w:sz w:val="18"/>
                <w:szCs w:val="18"/>
              </w:rPr>
              <w:t>C</w:t>
            </w:r>
            <w:r w:rsidRPr="00316837">
              <w:rPr>
                <w:rFonts w:eastAsia="Calibri"/>
                <w:sz w:val="18"/>
                <w:szCs w:val="18"/>
              </w:rPr>
              <w:t xml:space="preserve">ommittee of </w:t>
            </w:r>
            <w:r w:rsidR="00D97673" w:rsidRPr="00316837">
              <w:rPr>
                <w:rFonts w:eastAsia="Calibri"/>
                <w:sz w:val="18"/>
                <w:szCs w:val="18"/>
              </w:rPr>
              <w:t>E</w:t>
            </w:r>
            <w:r w:rsidRPr="00316837">
              <w:rPr>
                <w:rFonts w:eastAsia="Calibri"/>
                <w:sz w:val="18"/>
                <w:szCs w:val="18"/>
              </w:rPr>
              <w:t xml:space="preserve">xperts and the conciliatory body (not yet effectuated). </w:t>
            </w:r>
          </w:p>
          <w:p w14:paraId="345B426C" w14:textId="634181D1" w:rsidR="00911A72" w:rsidRPr="00316837" w:rsidRDefault="00911A72" w:rsidP="00911A72">
            <w:pPr>
              <w:spacing w:before="120" w:after="120"/>
              <w:jc w:val="left"/>
              <w:rPr>
                <w:rFonts w:eastAsia="Calibri"/>
                <w:sz w:val="18"/>
                <w:szCs w:val="18"/>
              </w:rPr>
            </w:pPr>
            <w:r w:rsidRPr="00316837">
              <w:rPr>
                <w:rFonts w:eastAsia="Calibri"/>
                <w:sz w:val="18"/>
                <w:szCs w:val="18"/>
              </w:rPr>
              <w:t xml:space="preserve">Ensures the execution of plans and programmes relating to common energy policy. Ensures the coordination of the work of the Technical Sub-Committees. Approves the documents and programs of the various Technical Sub-Committees. Proposes options for the development of the power system to the Executive Committee. Appoints the Permanent Secretary. Sets up, if necessary, the Technical Sub-Committees or ad hoc commissions. Approves the CAPP’s budgets. Organises training for technical staff involved in the operation of CAPP. Performs other more specific tasks related to operating members as defined in the Operating Agreement. </w:t>
            </w:r>
          </w:p>
        </w:tc>
      </w:tr>
      <w:tr w:rsidR="00911A72" w:rsidRPr="00316837" w14:paraId="22729CC1" w14:textId="77777777" w:rsidTr="009D3D3F">
        <w:tc>
          <w:tcPr>
            <w:tcW w:w="292" w:type="pct"/>
          </w:tcPr>
          <w:p w14:paraId="0F769863" w14:textId="21F47015" w:rsidR="00911A72" w:rsidRPr="00316837" w:rsidRDefault="00911A72" w:rsidP="0056640A">
            <w:pPr>
              <w:spacing w:before="120" w:after="120"/>
              <w:jc w:val="left"/>
              <w:rPr>
                <w:rFonts w:eastAsia="Calibri"/>
                <w:sz w:val="18"/>
                <w:szCs w:val="18"/>
              </w:rPr>
            </w:pPr>
            <w:r w:rsidRPr="00316837">
              <w:rPr>
                <w:rFonts w:eastAsia="Calibri"/>
                <w:sz w:val="18"/>
                <w:szCs w:val="18"/>
              </w:rPr>
              <w:t>5</w:t>
            </w:r>
          </w:p>
        </w:tc>
        <w:tc>
          <w:tcPr>
            <w:tcW w:w="1031" w:type="pct"/>
          </w:tcPr>
          <w:p w14:paraId="53C0C363" w14:textId="1C98CE6E" w:rsidR="00911A72" w:rsidRPr="00316837" w:rsidRDefault="00911A72" w:rsidP="0056640A">
            <w:pPr>
              <w:spacing w:before="120" w:after="120"/>
              <w:jc w:val="left"/>
              <w:rPr>
                <w:rFonts w:eastAsia="Calibri"/>
                <w:sz w:val="18"/>
                <w:szCs w:val="18"/>
              </w:rPr>
            </w:pPr>
            <w:r w:rsidRPr="00316837">
              <w:rPr>
                <w:rFonts w:eastAsia="Calibri"/>
                <w:sz w:val="18"/>
                <w:szCs w:val="18"/>
              </w:rPr>
              <w:t>Conciliat</w:t>
            </w:r>
            <w:r w:rsidR="002B43A7" w:rsidRPr="00316837">
              <w:rPr>
                <w:rFonts w:eastAsia="Calibri"/>
                <w:sz w:val="18"/>
                <w:szCs w:val="18"/>
              </w:rPr>
              <w:t>ory</w:t>
            </w:r>
            <w:r w:rsidRPr="00316837">
              <w:rPr>
                <w:rFonts w:eastAsia="Calibri"/>
                <w:sz w:val="18"/>
                <w:szCs w:val="18"/>
              </w:rPr>
              <w:t xml:space="preserve"> Body (not established yet)</w:t>
            </w:r>
            <w:r w:rsidR="001D4932" w:rsidRPr="00316837">
              <w:rPr>
                <w:rFonts w:eastAsia="Calibri"/>
                <w:sz w:val="18"/>
                <w:szCs w:val="18"/>
              </w:rPr>
              <w:t xml:space="preserve"> </w:t>
            </w:r>
          </w:p>
        </w:tc>
        <w:tc>
          <w:tcPr>
            <w:tcW w:w="3677" w:type="pct"/>
          </w:tcPr>
          <w:p w14:paraId="25149A5D" w14:textId="067EC60C" w:rsidR="00911A72" w:rsidRPr="00316837" w:rsidRDefault="00911A72" w:rsidP="0056640A">
            <w:pPr>
              <w:spacing w:before="120" w:after="120"/>
              <w:jc w:val="left"/>
              <w:rPr>
                <w:rFonts w:eastAsia="Calibri"/>
                <w:sz w:val="18"/>
                <w:szCs w:val="18"/>
              </w:rPr>
            </w:pPr>
            <w:r w:rsidRPr="00316837">
              <w:rPr>
                <w:rFonts w:eastAsia="Calibri"/>
                <w:sz w:val="18"/>
                <w:szCs w:val="18"/>
              </w:rPr>
              <w:t xml:space="preserve">Resolves any dispute that may arise between members related to the exchange or the transactions in CAPP. </w:t>
            </w:r>
          </w:p>
        </w:tc>
      </w:tr>
      <w:tr w:rsidR="009D3D3F" w:rsidRPr="00316837" w14:paraId="5AC7F6A7" w14:textId="77777777" w:rsidTr="009D3D3F">
        <w:tc>
          <w:tcPr>
            <w:tcW w:w="292" w:type="pct"/>
          </w:tcPr>
          <w:p w14:paraId="7C0DF02F" w14:textId="7B0ED22F" w:rsidR="009D3D3F" w:rsidRPr="00316837" w:rsidRDefault="00911A72" w:rsidP="0056640A">
            <w:pPr>
              <w:spacing w:before="120" w:after="120"/>
              <w:jc w:val="left"/>
              <w:rPr>
                <w:rFonts w:eastAsia="Calibri"/>
                <w:sz w:val="18"/>
                <w:szCs w:val="18"/>
              </w:rPr>
            </w:pPr>
            <w:r w:rsidRPr="00316837">
              <w:rPr>
                <w:rFonts w:eastAsia="Calibri"/>
                <w:sz w:val="18"/>
                <w:szCs w:val="18"/>
              </w:rPr>
              <w:t>6</w:t>
            </w:r>
          </w:p>
        </w:tc>
        <w:tc>
          <w:tcPr>
            <w:tcW w:w="1031" w:type="pct"/>
          </w:tcPr>
          <w:p w14:paraId="3DC44026" w14:textId="2D342249" w:rsidR="009D3D3F" w:rsidRPr="00316837" w:rsidRDefault="009D3D3F" w:rsidP="0056640A">
            <w:pPr>
              <w:spacing w:before="120" w:after="120"/>
              <w:jc w:val="left"/>
              <w:rPr>
                <w:rFonts w:eastAsia="Calibri"/>
                <w:sz w:val="18"/>
                <w:szCs w:val="18"/>
              </w:rPr>
            </w:pPr>
            <w:r w:rsidRPr="00316837">
              <w:rPr>
                <w:rFonts w:eastAsia="Calibri"/>
                <w:sz w:val="18"/>
                <w:szCs w:val="18"/>
              </w:rPr>
              <w:t>Permanent Secretariat</w:t>
            </w:r>
            <w:r w:rsidR="001D4932" w:rsidRPr="00316837">
              <w:rPr>
                <w:rFonts w:eastAsia="Calibri"/>
                <w:sz w:val="18"/>
                <w:szCs w:val="18"/>
              </w:rPr>
              <w:t xml:space="preserve"> </w:t>
            </w:r>
          </w:p>
        </w:tc>
        <w:tc>
          <w:tcPr>
            <w:tcW w:w="3677" w:type="pct"/>
          </w:tcPr>
          <w:p w14:paraId="30456D3B" w14:textId="294DCC2C" w:rsidR="009D3D3F" w:rsidRPr="00316837" w:rsidRDefault="009D3D3F" w:rsidP="0056640A">
            <w:pPr>
              <w:spacing w:before="120" w:after="120"/>
              <w:jc w:val="left"/>
              <w:rPr>
                <w:rFonts w:eastAsia="Calibri"/>
                <w:sz w:val="18"/>
                <w:szCs w:val="18"/>
              </w:rPr>
            </w:pPr>
            <w:r w:rsidRPr="00316837">
              <w:rPr>
                <w:rFonts w:eastAsia="Calibri"/>
                <w:sz w:val="18"/>
                <w:szCs w:val="18"/>
              </w:rPr>
              <w:t xml:space="preserve">The CAPP’s administrative organ. Headed by a Permanent Secretary who performs activities under the authority of the Management Committee. </w:t>
            </w:r>
          </w:p>
          <w:p w14:paraId="2434647E" w14:textId="3B96AE2C" w:rsidR="009D3D3F" w:rsidRPr="00316837" w:rsidRDefault="00911A72" w:rsidP="0056640A">
            <w:pPr>
              <w:spacing w:before="120" w:after="120"/>
              <w:jc w:val="left"/>
              <w:rPr>
                <w:rFonts w:eastAsia="Calibri"/>
                <w:sz w:val="18"/>
                <w:szCs w:val="18"/>
              </w:rPr>
            </w:pPr>
            <w:r w:rsidRPr="00316837">
              <w:rPr>
                <w:rFonts w:eastAsia="Calibri"/>
                <w:sz w:val="18"/>
                <w:szCs w:val="18"/>
              </w:rPr>
              <w:t xml:space="preserve">Liaises between the bodies of CAPP and ECCAS on the one hand and the other organisations involved in the development of the African electricity sector. </w:t>
            </w:r>
            <w:r w:rsidR="009D3D3F" w:rsidRPr="00316837">
              <w:rPr>
                <w:rFonts w:eastAsia="Calibri"/>
                <w:sz w:val="18"/>
                <w:szCs w:val="18"/>
              </w:rPr>
              <w:t>Prepare</w:t>
            </w:r>
            <w:r w:rsidRPr="00316837">
              <w:rPr>
                <w:rFonts w:eastAsia="Calibri"/>
                <w:sz w:val="18"/>
                <w:szCs w:val="18"/>
              </w:rPr>
              <w:t>s</w:t>
            </w:r>
            <w:r w:rsidR="009D3D3F" w:rsidRPr="00316837">
              <w:rPr>
                <w:rFonts w:eastAsia="Calibri"/>
                <w:sz w:val="18"/>
                <w:szCs w:val="18"/>
              </w:rPr>
              <w:t xml:space="preserve"> </w:t>
            </w:r>
            <w:r w:rsidR="009D3D3F" w:rsidRPr="00316837">
              <w:rPr>
                <w:rFonts w:eastAsia="Calibri"/>
                <w:sz w:val="18"/>
                <w:szCs w:val="18"/>
              </w:rPr>
              <w:lastRenderedPageBreak/>
              <w:t xml:space="preserve">the meetings of the Council of Ministers, the Executive Committee, the Management Committee, and the Technical Sub-Committees for which it provides the secretariat with the assistance of the host body. Provides up-to-date transparent information and as comprehensive as possible to CAPP members, development partners and public, particularly on regional interconnections and available generation capabilities. </w:t>
            </w:r>
          </w:p>
          <w:p w14:paraId="18D85775" w14:textId="35E65E09" w:rsidR="00911A72" w:rsidRPr="00316837" w:rsidRDefault="00911A72" w:rsidP="0056640A">
            <w:pPr>
              <w:spacing w:before="120" w:after="120"/>
              <w:jc w:val="left"/>
              <w:rPr>
                <w:rFonts w:eastAsia="Calibri"/>
                <w:sz w:val="18"/>
                <w:szCs w:val="18"/>
              </w:rPr>
            </w:pPr>
            <w:r w:rsidRPr="00316837">
              <w:rPr>
                <w:rFonts w:eastAsia="Calibri"/>
                <w:sz w:val="18"/>
                <w:szCs w:val="18"/>
              </w:rPr>
              <w:t xml:space="preserve">Submits action plans and budgets to the Management Committee. Develops cooperative relations between CAPP and African institutions for international financing of the electricity sector. Keeps and archives the minutes of meetings of the CAPP’s bodies. Manages the CAPP’s permanent administration. Ensures that the decisions of the CAPP’s decision-making bodies are implemented. Assists the Management Committee in the accomplishment of its mission. Looks for ways and means to mobilise funds according to the recommendations of the Executive Committee. </w:t>
            </w:r>
          </w:p>
          <w:p w14:paraId="2CDDBC0F" w14:textId="44141992" w:rsidR="009D3D3F" w:rsidRPr="00316837" w:rsidRDefault="009D3D3F" w:rsidP="0056640A">
            <w:pPr>
              <w:spacing w:before="120" w:after="120"/>
              <w:jc w:val="left"/>
              <w:rPr>
                <w:rFonts w:eastAsia="Calibri"/>
                <w:sz w:val="18"/>
                <w:szCs w:val="18"/>
              </w:rPr>
            </w:pPr>
            <w:r w:rsidRPr="00316837">
              <w:rPr>
                <w:rFonts w:eastAsia="Calibri"/>
                <w:sz w:val="18"/>
                <w:szCs w:val="18"/>
              </w:rPr>
              <w:t>Composed of three Technical Sub-Committees:</w:t>
            </w:r>
            <w:r w:rsidR="001D4932" w:rsidRPr="00316837">
              <w:rPr>
                <w:rFonts w:eastAsia="Calibri"/>
                <w:sz w:val="18"/>
                <w:szCs w:val="18"/>
              </w:rPr>
              <w:t xml:space="preserve"> </w:t>
            </w:r>
          </w:p>
          <w:p w14:paraId="51846583" w14:textId="457BA5E1" w:rsidR="009D3D3F" w:rsidRPr="00316837" w:rsidRDefault="009D3D3F" w:rsidP="00AB7DB1">
            <w:pPr>
              <w:numPr>
                <w:ilvl w:val="0"/>
                <w:numId w:val="39"/>
              </w:numPr>
              <w:spacing w:before="120" w:after="120"/>
              <w:jc w:val="left"/>
              <w:rPr>
                <w:rFonts w:eastAsia="Calibri"/>
                <w:sz w:val="18"/>
                <w:szCs w:val="18"/>
              </w:rPr>
            </w:pPr>
            <w:r w:rsidRPr="00316837">
              <w:rPr>
                <w:rFonts w:eastAsia="Calibri"/>
                <w:sz w:val="18"/>
                <w:szCs w:val="18"/>
              </w:rPr>
              <w:t xml:space="preserve">Planning Sub-Committee (currently, the only one which is active), </w:t>
            </w:r>
          </w:p>
          <w:p w14:paraId="5F37392A" w14:textId="3B8F9B78" w:rsidR="009D3D3F" w:rsidRPr="00316837" w:rsidRDefault="009D3D3F" w:rsidP="00AB7DB1">
            <w:pPr>
              <w:numPr>
                <w:ilvl w:val="0"/>
                <w:numId w:val="39"/>
              </w:numPr>
              <w:spacing w:before="120" w:after="120"/>
              <w:jc w:val="left"/>
              <w:rPr>
                <w:rFonts w:eastAsia="Calibri"/>
                <w:sz w:val="18"/>
                <w:szCs w:val="18"/>
              </w:rPr>
            </w:pPr>
            <w:r w:rsidRPr="00316837">
              <w:rPr>
                <w:rFonts w:eastAsia="Calibri"/>
                <w:sz w:val="18"/>
                <w:szCs w:val="18"/>
              </w:rPr>
              <w:t xml:space="preserve">Operation Sub-Committee (to establish the Coordination Centre), and </w:t>
            </w:r>
          </w:p>
          <w:p w14:paraId="6498F3A5" w14:textId="45AE0973" w:rsidR="009D3D3F" w:rsidRPr="00316837" w:rsidRDefault="009D3D3F" w:rsidP="0056640A">
            <w:pPr>
              <w:numPr>
                <w:ilvl w:val="0"/>
                <w:numId w:val="39"/>
              </w:numPr>
              <w:spacing w:before="120" w:after="120"/>
              <w:jc w:val="left"/>
              <w:rPr>
                <w:rFonts w:eastAsia="Calibri"/>
                <w:sz w:val="18"/>
                <w:szCs w:val="18"/>
              </w:rPr>
            </w:pPr>
            <w:r w:rsidRPr="00316837">
              <w:rPr>
                <w:rFonts w:eastAsia="Calibri"/>
                <w:sz w:val="18"/>
                <w:szCs w:val="18"/>
              </w:rPr>
              <w:t xml:space="preserve">Environment Sub-Committee. </w:t>
            </w:r>
          </w:p>
        </w:tc>
      </w:tr>
      <w:tr w:rsidR="00911A72" w:rsidRPr="00316837" w14:paraId="3BF0D5DF" w14:textId="77777777" w:rsidTr="009D3D3F">
        <w:tc>
          <w:tcPr>
            <w:tcW w:w="292" w:type="pct"/>
          </w:tcPr>
          <w:p w14:paraId="62D552C8" w14:textId="2149B1FE" w:rsidR="00911A72" w:rsidRPr="00316837" w:rsidRDefault="00911A72" w:rsidP="0056640A">
            <w:pPr>
              <w:spacing w:before="120" w:after="120"/>
              <w:jc w:val="left"/>
              <w:rPr>
                <w:rFonts w:eastAsia="Calibri"/>
                <w:sz w:val="18"/>
                <w:szCs w:val="18"/>
              </w:rPr>
            </w:pPr>
            <w:r w:rsidRPr="00316837">
              <w:rPr>
                <w:rFonts w:eastAsia="Calibri"/>
                <w:sz w:val="18"/>
                <w:szCs w:val="18"/>
              </w:rPr>
              <w:lastRenderedPageBreak/>
              <w:t>7</w:t>
            </w:r>
          </w:p>
        </w:tc>
        <w:tc>
          <w:tcPr>
            <w:tcW w:w="1031" w:type="pct"/>
          </w:tcPr>
          <w:p w14:paraId="2CD5BFF0" w14:textId="5225C1B7" w:rsidR="00911A72" w:rsidRPr="00316837" w:rsidRDefault="00911A72" w:rsidP="0056640A">
            <w:pPr>
              <w:spacing w:before="120" w:after="120"/>
              <w:jc w:val="left"/>
              <w:rPr>
                <w:rFonts w:eastAsia="Calibri"/>
                <w:sz w:val="18"/>
                <w:szCs w:val="18"/>
              </w:rPr>
            </w:pPr>
            <w:r w:rsidRPr="00316837">
              <w:rPr>
                <w:rFonts w:eastAsia="Calibri"/>
                <w:sz w:val="18"/>
                <w:szCs w:val="18"/>
              </w:rPr>
              <w:t>Coordination Centre (not established yet)</w:t>
            </w:r>
            <w:r w:rsidR="001D4932" w:rsidRPr="00316837">
              <w:rPr>
                <w:rFonts w:eastAsia="Calibri"/>
                <w:sz w:val="18"/>
                <w:szCs w:val="18"/>
              </w:rPr>
              <w:t xml:space="preserve"> </w:t>
            </w:r>
          </w:p>
        </w:tc>
        <w:tc>
          <w:tcPr>
            <w:tcW w:w="3677" w:type="pct"/>
          </w:tcPr>
          <w:p w14:paraId="358DEB2A" w14:textId="77777777" w:rsidR="00911A72" w:rsidRPr="00316837" w:rsidRDefault="00911A72" w:rsidP="0056640A">
            <w:pPr>
              <w:spacing w:before="120" w:after="120"/>
              <w:jc w:val="left"/>
              <w:rPr>
                <w:rFonts w:eastAsia="Calibri"/>
                <w:sz w:val="18"/>
                <w:szCs w:val="18"/>
              </w:rPr>
            </w:pPr>
            <w:r w:rsidRPr="00316837">
              <w:rPr>
                <w:rFonts w:eastAsia="Calibri"/>
                <w:sz w:val="18"/>
                <w:szCs w:val="18"/>
              </w:rPr>
              <w:t xml:space="preserve">Envisaged under the Operation Sub-Committee, however not effectuated yet. </w:t>
            </w:r>
          </w:p>
          <w:p w14:paraId="1F3128A4" w14:textId="1EB99547" w:rsidR="00911A72" w:rsidRPr="00316837" w:rsidRDefault="00911A72" w:rsidP="002B43A7">
            <w:pPr>
              <w:spacing w:before="120" w:after="120"/>
              <w:jc w:val="left"/>
              <w:rPr>
                <w:rFonts w:eastAsia="Calibri"/>
                <w:sz w:val="18"/>
                <w:szCs w:val="18"/>
              </w:rPr>
            </w:pPr>
            <w:r w:rsidRPr="00316837">
              <w:rPr>
                <w:rFonts w:eastAsia="Calibri"/>
                <w:sz w:val="18"/>
                <w:szCs w:val="18"/>
              </w:rPr>
              <w:t xml:space="preserve">Responsible for managing the movements of energy. Centralises in real time all technical information coming from different interconnected systems of member utilities, with a view to realise technical harmonisation of commercial trade. </w:t>
            </w:r>
          </w:p>
        </w:tc>
      </w:tr>
    </w:tbl>
    <w:p w14:paraId="55CE00C4" w14:textId="721D093D" w:rsidR="009D3D3F" w:rsidRPr="00316837" w:rsidRDefault="009D3D3F" w:rsidP="009D3D3F">
      <w:pPr>
        <w:suppressAutoHyphens w:val="0"/>
        <w:spacing w:before="120"/>
        <w:ind w:left="1134" w:hanging="1134"/>
        <w:rPr>
          <w:rFonts w:cs="Arial"/>
          <w:bCs/>
          <w:sz w:val="18"/>
          <w:szCs w:val="18"/>
        </w:rPr>
      </w:pPr>
      <w:bookmarkStart w:id="118" w:name="_Ref72927610"/>
      <w:bookmarkStart w:id="119" w:name="_Toc77260247"/>
      <w:r w:rsidRPr="00C632F6">
        <w:rPr>
          <w:rFonts w:cs="Arial"/>
          <w:bCs/>
          <w:sz w:val="18"/>
          <w:szCs w:val="18"/>
        </w:rPr>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507C15">
        <w:rPr>
          <w:rFonts w:cs="Arial"/>
          <w:bCs/>
          <w:noProof/>
          <w:sz w:val="18"/>
          <w:szCs w:val="18"/>
        </w:rPr>
        <w:t>10</w:t>
      </w:r>
      <w:r w:rsidRPr="00316837">
        <w:rPr>
          <w:rFonts w:cs="Arial"/>
          <w:bCs/>
          <w:sz w:val="18"/>
          <w:szCs w:val="18"/>
        </w:rPr>
        <w:fldChar w:fldCharType="end"/>
      </w:r>
      <w:bookmarkEnd w:id="118"/>
      <w:r w:rsidRPr="00C632F6">
        <w:rPr>
          <w:rFonts w:cs="Arial"/>
          <w:bCs/>
          <w:sz w:val="18"/>
          <w:szCs w:val="18"/>
        </w:rPr>
        <w:t>: CAPP’s main objectives and actions undertaken</w:t>
      </w:r>
      <w:bookmarkEnd w:id="119"/>
      <w:r w:rsidR="001D4932" w:rsidRPr="00316837">
        <w:rPr>
          <w:rFonts w:cs="Arial"/>
          <w:bCs/>
          <w:sz w:val="18"/>
          <w:szCs w:val="18"/>
        </w:rPr>
        <w:t xml:space="preserve"> </w:t>
      </w:r>
    </w:p>
    <w:tbl>
      <w:tblPr>
        <w:tblStyle w:val="TableGrid"/>
        <w:tblW w:w="0" w:type="auto"/>
        <w:tblLook w:val="04A0" w:firstRow="1" w:lastRow="0" w:firstColumn="1" w:lastColumn="0" w:noHBand="0" w:noVBand="1"/>
      </w:tblPr>
      <w:tblGrid>
        <w:gridCol w:w="562"/>
        <w:gridCol w:w="4111"/>
        <w:gridCol w:w="4956"/>
      </w:tblGrid>
      <w:tr w:rsidR="009D3D3F" w:rsidRPr="00316837" w14:paraId="303496E1" w14:textId="77777777" w:rsidTr="009D3D3F">
        <w:tc>
          <w:tcPr>
            <w:tcW w:w="562" w:type="dxa"/>
            <w:shd w:val="clear" w:color="auto" w:fill="F2F2F2" w:themeFill="background1" w:themeFillShade="F2"/>
          </w:tcPr>
          <w:p w14:paraId="5B00355F" w14:textId="77777777" w:rsidR="009D3D3F" w:rsidRPr="006273BD" w:rsidRDefault="009D3D3F" w:rsidP="00E16180">
            <w:pPr>
              <w:spacing w:before="120" w:after="120"/>
              <w:rPr>
                <w:rFonts w:eastAsia="Calibri"/>
                <w:b/>
                <w:bCs/>
                <w:sz w:val="18"/>
                <w:szCs w:val="18"/>
              </w:rPr>
            </w:pPr>
            <w:r w:rsidRPr="006273BD">
              <w:rPr>
                <w:rFonts w:eastAsia="Calibri"/>
                <w:b/>
                <w:bCs/>
                <w:sz w:val="18"/>
                <w:szCs w:val="18"/>
              </w:rPr>
              <w:t>No.</w:t>
            </w:r>
          </w:p>
        </w:tc>
        <w:tc>
          <w:tcPr>
            <w:tcW w:w="4111" w:type="dxa"/>
            <w:shd w:val="clear" w:color="auto" w:fill="F2F2F2" w:themeFill="background1" w:themeFillShade="F2"/>
          </w:tcPr>
          <w:p w14:paraId="320C5302" w14:textId="5B68467A" w:rsidR="009D3D3F" w:rsidRPr="006273BD" w:rsidRDefault="009D3D3F" w:rsidP="009D3D3F">
            <w:pPr>
              <w:spacing w:before="120" w:after="120"/>
              <w:jc w:val="left"/>
              <w:rPr>
                <w:rFonts w:eastAsia="Calibri"/>
                <w:b/>
                <w:bCs/>
                <w:sz w:val="18"/>
                <w:szCs w:val="18"/>
              </w:rPr>
            </w:pPr>
            <w:r w:rsidRPr="006273BD">
              <w:rPr>
                <w:rFonts w:eastAsia="Calibri"/>
                <w:b/>
                <w:bCs/>
                <w:sz w:val="18"/>
                <w:szCs w:val="18"/>
              </w:rPr>
              <w:t>Objective</w:t>
            </w:r>
          </w:p>
        </w:tc>
        <w:tc>
          <w:tcPr>
            <w:tcW w:w="4956" w:type="dxa"/>
            <w:shd w:val="clear" w:color="auto" w:fill="F2F2F2" w:themeFill="background1" w:themeFillShade="F2"/>
          </w:tcPr>
          <w:p w14:paraId="1DD930DF" w14:textId="77279E9A" w:rsidR="009D3D3F" w:rsidRPr="006273BD" w:rsidRDefault="009D3D3F" w:rsidP="009D3D3F">
            <w:pPr>
              <w:spacing w:before="120" w:after="120"/>
              <w:jc w:val="left"/>
              <w:rPr>
                <w:rFonts w:eastAsia="Calibri"/>
                <w:b/>
                <w:bCs/>
                <w:sz w:val="18"/>
                <w:szCs w:val="18"/>
              </w:rPr>
            </w:pPr>
            <w:r w:rsidRPr="006273BD">
              <w:rPr>
                <w:rFonts w:eastAsia="Calibri"/>
                <w:b/>
                <w:bCs/>
                <w:sz w:val="18"/>
                <w:szCs w:val="18"/>
              </w:rPr>
              <w:t>Actions undertaken</w:t>
            </w:r>
          </w:p>
        </w:tc>
      </w:tr>
      <w:tr w:rsidR="009D3D3F" w:rsidRPr="00316837" w14:paraId="4D120705" w14:textId="77777777" w:rsidTr="009D3D3F">
        <w:tc>
          <w:tcPr>
            <w:tcW w:w="562" w:type="dxa"/>
          </w:tcPr>
          <w:p w14:paraId="6C8D1498" w14:textId="77777777" w:rsidR="009D3D3F" w:rsidRPr="00316837" w:rsidRDefault="009D3D3F" w:rsidP="00E16180">
            <w:pPr>
              <w:spacing w:before="120" w:after="120"/>
              <w:rPr>
                <w:rFonts w:eastAsia="Calibri"/>
                <w:sz w:val="18"/>
                <w:szCs w:val="18"/>
              </w:rPr>
            </w:pPr>
            <w:r w:rsidRPr="00316837">
              <w:rPr>
                <w:rFonts w:eastAsia="Calibri"/>
                <w:sz w:val="18"/>
                <w:szCs w:val="18"/>
              </w:rPr>
              <w:t>1</w:t>
            </w:r>
          </w:p>
        </w:tc>
        <w:tc>
          <w:tcPr>
            <w:tcW w:w="4111" w:type="dxa"/>
          </w:tcPr>
          <w:p w14:paraId="7B5C09C5" w14:textId="53E0B433" w:rsidR="009D3D3F" w:rsidRPr="00316837" w:rsidRDefault="009D3D3F" w:rsidP="009D3D3F">
            <w:pPr>
              <w:spacing w:before="120" w:after="120"/>
              <w:jc w:val="left"/>
              <w:rPr>
                <w:rFonts w:eastAsia="Calibri"/>
                <w:sz w:val="18"/>
                <w:szCs w:val="18"/>
              </w:rPr>
            </w:pPr>
            <w:r w:rsidRPr="00316837">
              <w:rPr>
                <w:rFonts w:eastAsia="Calibri"/>
                <w:sz w:val="18"/>
                <w:szCs w:val="18"/>
              </w:rPr>
              <w:t xml:space="preserve">Securing the supply of electricity to CAPP member utilities/member </w:t>
            </w:r>
            <w:r w:rsidR="008F32C0" w:rsidRPr="00316837">
              <w:rPr>
                <w:rFonts w:eastAsia="Calibri"/>
                <w:sz w:val="18"/>
                <w:szCs w:val="18"/>
              </w:rPr>
              <w:t>states</w:t>
            </w:r>
            <w:r w:rsidR="001D4932" w:rsidRPr="00316837">
              <w:rPr>
                <w:rFonts w:eastAsia="Calibri"/>
                <w:sz w:val="18"/>
                <w:szCs w:val="18"/>
              </w:rPr>
              <w:t xml:space="preserve"> </w:t>
            </w:r>
          </w:p>
        </w:tc>
        <w:tc>
          <w:tcPr>
            <w:tcW w:w="4956" w:type="dxa"/>
          </w:tcPr>
          <w:p w14:paraId="14EFC2D4" w14:textId="4CFF66A5" w:rsidR="009D3D3F" w:rsidRPr="00316837" w:rsidRDefault="009D3D3F" w:rsidP="009D3D3F">
            <w:pPr>
              <w:spacing w:before="120" w:after="120"/>
              <w:jc w:val="left"/>
              <w:rPr>
                <w:rFonts w:eastAsia="Calibri"/>
                <w:sz w:val="18"/>
                <w:szCs w:val="18"/>
              </w:rPr>
            </w:pPr>
            <w:r w:rsidRPr="00316837">
              <w:rPr>
                <w:rFonts w:eastAsia="Calibri"/>
                <w:sz w:val="18"/>
                <w:szCs w:val="18"/>
              </w:rPr>
              <w:t xml:space="preserve">Harmonisation of national policies and master plans for the development of electricity systems, taking into account their impact on the environment </w:t>
            </w:r>
          </w:p>
        </w:tc>
      </w:tr>
      <w:tr w:rsidR="009D3D3F" w:rsidRPr="00316837" w14:paraId="3225AF06" w14:textId="77777777" w:rsidTr="009D3D3F">
        <w:tc>
          <w:tcPr>
            <w:tcW w:w="562" w:type="dxa"/>
          </w:tcPr>
          <w:p w14:paraId="47A43A03" w14:textId="77777777" w:rsidR="009D3D3F" w:rsidRPr="00316837" w:rsidRDefault="009D3D3F" w:rsidP="00E16180">
            <w:pPr>
              <w:spacing w:before="120" w:after="120"/>
              <w:rPr>
                <w:rFonts w:eastAsia="Calibri"/>
                <w:sz w:val="18"/>
                <w:szCs w:val="18"/>
              </w:rPr>
            </w:pPr>
            <w:r w:rsidRPr="00316837">
              <w:rPr>
                <w:rFonts w:eastAsia="Calibri"/>
                <w:sz w:val="18"/>
                <w:szCs w:val="18"/>
              </w:rPr>
              <w:t>2</w:t>
            </w:r>
          </w:p>
        </w:tc>
        <w:tc>
          <w:tcPr>
            <w:tcW w:w="4111" w:type="dxa"/>
          </w:tcPr>
          <w:p w14:paraId="02524DD9" w14:textId="6E6DDCAB" w:rsidR="009D3D3F" w:rsidRPr="00316837" w:rsidRDefault="009D3D3F" w:rsidP="009D3D3F">
            <w:pPr>
              <w:spacing w:before="120" w:after="120"/>
              <w:jc w:val="left"/>
              <w:rPr>
                <w:rFonts w:eastAsia="Calibri"/>
                <w:sz w:val="18"/>
                <w:szCs w:val="18"/>
              </w:rPr>
            </w:pPr>
            <w:r w:rsidRPr="00316837">
              <w:rPr>
                <w:rFonts w:eastAsia="Calibri"/>
                <w:sz w:val="18"/>
                <w:szCs w:val="18"/>
              </w:rPr>
              <w:t>Facilitating and coordinating the implementation of regional electricity infrastructure projects</w:t>
            </w:r>
            <w:r w:rsidR="001D4932" w:rsidRPr="00316837">
              <w:rPr>
                <w:rFonts w:eastAsia="Calibri"/>
                <w:sz w:val="18"/>
                <w:szCs w:val="18"/>
              </w:rPr>
              <w:t xml:space="preserve"> </w:t>
            </w:r>
          </w:p>
        </w:tc>
        <w:tc>
          <w:tcPr>
            <w:tcW w:w="4956" w:type="dxa"/>
          </w:tcPr>
          <w:p w14:paraId="3B727CAC" w14:textId="3FB63AED" w:rsidR="009D3D3F" w:rsidRPr="00316837" w:rsidRDefault="009D3D3F" w:rsidP="009D3D3F">
            <w:pPr>
              <w:spacing w:before="120" w:after="120"/>
              <w:jc w:val="left"/>
              <w:rPr>
                <w:rFonts w:eastAsia="Calibri"/>
                <w:sz w:val="18"/>
                <w:szCs w:val="18"/>
              </w:rPr>
            </w:pPr>
            <w:r w:rsidRPr="00316837">
              <w:rPr>
                <w:rFonts w:eastAsia="Calibri"/>
                <w:sz w:val="18"/>
                <w:szCs w:val="18"/>
              </w:rPr>
              <w:t xml:space="preserve">Joint operation, by appropriate multilateral structures, of works and interconnection lines involving several members/countries </w:t>
            </w:r>
          </w:p>
        </w:tc>
      </w:tr>
      <w:tr w:rsidR="009D3D3F" w:rsidRPr="00316837" w14:paraId="5694DA7A" w14:textId="77777777" w:rsidTr="009D3D3F">
        <w:tc>
          <w:tcPr>
            <w:tcW w:w="562" w:type="dxa"/>
          </w:tcPr>
          <w:p w14:paraId="6AB8392B" w14:textId="77777777" w:rsidR="009D3D3F" w:rsidRPr="00316837" w:rsidRDefault="009D3D3F" w:rsidP="00E16180">
            <w:pPr>
              <w:spacing w:before="120" w:after="120"/>
              <w:rPr>
                <w:rFonts w:eastAsia="Calibri"/>
                <w:sz w:val="18"/>
                <w:szCs w:val="18"/>
              </w:rPr>
            </w:pPr>
            <w:r w:rsidRPr="00316837">
              <w:rPr>
                <w:rFonts w:eastAsia="Calibri"/>
                <w:sz w:val="18"/>
                <w:szCs w:val="18"/>
              </w:rPr>
              <w:t>3</w:t>
            </w:r>
          </w:p>
        </w:tc>
        <w:tc>
          <w:tcPr>
            <w:tcW w:w="4111" w:type="dxa"/>
          </w:tcPr>
          <w:p w14:paraId="3876051B" w14:textId="492219BE" w:rsidR="009D3D3F" w:rsidRPr="00316837" w:rsidRDefault="009D3D3F" w:rsidP="009D3D3F">
            <w:pPr>
              <w:spacing w:before="120" w:after="120"/>
              <w:jc w:val="left"/>
              <w:rPr>
                <w:rFonts w:eastAsia="Calibri"/>
                <w:sz w:val="18"/>
                <w:szCs w:val="18"/>
              </w:rPr>
            </w:pPr>
            <w:r w:rsidRPr="00316837">
              <w:rPr>
                <w:rFonts w:eastAsia="Calibri"/>
                <w:sz w:val="18"/>
                <w:szCs w:val="18"/>
              </w:rPr>
              <w:t xml:space="preserve">Improving the integration of the national electricity markets of </w:t>
            </w:r>
            <w:r w:rsidR="008F32C0" w:rsidRPr="00316837">
              <w:rPr>
                <w:rFonts w:eastAsia="Calibri"/>
                <w:sz w:val="18"/>
                <w:szCs w:val="18"/>
              </w:rPr>
              <w:t>CAPP</w:t>
            </w:r>
            <w:r w:rsidRPr="00316837">
              <w:rPr>
                <w:rFonts w:eastAsia="Calibri"/>
                <w:sz w:val="18"/>
                <w:szCs w:val="18"/>
              </w:rPr>
              <w:t xml:space="preserve"> member </w:t>
            </w:r>
            <w:r w:rsidR="008F32C0" w:rsidRPr="00316837">
              <w:rPr>
                <w:rFonts w:eastAsia="Calibri"/>
                <w:sz w:val="18"/>
                <w:szCs w:val="18"/>
              </w:rPr>
              <w:t>states</w:t>
            </w:r>
            <w:r w:rsidRPr="00316837">
              <w:rPr>
                <w:rFonts w:eastAsia="Calibri"/>
                <w:sz w:val="18"/>
                <w:szCs w:val="18"/>
              </w:rPr>
              <w:t xml:space="preserve"> with a view to create the regional electricity market </w:t>
            </w:r>
          </w:p>
        </w:tc>
        <w:tc>
          <w:tcPr>
            <w:tcW w:w="4956" w:type="dxa"/>
          </w:tcPr>
          <w:p w14:paraId="23E9ACBF" w14:textId="71B98A79" w:rsidR="009D3D3F" w:rsidRPr="00316837" w:rsidRDefault="009D3D3F" w:rsidP="009D3D3F">
            <w:pPr>
              <w:spacing w:before="120" w:after="120"/>
              <w:jc w:val="left"/>
              <w:rPr>
                <w:rFonts w:eastAsia="Calibri"/>
                <w:sz w:val="18"/>
                <w:szCs w:val="18"/>
              </w:rPr>
            </w:pPr>
            <w:r w:rsidRPr="00316837">
              <w:rPr>
                <w:rFonts w:eastAsia="Calibri"/>
                <w:sz w:val="18"/>
                <w:szCs w:val="18"/>
              </w:rPr>
              <w:t xml:space="preserve">Definition and implementation of common legal and technical instruments for the market, such as laws, and technical and commercial rules for the exchange in electricity </w:t>
            </w:r>
          </w:p>
        </w:tc>
      </w:tr>
      <w:tr w:rsidR="009D3D3F" w:rsidRPr="00316837" w14:paraId="39C32CB0" w14:textId="77777777" w:rsidTr="009D3D3F">
        <w:tc>
          <w:tcPr>
            <w:tcW w:w="562" w:type="dxa"/>
          </w:tcPr>
          <w:p w14:paraId="23B3401A" w14:textId="0F962C90" w:rsidR="009D3D3F" w:rsidRPr="00316837" w:rsidRDefault="009D3D3F" w:rsidP="00E16180">
            <w:pPr>
              <w:spacing w:before="120" w:after="120"/>
              <w:rPr>
                <w:rFonts w:eastAsia="Calibri"/>
                <w:sz w:val="18"/>
                <w:szCs w:val="18"/>
              </w:rPr>
            </w:pPr>
            <w:r w:rsidRPr="00316837">
              <w:rPr>
                <w:rFonts w:eastAsia="Calibri"/>
                <w:sz w:val="18"/>
                <w:szCs w:val="18"/>
              </w:rPr>
              <w:t>4</w:t>
            </w:r>
          </w:p>
        </w:tc>
        <w:tc>
          <w:tcPr>
            <w:tcW w:w="4111" w:type="dxa"/>
          </w:tcPr>
          <w:p w14:paraId="2EAEF818" w14:textId="07B78BA7" w:rsidR="009D3D3F" w:rsidRPr="00316837" w:rsidRDefault="009D3D3F" w:rsidP="009D3D3F">
            <w:pPr>
              <w:spacing w:before="120" w:after="120"/>
              <w:jc w:val="left"/>
              <w:rPr>
                <w:rFonts w:eastAsia="Calibri"/>
                <w:sz w:val="18"/>
                <w:szCs w:val="18"/>
              </w:rPr>
            </w:pPr>
            <w:r w:rsidRPr="00316837">
              <w:rPr>
                <w:rFonts w:eastAsia="Calibri"/>
                <w:sz w:val="18"/>
                <w:szCs w:val="18"/>
              </w:rPr>
              <w:t>Increasing the regional electrification rate and satisfying all forms of electricity demand</w:t>
            </w:r>
            <w:r w:rsidR="001D4932" w:rsidRPr="00316837">
              <w:rPr>
                <w:rFonts w:eastAsia="Calibri"/>
                <w:sz w:val="18"/>
                <w:szCs w:val="18"/>
              </w:rPr>
              <w:t xml:space="preserve"> </w:t>
            </w:r>
          </w:p>
        </w:tc>
        <w:tc>
          <w:tcPr>
            <w:tcW w:w="4956" w:type="dxa"/>
          </w:tcPr>
          <w:p w14:paraId="0970719C" w14:textId="27753F24" w:rsidR="009D3D3F" w:rsidRPr="00316837" w:rsidRDefault="009D3D3F" w:rsidP="009D3D3F">
            <w:pPr>
              <w:spacing w:before="120" w:after="120"/>
              <w:jc w:val="left"/>
              <w:rPr>
                <w:rFonts w:eastAsia="Calibri"/>
                <w:sz w:val="18"/>
                <w:szCs w:val="18"/>
              </w:rPr>
            </w:pPr>
            <w:r w:rsidRPr="00316837">
              <w:rPr>
                <w:rFonts w:eastAsia="Calibri"/>
                <w:sz w:val="18"/>
                <w:szCs w:val="18"/>
              </w:rPr>
              <w:t>Development rural electrification policies and financing instruments</w:t>
            </w:r>
            <w:r w:rsidR="001D4932" w:rsidRPr="00316837">
              <w:rPr>
                <w:rFonts w:eastAsia="Calibri"/>
                <w:sz w:val="18"/>
                <w:szCs w:val="18"/>
              </w:rPr>
              <w:t xml:space="preserve"> </w:t>
            </w:r>
          </w:p>
        </w:tc>
      </w:tr>
    </w:tbl>
    <w:p w14:paraId="2E99E694" w14:textId="5A96B022" w:rsidR="00D97673" w:rsidRPr="00316837" w:rsidRDefault="00D97673" w:rsidP="00D97673">
      <w:pPr>
        <w:rPr>
          <w:rFonts w:eastAsia="Calibri"/>
          <w:szCs w:val="22"/>
        </w:rPr>
      </w:pPr>
      <w:r w:rsidRPr="00316837">
        <w:rPr>
          <w:rFonts w:eastAsia="Calibri"/>
          <w:szCs w:val="22"/>
        </w:rPr>
        <w:t>In the above set-up, the technical expertise required to accomplish the CAPP’s mission sits outside the Permanent Secretariat, within the national electricity utilities. The Permanent Secretariat is still lacking the technical expertise that the Technical Sub-Committees are supposed to provide (only the Planning Sub-Committee is currently operational). Hence, there is a shortage of technical expertise within the CAPP’s operational structures which constitutes a major</w:t>
      </w:r>
      <w:r w:rsidRPr="00316837">
        <w:t xml:space="preserve"> </w:t>
      </w:r>
      <w:r w:rsidRPr="00316837">
        <w:rPr>
          <w:rFonts w:eastAsia="Calibri"/>
          <w:szCs w:val="22"/>
        </w:rPr>
        <w:t xml:space="preserve">disadvantage when it comes to contributing to and/or supervising the development of interconnection projects. Considerable delays in the construction of generation and transmission infrastructure are reflected in the delayed establishment of a regional electricity market. </w:t>
      </w:r>
    </w:p>
    <w:p w14:paraId="4DEB4963" w14:textId="5C1F7287" w:rsidR="00D97673" w:rsidRPr="00316837" w:rsidRDefault="003B0A4E" w:rsidP="00D97673">
      <w:pPr>
        <w:rPr>
          <w:rFonts w:eastAsia="Calibri"/>
          <w:szCs w:val="20"/>
        </w:rPr>
      </w:pPr>
      <w:bookmarkStart w:id="120" w:name="_Hlk76560256"/>
      <w:r w:rsidRPr="00316837">
        <w:rPr>
          <w:rFonts w:eastAsia="Calibri"/>
          <w:szCs w:val="20"/>
        </w:rPr>
        <w:t>Existing high-voltage transmission networks</w:t>
      </w:r>
      <w:r w:rsidR="00D97673" w:rsidRPr="00316837">
        <w:rPr>
          <w:rFonts w:eastAsia="Calibri"/>
          <w:szCs w:val="20"/>
        </w:rPr>
        <w:t xml:space="preserve"> </w:t>
      </w:r>
      <w:r w:rsidRPr="00316837">
        <w:rPr>
          <w:rFonts w:eastAsia="Calibri"/>
          <w:szCs w:val="20"/>
        </w:rPr>
        <w:t>as well as national projects of CAPP member</w:t>
      </w:r>
      <w:r w:rsidRPr="00316837">
        <w:rPr>
          <w:rFonts w:eastAsia="Calibri"/>
          <w:szCs w:val="22"/>
        </w:rPr>
        <w:t xml:space="preserve"> </w:t>
      </w:r>
      <w:r w:rsidR="008F32C0" w:rsidRPr="00316837">
        <w:rPr>
          <w:rFonts w:eastAsia="Calibri"/>
          <w:szCs w:val="22"/>
        </w:rPr>
        <w:t>states</w:t>
      </w:r>
      <w:r w:rsidRPr="00316837">
        <w:rPr>
          <w:rFonts w:eastAsia="Calibri"/>
          <w:szCs w:val="22"/>
        </w:rPr>
        <w:t xml:space="preserve"> by 2035</w:t>
      </w:r>
      <w:r w:rsidR="00D97673" w:rsidRPr="00316837">
        <w:rPr>
          <w:rFonts w:eastAsia="Calibri"/>
          <w:szCs w:val="22"/>
        </w:rPr>
        <w:t xml:space="preserve"> </w:t>
      </w:r>
      <w:r w:rsidR="00507C15" w:rsidRPr="00316837">
        <w:rPr>
          <w:rFonts w:eastAsia="Calibri"/>
          <w:szCs w:val="20"/>
        </w:rPr>
        <w:t xml:space="preserve">(see </w:t>
      </w:r>
      <w:r w:rsidR="00507C15" w:rsidRPr="00316837">
        <w:rPr>
          <w:rFonts w:eastAsia="Calibri"/>
          <w:szCs w:val="20"/>
        </w:rPr>
        <w:fldChar w:fldCharType="begin"/>
      </w:r>
      <w:r w:rsidR="00507C15" w:rsidRPr="00316837">
        <w:rPr>
          <w:rFonts w:eastAsia="Calibri"/>
          <w:szCs w:val="20"/>
        </w:rPr>
        <w:instrText xml:space="preserve"> REF _Ref73030109 \h  \* MERGEFORMAT </w:instrText>
      </w:r>
      <w:r w:rsidR="00507C15" w:rsidRPr="00316837">
        <w:rPr>
          <w:rFonts w:eastAsia="Calibri"/>
          <w:szCs w:val="20"/>
        </w:rPr>
      </w:r>
      <w:r w:rsidR="00507C15" w:rsidRPr="00316837">
        <w:rPr>
          <w:rFonts w:eastAsia="Calibri"/>
          <w:szCs w:val="20"/>
        </w:rPr>
        <w:fldChar w:fldCharType="separate"/>
      </w:r>
      <w:r w:rsidR="00507C15" w:rsidRPr="006273BD">
        <w:rPr>
          <w:rFonts w:eastAsia="Calibri"/>
          <w:bCs/>
          <w:szCs w:val="20"/>
        </w:rPr>
        <w:t>Figure 3</w:t>
      </w:r>
      <w:r w:rsidR="00507C15" w:rsidRPr="006273BD">
        <w:rPr>
          <w:rFonts w:eastAsia="Calibri"/>
          <w:bCs/>
          <w:szCs w:val="20"/>
        </w:rPr>
        <w:noBreakHyphen/>
        <w:t>10</w:t>
      </w:r>
      <w:r w:rsidR="00507C15" w:rsidRPr="00316837">
        <w:rPr>
          <w:rFonts w:eastAsia="Calibri"/>
          <w:szCs w:val="20"/>
        </w:rPr>
        <w:fldChar w:fldCharType="end"/>
      </w:r>
      <w:r w:rsidR="00507C15" w:rsidRPr="00C632F6">
        <w:rPr>
          <w:rFonts w:eastAsia="Calibri"/>
          <w:szCs w:val="20"/>
        </w:rPr>
        <w:t>)</w:t>
      </w:r>
      <w:r w:rsidR="00507C15" w:rsidRPr="00316837">
        <w:rPr>
          <w:rFonts w:eastAsia="Calibri"/>
          <w:szCs w:val="20"/>
        </w:rPr>
        <w:t xml:space="preserve">, </w:t>
      </w:r>
      <w:r w:rsidRPr="00316837">
        <w:rPr>
          <w:rFonts w:eastAsia="Calibri"/>
          <w:szCs w:val="22"/>
        </w:rPr>
        <w:t xml:space="preserve">show that there is a significant need to strengthen internal transmission networks and construct cross-border </w:t>
      </w:r>
      <w:r w:rsidRPr="00316837">
        <w:rPr>
          <w:rFonts w:eastAsia="Calibri"/>
          <w:szCs w:val="20"/>
        </w:rPr>
        <w:t xml:space="preserve">interconnections. </w:t>
      </w:r>
      <w:r w:rsidR="00D97673" w:rsidRPr="00316837">
        <w:rPr>
          <w:rFonts w:eastAsia="Calibri"/>
          <w:szCs w:val="20"/>
        </w:rPr>
        <w:t xml:space="preserve">Of all Power Pools, CAPP is the one with the fewest interconnections to date. </w:t>
      </w:r>
      <w:r w:rsidR="005E7BDE" w:rsidRPr="00316837">
        <w:rPr>
          <w:rFonts w:eastAsia="Calibri"/>
          <w:szCs w:val="20"/>
        </w:rPr>
        <w:t xml:space="preserve">The only cross-border high voltage link exists between Congo and D.R. Congo. Part of the D.R. Congo's high-voltage transmission network is connected to SAPP interconnected network. </w:t>
      </w:r>
    </w:p>
    <w:bookmarkEnd w:id="120"/>
    <w:p w14:paraId="403684D9" w14:textId="69A4A85A" w:rsidR="00D97673" w:rsidRPr="00C632F6" w:rsidRDefault="00D97673" w:rsidP="006273BD">
      <w:pPr>
        <w:jc w:val="center"/>
        <w:rPr>
          <w:rFonts w:cs="Arial"/>
          <w:szCs w:val="20"/>
        </w:rPr>
      </w:pPr>
      <w:r w:rsidRPr="006273BD">
        <w:rPr>
          <w:rFonts w:cs="Arial"/>
          <w:noProof/>
          <w:szCs w:val="20"/>
          <w:lang w:eastAsia="en-GB"/>
        </w:rPr>
        <w:lastRenderedPageBreak/>
        <w:drawing>
          <wp:inline distT="0" distB="0" distL="0" distR="0" wp14:anchorId="694D1318" wp14:editId="7C046AE6">
            <wp:extent cx="2994568" cy="43454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5846" cy="4376299"/>
                    </a:xfrm>
                    <a:prstGeom prst="rect">
                      <a:avLst/>
                    </a:prstGeom>
                    <a:noFill/>
                    <a:ln>
                      <a:noFill/>
                    </a:ln>
                  </pic:spPr>
                </pic:pic>
              </a:graphicData>
            </a:graphic>
          </wp:inline>
        </w:drawing>
      </w:r>
      <w:r w:rsidR="00316837" w:rsidRPr="002922D5">
        <w:rPr>
          <w:rFonts w:eastAsia="Calibri"/>
          <w:noProof/>
          <w:szCs w:val="22"/>
          <w:lang w:eastAsia="en-GB"/>
        </w:rPr>
        <w:drawing>
          <wp:inline distT="0" distB="0" distL="0" distR="0" wp14:anchorId="6CDB6F2A" wp14:editId="14D5CAC6">
            <wp:extent cx="3074974" cy="4298556"/>
            <wp:effectExtent l="0" t="0" r="0" b="6985"/>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47" cstate="print">
                      <a:extLst>
                        <a:ext uri="{28A0092B-C50C-407E-A947-70E740481C1C}">
                          <a14:useLocalDpi xmlns:a14="http://schemas.microsoft.com/office/drawing/2010/main" val="0"/>
                        </a:ext>
                      </a:extLst>
                    </a:blip>
                    <a:srcRect b="929"/>
                    <a:stretch/>
                  </pic:blipFill>
                  <pic:spPr bwMode="auto">
                    <a:xfrm>
                      <a:off x="0" y="0"/>
                      <a:ext cx="3074974" cy="4298556"/>
                    </a:xfrm>
                    <a:prstGeom prst="rect">
                      <a:avLst/>
                    </a:prstGeom>
                    <a:ln>
                      <a:noFill/>
                    </a:ln>
                    <a:extLst>
                      <a:ext uri="{53640926-AAD7-44D8-BBD7-CCE9431645EC}">
                        <a14:shadowObscured xmlns:a14="http://schemas.microsoft.com/office/drawing/2010/main"/>
                      </a:ext>
                    </a:extLst>
                  </pic:spPr>
                </pic:pic>
              </a:graphicData>
            </a:graphic>
          </wp:inline>
        </w:drawing>
      </w:r>
    </w:p>
    <w:p w14:paraId="5D5E7C14" w14:textId="3556263D" w:rsidR="00D97673" w:rsidRPr="00316837" w:rsidRDefault="00D97673" w:rsidP="00D97673">
      <w:pPr>
        <w:rPr>
          <w:rFonts w:eastAsia="Calibri"/>
          <w:bCs/>
          <w:sz w:val="18"/>
          <w:szCs w:val="18"/>
        </w:rPr>
      </w:pPr>
      <w:bookmarkStart w:id="121" w:name="_Ref73030109"/>
      <w:bookmarkStart w:id="122" w:name="_Toc77260272"/>
      <w:r w:rsidRPr="00316837">
        <w:rPr>
          <w:rFonts w:eastAsia="Calibri"/>
          <w:bCs/>
          <w:sz w:val="18"/>
          <w:szCs w:val="18"/>
        </w:rPr>
        <w:t xml:space="preserve">Figure </w:t>
      </w:r>
      <w:r w:rsidRPr="00316837">
        <w:rPr>
          <w:rFonts w:eastAsia="Calibri"/>
          <w:bCs/>
          <w:sz w:val="18"/>
          <w:szCs w:val="18"/>
        </w:rPr>
        <w:fldChar w:fldCharType="begin"/>
      </w:r>
      <w:r w:rsidRPr="00316837">
        <w:rPr>
          <w:rFonts w:eastAsia="Calibri"/>
          <w:bCs/>
          <w:sz w:val="18"/>
          <w:szCs w:val="18"/>
        </w:rPr>
        <w:instrText xml:space="preserve"> STYLEREF 1 \s </w:instrText>
      </w:r>
      <w:r w:rsidRPr="00316837">
        <w:rPr>
          <w:rFonts w:eastAsia="Calibri"/>
          <w:bCs/>
          <w:sz w:val="18"/>
          <w:szCs w:val="18"/>
        </w:rPr>
        <w:fldChar w:fldCharType="separate"/>
      </w:r>
      <w:r w:rsidR="00703397" w:rsidRPr="00316837">
        <w:rPr>
          <w:rFonts w:eastAsia="Calibri"/>
          <w:bCs/>
          <w:sz w:val="18"/>
          <w:szCs w:val="18"/>
        </w:rPr>
        <w:t>3</w:t>
      </w:r>
      <w:r w:rsidRPr="00316837">
        <w:rPr>
          <w:rFonts w:eastAsia="Calibri"/>
          <w:sz w:val="18"/>
          <w:szCs w:val="18"/>
        </w:rPr>
        <w:fldChar w:fldCharType="end"/>
      </w:r>
      <w:r w:rsidRPr="00C632F6">
        <w:rPr>
          <w:rFonts w:eastAsia="Calibri"/>
          <w:bCs/>
          <w:sz w:val="18"/>
          <w:szCs w:val="18"/>
        </w:rPr>
        <w:noBreakHyphen/>
      </w:r>
      <w:r w:rsidRPr="00316837">
        <w:rPr>
          <w:rFonts w:eastAsia="Calibri"/>
          <w:bCs/>
          <w:sz w:val="18"/>
          <w:szCs w:val="18"/>
        </w:rPr>
        <w:fldChar w:fldCharType="begin"/>
      </w:r>
      <w:r w:rsidRPr="00316837">
        <w:rPr>
          <w:rFonts w:eastAsia="Calibri"/>
          <w:bCs/>
          <w:sz w:val="18"/>
          <w:szCs w:val="18"/>
        </w:rPr>
        <w:instrText xml:space="preserve"> SEQ Figure \* ARABIC \s 1 </w:instrText>
      </w:r>
      <w:r w:rsidRPr="00316837">
        <w:rPr>
          <w:rFonts w:eastAsia="Calibri"/>
          <w:bCs/>
          <w:sz w:val="18"/>
          <w:szCs w:val="18"/>
        </w:rPr>
        <w:fldChar w:fldCharType="separate"/>
      </w:r>
      <w:r w:rsidR="00507C15">
        <w:rPr>
          <w:rFonts w:eastAsia="Calibri"/>
          <w:bCs/>
          <w:noProof/>
          <w:sz w:val="18"/>
          <w:szCs w:val="18"/>
        </w:rPr>
        <w:t>10</w:t>
      </w:r>
      <w:r w:rsidRPr="00316837">
        <w:rPr>
          <w:rFonts w:eastAsia="Calibri"/>
          <w:sz w:val="18"/>
          <w:szCs w:val="18"/>
        </w:rPr>
        <w:fldChar w:fldCharType="end"/>
      </w:r>
      <w:bookmarkEnd w:id="121"/>
      <w:r w:rsidRPr="00C632F6">
        <w:rPr>
          <w:rFonts w:eastAsia="Calibri"/>
          <w:bCs/>
          <w:sz w:val="18"/>
          <w:szCs w:val="18"/>
        </w:rPr>
        <w:t xml:space="preserve">: Existing high-voltage transmission networks </w:t>
      </w:r>
      <w:r w:rsidR="00316837">
        <w:rPr>
          <w:rFonts w:eastAsia="Calibri"/>
          <w:bCs/>
          <w:sz w:val="18"/>
          <w:szCs w:val="18"/>
        </w:rPr>
        <w:t>in</w:t>
      </w:r>
      <w:r w:rsidRPr="00C632F6">
        <w:rPr>
          <w:rFonts w:eastAsia="Calibri"/>
          <w:bCs/>
          <w:sz w:val="18"/>
          <w:szCs w:val="18"/>
        </w:rPr>
        <w:t xml:space="preserve"> CAPP </w:t>
      </w:r>
      <w:r w:rsidR="00316837">
        <w:rPr>
          <w:rFonts w:eastAsia="Calibri"/>
          <w:bCs/>
          <w:sz w:val="18"/>
          <w:szCs w:val="18"/>
        </w:rPr>
        <w:t xml:space="preserve">(left) </w:t>
      </w:r>
      <w:r w:rsidR="00316837" w:rsidRPr="00C632F6">
        <w:rPr>
          <w:rFonts w:eastAsia="Calibri"/>
          <w:bCs/>
          <w:sz w:val="18"/>
          <w:szCs w:val="18"/>
        </w:rPr>
        <w:t xml:space="preserve">as well as national projects of CAPP member </w:t>
      </w:r>
      <w:r w:rsidR="00316837" w:rsidRPr="00316837">
        <w:rPr>
          <w:rFonts w:eastAsia="Calibri"/>
          <w:bCs/>
          <w:sz w:val="18"/>
          <w:szCs w:val="18"/>
        </w:rPr>
        <w:t xml:space="preserve">states by 2035 </w:t>
      </w:r>
      <w:r w:rsidR="00316837">
        <w:rPr>
          <w:rFonts w:eastAsia="Calibri"/>
          <w:bCs/>
          <w:sz w:val="18"/>
          <w:szCs w:val="18"/>
        </w:rPr>
        <w:t xml:space="preserve">(right) </w:t>
      </w:r>
      <w:r w:rsidRPr="00316837">
        <w:rPr>
          <w:rFonts w:eastAsia="Calibri"/>
          <w:bCs/>
          <w:sz w:val="18"/>
          <w:szCs w:val="18"/>
        </w:rPr>
        <w:t>(source: CAPP)</w:t>
      </w:r>
      <w:bookmarkEnd w:id="122"/>
      <w:r w:rsidRPr="00316837">
        <w:rPr>
          <w:rFonts w:eastAsia="Calibri"/>
          <w:bCs/>
          <w:sz w:val="18"/>
          <w:szCs w:val="18"/>
        </w:rPr>
        <w:t xml:space="preserve"> </w:t>
      </w:r>
    </w:p>
    <w:p w14:paraId="32EE5643" w14:textId="77777777" w:rsidR="00507C15" w:rsidRPr="00316837" w:rsidRDefault="00507C15" w:rsidP="00507C15">
      <w:pPr>
        <w:rPr>
          <w:rFonts w:eastAsia="Calibri"/>
          <w:szCs w:val="20"/>
        </w:rPr>
      </w:pPr>
      <w:r w:rsidRPr="00316837">
        <w:rPr>
          <w:rFonts w:eastAsia="Calibri"/>
          <w:szCs w:val="20"/>
        </w:rPr>
        <w:t xml:space="preserve">However, many cross-border projects within CAPP will entry into service by 2035. Two types of such projects are distinguished: </w:t>
      </w:r>
    </w:p>
    <w:p w14:paraId="7C702253" w14:textId="77777777" w:rsidR="00507C15" w:rsidRPr="00316837" w:rsidRDefault="00507C15" w:rsidP="00507C15">
      <w:pPr>
        <w:pStyle w:val="ListParagraph"/>
        <w:numPr>
          <w:ilvl w:val="0"/>
          <w:numId w:val="41"/>
        </w:numPr>
        <w:spacing w:before="160" w:after="0" w:line="288" w:lineRule="auto"/>
        <w:rPr>
          <w:rFonts w:ascii="Arial" w:hAnsi="Arial" w:cs="Arial"/>
          <w:sz w:val="20"/>
          <w:szCs w:val="20"/>
          <w:lang w:val="en-GB"/>
        </w:rPr>
      </w:pPr>
      <w:r w:rsidRPr="00316837">
        <w:rPr>
          <w:rFonts w:ascii="Arial" w:hAnsi="Arial" w:cs="Arial"/>
          <w:sz w:val="20"/>
          <w:szCs w:val="20"/>
          <w:lang w:val="en-GB"/>
        </w:rPr>
        <w:t>the priority integration projects (26 in total as of 2019), which are the projects with an integrative character related to the development of generation power plants and electricity interconnection networks</w:t>
      </w:r>
      <w:r w:rsidRPr="00C632F6">
        <w:rPr>
          <w:rFonts w:ascii="Arial" w:hAnsi="Arial" w:cs="Arial"/>
          <w:sz w:val="20"/>
          <w:szCs w:val="20"/>
          <w:lang w:val="en-GB"/>
        </w:rPr>
        <w:t xml:space="preserve">, and </w:t>
      </w:r>
    </w:p>
    <w:p w14:paraId="74E1D01F" w14:textId="77777777" w:rsidR="00507C15" w:rsidRDefault="00507C15" w:rsidP="00507C15">
      <w:pPr>
        <w:pStyle w:val="ListParagraph"/>
        <w:numPr>
          <w:ilvl w:val="0"/>
          <w:numId w:val="41"/>
        </w:numPr>
        <w:spacing w:before="160" w:after="0" w:line="288" w:lineRule="auto"/>
        <w:rPr>
          <w:rFonts w:ascii="Arial" w:hAnsi="Arial" w:cs="Arial"/>
          <w:sz w:val="20"/>
          <w:szCs w:val="20"/>
          <w:lang w:val="en-GB"/>
        </w:rPr>
      </w:pPr>
      <w:r w:rsidRPr="00316837">
        <w:rPr>
          <w:rFonts w:ascii="Arial" w:hAnsi="Arial" w:cs="Arial"/>
          <w:sz w:val="20"/>
          <w:szCs w:val="20"/>
          <w:lang w:val="en-GB"/>
        </w:rPr>
        <w:t>the cross-border electrification projects (16 in total as of 2019), which are the projects with a rural character and often involve at least two (2) CAPP member states</w:t>
      </w:r>
      <w:r w:rsidRPr="00C632F6">
        <w:rPr>
          <w:rFonts w:ascii="Arial" w:hAnsi="Arial" w:cs="Arial"/>
          <w:sz w:val="20"/>
          <w:szCs w:val="20"/>
          <w:lang w:val="en-GB"/>
        </w:rPr>
        <w:t xml:space="preserve">. </w:t>
      </w:r>
    </w:p>
    <w:p w14:paraId="15FA2CC6" w14:textId="77777777" w:rsidR="00507C15" w:rsidRPr="00316837" w:rsidRDefault="00507C15" w:rsidP="00507C15">
      <w:pPr>
        <w:rPr>
          <w:rFonts w:cs="Arial"/>
          <w:szCs w:val="20"/>
        </w:rPr>
      </w:pPr>
      <w:r>
        <w:rPr>
          <w:rFonts w:cs="Arial"/>
          <w:szCs w:val="20"/>
        </w:rPr>
        <w:t>T</w:t>
      </w:r>
      <w:r w:rsidRPr="00316837">
        <w:rPr>
          <w:rFonts w:cs="Arial"/>
          <w:szCs w:val="20"/>
        </w:rPr>
        <w:t xml:space="preserve">he priority generation and transmission (integration) projects for CAPP have been identified and listed in </w:t>
      </w:r>
      <w:r>
        <w:rPr>
          <w:rFonts w:cs="Arial"/>
          <w:szCs w:val="20"/>
        </w:rPr>
        <w:t xml:space="preserve">the </w:t>
      </w:r>
      <w:r w:rsidRPr="00316837">
        <w:rPr>
          <w:rFonts w:cs="Arial"/>
          <w:szCs w:val="20"/>
        </w:rPr>
        <w:t>C</w:t>
      </w:r>
      <w:r>
        <w:rPr>
          <w:rFonts w:cs="Arial"/>
          <w:szCs w:val="20"/>
        </w:rPr>
        <w:t xml:space="preserve">ontinental </w:t>
      </w:r>
      <w:r w:rsidRPr="00316837">
        <w:rPr>
          <w:rFonts w:cs="Arial"/>
          <w:szCs w:val="20"/>
        </w:rPr>
        <w:t>M</w:t>
      </w:r>
      <w:r>
        <w:rPr>
          <w:rFonts w:cs="Arial"/>
          <w:szCs w:val="20"/>
        </w:rPr>
        <w:t xml:space="preserve">aster </w:t>
      </w:r>
      <w:r w:rsidRPr="00316837">
        <w:rPr>
          <w:rFonts w:cs="Arial"/>
          <w:szCs w:val="20"/>
        </w:rPr>
        <w:t>P</w:t>
      </w:r>
      <w:r>
        <w:rPr>
          <w:rFonts w:cs="Arial"/>
          <w:szCs w:val="20"/>
        </w:rPr>
        <w:t>lan</w:t>
      </w:r>
      <w:r w:rsidRPr="00316837">
        <w:rPr>
          <w:rFonts w:cs="Arial"/>
          <w:szCs w:val="20"/>
        </w:rPr>
        <w:t xml:space="preserve"> 1 Baseline Study (Deliverables 2&amp;3) for the short</w:t>
      </w:r>
      <w:r>
        <w:rPr>
          <w:rFonts w:cs="Arial"/>
          <w:szCs w:val="20"/>
        </w:rPr>
        <w:t>-</w:t>
      </w:r>
      <w:r w:rsidRPr="00316837">
        <w:rPr>
          <w:rFonts w:cs="Arial"/>
          <w:szCs w:val="20"/>
        </w:rPr>
        <w:t>, medium</w:t>
      </w:r>
      <w:r>
        <w:rPr>
          <w:rFonts w:cs="Arial"/>
          <w:szCs w:val="20"/>
        </w:rPr>
        <w:t>-</w:t>
      </w:r>
      <w:r w:rsidRPr="00316837">
        <w:rPr>
          <w:rFonts w:cs="Arial"/>
          <w:szCs w:val="20"/>
        </w:rPr>
        <w:t xml:space="preserve"> and long terms</w:t>
      </w:r>
      <w:r>
        <w:rPr>
          <w:rFonts w:cs="Arial"/>
          <w:szCs w:val="20"/>
        </w:rPr>
        <w:t xml:space="preserve">. </w:t>
      </w:r>
    </w:p>
    <w:p w14:paraId="74F6F446" w14:textId="47DC03C7" w:rsidR="00416523" w:rsidRPr="00316837" w:rsidRDefault="00416523" w:rsidP="00416523">
      <w:pPr>
        <w:rPr>
          <w:rFonts w:eastAsia="Calibri"/>
          <w:szCs w:val="22"/>
        </w:rPr>
      </w:pPr>
      <w:r w:rsidRPr="00316837">
        <w:rPr>
          <w:rFonts w:eastAsia="Calibri"/>
          <w:szCs w:val="22"/>
        </w:rPr>
        <w:t xml:space="preserve">The following investments are key for the establishment of the regional electricity market: </w:t>
      </w:r>
    </w:p>
    <w:p w14:paraId="22A9DC96" w14:textId="29566909" w:rsidR="00416523" w:rsidRPr="00316837" w:rsidRDefault="00416523" w:rsidP="00AB7DB1">
      <w:pPr>
        <w:pStyle w:val="ListParagraph"/>
        <w:numPr>
          <w:ilvl w:val="0"/>
          <w:numId w:val="31"/>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rehabilitation/construction of generation power plants evenly distributed across all members countries along the North-South backbone, </w:t>
      </w:r>
    </w:p>
    <w:p w14:paraId="7245F2B4" w14:textId="4FFD11EE" w:rsidR="00416523" w:rsidRPr="00316837" w:rsidRDefault="00416523" w:rsidP="00AB7DB1">
      <w:pPr>
        <w:pStyle w:val="ListParagraph"/>
        <w:numPr>
          <w:ilvl w:val="0"/>
          <w:numId w:val="31"/>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construction of ultra-high-voltage interconnection and distribution substations with sufficient reactive power compensators, </w:t>
      </w:r>
    </w:p>
    <w:p w14:paraId="4FE6CA8D" w14:textId="5324516B" w:rsidR="00416523" w:rsidRPr="00316837" w:rsidRDefault="00416523" w:rsidP="00AB7DB1">
      <w:pPr>
        <w:pStyle w:val="ListParagraph"/>
        <w:numPr>
          <w:ilvl w:val="0"/>
          <w:numId w:val="31"/>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construction of the North-South backbone infrastructure in sections to connect and operate the foregoing elements to the benefit of regional distribution grids, and </w:t>
      </w:r>
    </w:p>
    <w:p w14:paraId="63F56B5F" w14:textId="69CA133B" w:rsidR="00416523" w:rsidRPr="00316837" w:rsidRDefault="00416523" w:rsidP="00AB7DB1">
      <w:pPr>
        <w:pStyle w:val="ListParagraph"/>
        <w:numPr>
          <w:ilvl w:val="0"/>
          <w:numId w:val="31"/>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interest for macro-equipment for hydroelectric power plants. </w:t>
      </w:r>
    </w:p>
    <w:p w14:paraId="7E603BC3" w14:textId="5412B50F" w:rsidR="00416523" w:rsidRPr="00316837" w:rsidRDefault="00416523" w:rsidP="00416523">
      <w:pPr>
        <w:rPr>
          <w:rFonts w:eastAsia="Calibri"/>
          <w:szCs w:val="22"/>
        </w:rPr>
      </w:pPr>
      <w:r w:rsidRPr="00316837">
        <w:rPr>
          <w:rFonts w:eastAsia="Calibri"/>
          <w:szCs w:val="22"/>
        </w:rPr>
        <w:t xml:space="preserve">The specific benefits for the regional electricity market from the above 4 elements will facilitate the development of intra-regional projects that make a real contribution to equitable power distribution, for </w:t>
      </w:r>
      <w:r w:rsidR="00184DCE" w:rsidRPr="00316837">
        <w:rPr>
          <w:rFonts w:eastAsia="Calibri"/>
          <w:szCs w:val="22"/>
        </w:rPr>
        <w:t>example</w:t>
      </w:r>
      <w:r w:rsidRPr="00316837">
        <w:rPr>
          <w:rFonts w:eastAsia="Calibri"/>
          <w:szCs w:val="22"/>
        </w:rPr>
        <w:t xml:space="preserve">: </w:t>
      </w:r>
    </w:p>
    <w:p w14:paraId="08B35744" w14:textId="373F9FFB" w:rsidR="00416523" w:rsidRPr="00316837" w:rsidRDefault="00416523" w:rsidP="00AB7DB1">
      <w:pPr>
        <w:pStyle w:val="ListParagraph"/>
        <w:numPr>
          <w:ilvl w:val="0"/>
          <w:numId w:val="32"/>
        </w:numPr>
        <w:spacing w:before="160" w:after="0" w:line="288" w:lineRule="auto"/>
        <w:rPr>
          <w:rFonts w:ascii="Arial" w:hAnsi="Arial" w:cs="Arial"/>
          <w:sz w:val="20"/>
          <w:szCs w:val="20"/>
          <w:lang w:val="en-GB"/>
        </w:rPr>
      </w:pPr>
      <w:r w:rsidRPr="00316837">
        <w:rPr>
          <w:rFonts w:ascii="Arial" w:hAnsi="Arial" w:cs="Arial"/>
          <w:sz w:val="20"/>
          <w:szCs w:val="20"/>
          <w:lang w:val="en-GB"/>
        </w:rPr>
        <w:lastRenderedPageBreak/>
        <w:t xml:space="preserve">finalisation of development of Grand Poubara (Gabon), and even equipping Empress Falls (Gabon), to benefit Gabon and Congo by adapting the path of the backbone with a hybrid coastal/continental branch, </w:t>
      </w:r>
    </w:p>
    <w:p w14:paraId="63277F67" w14:textId="09D3CEB6" w:rsidR="00416523" w:rsidRPr="00316837" w:rsidRDefault="00416523" w:rsidP="00AB7DB1">
      <w:pPr>
        <w:pStyle w:val="ListParagraph"/>
        <w:numPr>
          <w:ilvl w:val="0"/>
          <w:numId w:val="3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focus on equipping Warak and Lom Pangar to benefit Cameroon and Chad, </w:t>
      </w:r>
    </w:p>
    <w:p w14:paraId="7D4F78FE" w14:textId="089E7303" w:rsidR="00416523" w:rsidRPr="00316837" w:rsidRDefault="00416523" w:rsidP="00AB7DB1">
      <w:pPr>
        <w:pStyle w:val="ListParagraph"/>
        <w:numPr>
          <w:ilvl w:val="0"/>
          <w:numId w:val="3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focus on equipping Chollet to benefit Congo and Cameroon, </w:t>
      </w:r>
    </w:p>
    <w:p w14:paraId="6CE19BA9" w14:textId="21E718DD" w:rsidR="00416523" w:rsidRPr="00316837" w:rsidRDefault="00416523" w:rsidP="00AB7DB1">
      <w:pPr>
        <w:pStyle w:val="ListParagraph"/>
        <w:numPr>
          <w:ilvl w:val="0"/>
          <w:numId w:val="3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focus on rehabilitating Ruzizi so that the regional needs of eastern D.R. Congo and Burundi can be met, and </w:t>
      </w:r>
    </w:p>
    <w:p w14:paraId="26A98C10" w14:textId="5653C2A8" w:rsidR="00416523" w:rsidRPr="00316837" w:rsidRDefault="00416523" w:rsidP="00AB7DB1">
      <w:pPr>
        <w:pStyle w:val="ListParagraph"/>
        <w:numPr>
          <w:ilvl w:val="0"/>
          <w:numId w:val="3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focus on rehabilitating Inga generation power plant means to benefit Kinshasa, Brazzaville and Pointe Noire. </w:t>
      </w:r>
    </w:p>
    <w:p w14:paraId="2BE7E858" w14:textId="77777777" w:rsidR="00696060" w:rsidRPr="00316837" w:rsidRDefault="00202CD5" w:rsidP="00696060">
      <w:pPr>
        <w:rPr>
          <w:rFonts w:eastAsia="Calibri"/>
          <w:szCs w:val="22"/>
        </w:rPr>
      </w:pPr>
      <w:r w:rsidRPr="00316837">
        <w:rPr>
          <w:rFonts w:eastAsia="Calibri"/>
          <w:szCs w:val="22"/>
        </w:rPr>
        <w:t>According to the Inter-</w:t>
      </w:r>
      <w:r w:rsidR="00696060" w:rsidRPr="00316837">
        <w:rPr>
          <w:rFonts w:eastAsia="Calibri"/>
          <w:szCs w:val="22"/>
        </w:rPr>
        <w:t>Utility</w:t>
      </w:r>
      <w:r w:rsidRPr="00316837">
        <w:rPr>
          <w:rFonts w:eastAsia="Calibri"/>
          <w:szCs w:val="22"/>
        </w:rPr>
        <w:t xml:space="preserve"> Agreement, the Coordination Centre is envisaged to function under the Operation Sub-Committee </w:t>
      </w:r>
      <w:r w:rsidR="00696060" w:rsidRPr="00316837">
        <w:rPr>
          <w:rFonts w:eastAsia="Calibri"/>
          <w:szCs w:val="22"/>
        </w:rPr>
        <w:t xml:space="preserve">(this Sub-Committee has not been established yet) </w:t>
      </w:r>
      <w:r w:rsidRPr="00316837">
        <w:rPr>
          <w:rFonts w:eastAsia="Calibri"/>
          <w:szCs w:val="22"/>
        </w:rPr>
        <w:t xml:space="preserve">and manage transfer of electricity. It is tasked to centralise in real-time all technical information coming from different interconnected systems of CAPP member utilities with a view to harmonise exchanges from the technical and commercial viewpoints. However, </w:t>
      </w:r>
      <w:r w:rsidR="00696060" w:rsidRPr="00316837">
        <w:rPr>
          <w:rFonts w:eastAsia="Calibri"/>
          <w:szCs w:val="22"/>
        </w:rPr>
        <w:t>the Coordination Centre</w:t>
      </w:r>
      <w:r w:rsidRPr="00316837">
        <w:rPr>
          <w:rFonts w:eastAsia="Calibri"/>
          <w:szCs w:val="22"/>
        </w:rPr>
        <w:t xml:space="preserve"> has not been effectuated yet</w:t>
      </w:r>
      <w:r w:rsidR="00696060" w:rsidRPr="00316837">
        <w:rPr>
          <w:rFonts w:eastAsia="Calibri"/>
          <w:szCs w:val="22"/>
        </w:rPr>
        <w:t xml:space="preserve">. </w:t>
      </w:r>
    </w:p>
    <w:p w14:paraId="3BD31B9A" w14:textId="3DB270A2" w:rsidR="00696060" w:rsidRPr="00316837" w:rsidRDefault="00696060" w:rsidP="00696060">
      <w:pPr>
        <w:rPr>
          <w:rFonts w:eastAsia="Calibri"/>
          <w:szCs w:val="22"/>
        </w:rPr>
      </w:pPr>
      <w:r w:rsidRPr="00316837">
        <w:rPr>
          <w:rFonts w:eastAsia="Calibri"/>
          <w:szCs w:val="22"/>
        </w:rPr>
        <w:t xml:space="preserve">Also, CAPP has not set up a </w:t>
      </w:r>
      <w:r w:rsidR="00533C25" w:rsidRPr="00316837">
        <w:rPr>
          <w:rFonts w:eastAsia="Calibri"/>
          <w:szCs w:val="22"/>
        </w:rPr>
        <w:t>RSMO</w:t>
      </w:r>
      <w:r w:rsidRPr="00316837">
        <w:rPr>
          <w:rFonts w:eastAsia="Calibri"/>
          <w:szCs w:val="22"/>
        </w:rPr>
        <w:t xml:space="preserve"> to act as an independent market operator to run the regional electricity market and coordinate electricity trade. Such market operator should involve joint supervision of trade agreed and authorised by the national transmission network management authorities (none of </w:t>
      </w:r>
      <w:r w:rsidR="008F32C0" w:rsidRPr="00316837">
        <w:rPr>
          <w:rFonts w:eastAsia="Calibri"/>
          <w:szCs w:val="22"/>
        </w:rPr>
        <w:t>CAPP</w:t>
      </w:r>
      <w:r w:rsidRPr="00316837">
        <w:rPr>
          <w:rFonts w:eastAsia="Calibri"/>
          <w:szCs w:val="22"/>
        </w:rPr>
        <w:t xml:space="preserve"> member </w:t>
      </w:r>
      <w:r w:rsidR="008F32C0" w:rsidRPr="00316837">
        <w:rPr>
          <w:rFonts w:eastAsia="Calibri"/>
          <w:szCs w:val="22"/>
        </w:rPr>
        <w:t>states</w:t>
      </w:r>
      <w:r w:rsidRPr="00316837">
        <w:rPr>
          <w:rFonts w:eastAsia="Calibri"/>
          <w:szCs w:val="22"/>
        </w:rPr>
        <w:t xml:space="preserve"> has set up an independent network transmission management authority for the moment, despite appropriate legislation in Cameroon, D.R. Congo and Gabon; this role is currently fulfilled by the electricity utilities’ electricity transfer directorates). </w:t>
      </w:r>
    </w:p>
    <w:p w14:paraId="4FB452FE" w14:textId="25C79F78" w:rsidR="00202CD5" w:rsidRPr="00316837" w:rsidRDefault="00202CD5" w:rsidP="00202CD5">
      <w:pPr>
        <w:rPr>
          <w:rFonts w:eastAsia="Calibri"/>
          <w:szCs w:val="22"/>
        </w:rPr>
      </w:pPr>
      <w:r w:rsidRPr="00316837">
        <w:rPr>
          <w:rFonts w:eastAsia="Calibri"/>
          <w:szCs w:val="22"/>
        </w:rPr>
        <w:t xml:space="preserve">CAPP does not have SCADA/EMS/MMS/WAMS Systems to support system and market operation of the regional electricity market. </w:t>
      </w:r>
    </w:p>
    <w:p w14:paraId="3EC80C85" w14:textId="65E5114E" w:rsidR="002B26D6" w:rsidRPr="00316837" w:rsidRDefault="00696060" w:rsidP="002B26D6">
      <w:pPr>
        <w:rPr>
          <w:rFonts w:eastAsia="Calibri"/>
          <w:szCs w:val="20"/>
        </w:rPr>
      </w:pPr>
      <w:r w:rsidRPr="00316837">
        <w:rPr>
          <w:rFonts w:eastAsia="Calibri"/>
          <w:szCs w:val="22"/>
        </w:rPr>
        <w:t xml:space="preserve">There are several </w:t>
      </w:r>
      <w:r w:rsidR="002B26D6" w:rsidRPr="00316837">
        <w:rPr>
          <w:rFonts w:eastAsia="Calibri"/>
          <w:szCs w:val="22"/>
        </w:rPr>
        <w:t xml:space="preserve">Decisions of the CAPP’s Council of Ministers </w:t>
      </w:r>
      <w:r w:rsidR="002B26D6" w:rsidRPr="00316837">
        <w:t xml:space="preserve">and </w:t>
      </w:r>
      <w:r w:rsidR="002B26D6" w:rsidRPr="00316837">
        <w:rPr>
          <w:rFonts w:eastAsia="Calibri"/>
          <w:szCs w:val="22"/>
        </w:rPr>
        <w:t xml:space="preserve">market governance documents </w:t>
      </w:r>
      <w:r w:rsidR="002B26D6" w:rsidRPr="00316837">
        <w:rPr>
          <w:rFonts w:eastAsia="Calibri"/>
          <w:szCs w:val="20"/>
        </w:rPr>
        <w:t xml:space="preserve">developed by CAPP </w:t>
      </w:r>
      <w:r w:rsidRPr="00316837">
        <w:rPr>
          <w:rFonts w:eastAsia="Calibri"/>
          <w:szCs w:val="20"/>
        </w:rPr>
        <w:t xml:space="preserve">providing a basis for electricity trade in the Central Africa Region </w:t>
      </w:r>
      <w:r w:rsidR="002B26D6" w:rsidRPr="00316837">
        <w:rPr>
          <w:rFonts w:eastAsia="Calibri"/>
          <w:szCs w:val="20"/>
        </w:rPr>
        <w:t>(see</w:t>
      </w:r>
      <w:r w:rsidR="00507C15">
        <w:rPr>
          <w:rFonts w:eastAsia="Calibri"/>
          <w:szCs w:val="20"/>
        </w:rPr>
        <w:t xml:space="preserve"> Annex </w:t>
      </w:r>
      <w:r w:rsidR="00507C15">
        <w:rPr>
          <w:rFonts w:eastAsia="Calibri"/>
          <w:szCs w:val="20"/>
        </w:rPr>
        <w:fldChar w:fldCharType="begin"/>
      </w:r>
      <w:r w:rsidR="00507C15">
        <w:rPr>
          <w:rFonts w:eastAsia="Calibri"/>
          <w:szCs w:val="20"/>
        </w:rPr>
        <w:instrText xml:space="preserve"> REF _Ref77255364 \w \h </w:instrText>
      </w:r>
      <w:r w:rsidR="00507C15">
        <w:rPr>
          <w:rFonts w:eastAsia="Calibri"/>
          <w:szCs w:val="20"/>
        </w:rPr>
      </w:r>
      <w:r w:rsidR="00507C15">
        <w:rPr>
          <w:rFonts w:eastAsia="Calibri"/>
          <w:szCs w:val="20"/>
        </w:rPr>
        <w:fldChar w:fldCharType="separate"/>
      </w:r>
      <w:r w:rsidR="00507C15">
        <w:rPr>
          <w:rFonts w:eastAsia="Calibri"/>
          <w:szCs w:val="20"/>
        </w:rPr>
        <w:t>8.5</w:t>
      </w:r>
      <w:r w:rsidR="00507C15">
        <w:rPr>
          <w:rFonts w:eastAsia="Calibri"/>
          <w:szCs w:val="20"/>
        </w:rPr>
        <w:fldChar w:fldCharType="end"/>
      </w:r>
      <w:r w:rsidR="002B26D6" w:rsidRPr="00C632F6">
        <w:rPr>
          <w:rFonts w:eastAsia="Calibri"/>
          <w:szCs w:val="20"/>
        </w:rPr>
        <w:t xml:space="preserve">). </w:t>
      </w:r>
    </w:p>
    <w:p w14:paraId="4548C197" w14:textId="17CEB515" w:rsidR="00696060" w:rsidRPr="00316837" w:rsidRDefault="00696060" w:rsidP="00063930">
      <w:pPr>
        <w:rPr>
          <w:rFonts w:eastAsia="Calibri"/>
          <w:szCs w:val="22"/>
        </w:rPr>
      </w:pPr>
      <w:bookmarkStart w:id="123" w:name="_Hlk76559753"/>
      <w:r w:rsidRPr="00316837">
        <w:rPr>
          <w:rFonts w:eastAsia="Calibri"/>
          <w:szCs w:val="22"/>
        </w:rPr>
        <w:t xml:space="preserve">A review of the current situation on the ground as regards electricity trade in the Central Africa Region shows that the “market” is truly embryonic since the regional electricity network is not synchronised at the level of CAPP. The lack of electricity trade is the norm today – it is currently conducted only sporadically between a few neighbouring </w:t>
      </w:r>
      <w:r w:rsidR="0015271B" w:rsidRPr="00316837">
        <w:rPr>
          <w:rFonts w:eastAsia="Calibri"/>
          <w:szCs w:val="22"/>
        </w:rPr>
        <w:t xml:space="preserve">CAPP </w:t>
      </w:r>
      <w:r w:rsidRPr="00316837">
        <w:rPr>
          <w:rFonts w:eastAsia="Calibri"/>
          <w:szCs w:val="22"/>
        </w:rPr>
        <w:t>member utilities/</w:t>
      </w:r>
      <w:r w:rsidR="0015271B" w:rsidRPr="00316837">
        <w:rPr>
          <w:rFonts w:eastAsia="Calibri"/>
          <w:szCs w:val="22"/>
        </w:rPr>
        <w:t>states</w:t>
      </w:r>
      <w:r w:rsidRPr="00316837">
        <w:rPr>
          <w:rFonts w:eastAsia="Calibri"/>
          <w:szCs w:val="22"/>
        </w:rPr>
        <w:t xml:space="preserve"> on the basis of bilateral contracts and without any specific rules for the regional trade. This must be covered through the Regional Market Rules for electricity trade in the Central Africa Region which are still missing. These rules must be supplemented by regional wheeling charges.</w:t>
      </w:r>
      <w:r w:rsidR="001D4932" w:rsidRPr="00316837">
        <w:rPr>
          <w:rFonts w:eastAsia="Calibri"/>
          <w:szCs w:val="22"/>
        </w:rPr>
        <w:t xml:space="preserve"> </w:t>
      </w:r>
    </w:p>
    <w:bookmarkEnd w:id="123"/>
    <w:p w14:paraId="652B9F8F" w14:textId="7005B59A" w:rsidR="00063930" w:rsidRPr="00316837" w:rsidRDefault="00696060" w:rsidP="00063930">
      <w:pPr>
        <w:rPr>
          <w:rFonts w:eastAsia="Calibri"/>
          <w:szCs w:val="22"/>
        </w:rPr>
      </w:pPr>
      <w:r w:rsidRPr="00316837">
        <w:rPr>
          <w:rFonts w:eastAsia="Calibri"/>
          <w:szCs w:val="22"/>
        </w:rPr>
        <w:t xml:space="preserve">Currently, there are only three bilateral contracts regarding cross-border electricity trade over </w:t>
      </w:r>
      <w:r w:rsidR="00063930" w:rsidRPr="00316837">
        <w:rPr>
          <w:rFonts w:eastAsia="Calibri"/>
          <w:szCs w:val="22"/>
        </w:rPr>
        <w:t xml:space="preserve">the two </w:t>
      </w:r>
      <w:r w:rsidRPr="00316837">
        <w:rPr>
          <w:rFonts w:eastAsia="Calibri"/>
          <w:szCs w:val="22"/>
        </w:rPr>
        <w:t>interconnections</w:t>
      </w:r>
      <w:r w:rsidR="00063930" w:rsidRPr="00316837">
        <w:rPr>
          <w:rFonts w:eastAsia="Calibri"/>
          <w:szCs w:val="22"/>
        </w:rPr>
        <w:t>:</w:t>
      </w:r>
      <w:r w:rsidR="001D4932" w:rsidRPr="00316837">
        <w:rPr>
          <w:rFonts w:eastAsia="Calibri"/>
          <w:szCs w:val="22"/>
        </w:rPr>
        <w:t xml:space="preserve"> </w:t>
      </w:r>
    </w:p>
    <w:p w14:paraId="55950CE3" w14:textId="233824A8" w:rsidR="00063930" w:rsidRPr="00316837" w:rsidRDefault="00063930" w:rsidP="00AB7DB1">
      <w:pPr>
        <w:pStyle w:val="ListParagraph"/>
        <w:numPr>
          <w:ilvl w:val="0"/>
          <w:numId w:val="30"/>
        </w:numPr>
        <w:spacing w:before="160" w:after="0" w:line="288" w:lineRule="auto"/>
        <w:rPr>
          <w:rFonts w:ascii="Arial" w:hAnsi="Arial" w:cs="Arial"/>
          <w:sz w:val="20"/>
          <w:szCs w:val="20"/>
          <w:lang w:val="en-GB"/>
        </w:rPr>
      </w:pPr>
      <w:r w:rsidRPr="00316837">
        <w:rPr>
          <w:rFonts w:ascii="Arial" w:hAnsi="Arial" w:cs="Arial"/>
          <w:sz w:val="20"/>
          <w:szCs w:val="20"/>
          <w:lang w:val="en-GB"/>
        </w:rPr>
        <w:t>the I</w:t>
      </w:r>
      <w:r w:rsidR="00784A0E" w:rsidRPr="00316837">
        <w:rPr>
          <w:rFonts w:ascii="Arial" w:hAnsi="Arial" w:cs="Arial"/>
          <w:sz w:val="20"/>
          <w:szCs w:val="20"/>
          <w:lang w:val="en-GB"/>
        </w:rPr>
        <w:t>nga</w:t>
      </w:r>
      <w:r w:rsidRPr="00316837">
        <w:rPr>
          <w:rFonts w:ascii="Arial" w:hAnsi="Arial" w:cs="Arial"/>
          <w:sz w:val="20"/>
          <w:szCs w:val="20"/>
          <w:lang w:val="en-GB"/>
        </w:rPr>
        <w:t xml:space="preserve"> (D</w:t>
      </w:r>
      <w:r w:rsidR="00784A0E" w:rsidRPr="00316837">
        <w:rPr>
          <w:rFonts w:ascii="Arial" w:hAnsi="Arial" w:cs="Arial"/>
          <w:sz w:val="20"/>
          <w:szCs w:val="20"/>
          <w:lang w:val="en-GB"/>
        </w:rPr>
        <w:t>.</w:t>
      </w:r>
      <w:r w:rsidRPr="00316837">
        <w:rPr>
          <w:rFonts w:ascii="Arial" w:hAnsi="Arial" w:cs="Arial"/>
          <w:sz w:val="20"/>
          <w:szCs w:val="20"/>
          <w:lang w:val="en-GB"/>
        </w:rPr>
        <w:t>R</w:t>
      </w:r>
      <w:r w:rsidR="00784A0E" w:rsidRPr="00316837">
        <w:rPr>
          <w:rFonts w:ascii="Arial" w:hAnsi="Arial" w:cs="Arial"/>
          <w:sz w:val="20"/>
          <w:szCs w:val="20"/>
          <w:lang w:val="en-GB"/>
        </w:rPr>
        <w:t xml:space="preserve">. </w:t>
      </w:r>
      <w:r w:rsidRPr="00316837">
        <w:rPr>
          <w:rFonts w:ascii="Arial" w:hAnsi="Arial" w:cs="Arial"/>
          <w:sz w:val="20"/>
          <w:szCs w:val="20"/>
          <w:lang w:val="en-GB"/>
        </w:rPr>
        <w:t>C</w:t>
      </w:r>
      <w:r w:rsidR="00784A0E" w:rsidRPr="00316837">
        <w:rPr>
          <w:rFonts w:ascii="Arial" w:hAnsi="Arial" w:cs="Arial"/>
          <w:sz w:val="20"/>
          <w:szCs w:val="20"/>
          <w:lang w:val="en-GB"/>
        </w:rPr>
        <w:t>ongo</w:t>
      </w:r>
      <w:r w:rsidRPr="00316837">
        <w:rPr>
          <w:rFonts w:ascii="Arial" w:hAnsi="Arial" w:cs="Arial"/>
          <w:sz w:val="20"/>
          <w:szCs w:val="20"/>
          <w:lang w:val="en-GB"/>
        </w:rPr>
        <w:t xml:space="preserve">) – Brazzaville (Congo) interconnection, and </w:t>
      </w:r>
    </w:p>
    <w:p w14:paraId="11AD6DF6" w14:textId="2EAEB1A8" w:rsidR="00063930" w:rsidRPr="00316837" w:rsidRDefault="00063930" w:rsidP="00AB7DB1">
      <w:pPr>
        <w:pStyle w:val="ListParagraph"/>
        <w:numPr>
          <w:ilvl w:val="0"/>
          <w:numId w:val="30"/>
        </w:numPr>
        <w:spacing w:before="160" w:after="0" w:line="288" w:lineRule="auto"/>
        <w:rPr>
          <w:rFonts w:ascii="Arial" w:hAnsi="Arial" w:cs="Arial"/>
          <w:sz w:val="20"/>
          <w:szCs w:val="20"/>
          <w:lang w:val="en-GB"/>
        </w:rPr>
      </w:pPr>
      <w:r w:rsidRPr="00316837">
        <w:rPr>
          <w:rFonts w:ascii="Arial" w:hAnsi="Arial" w:cs="Arial"/>
          <w:sz w:val="20"/>
          <w:szCs w:val="20"/>
          <w:lang w:val="en-GB"/>
        </w:rPr>
        <w:t>the interconnection from the R</w:t>
      </w:r>
      <w:r w:rsidR="00784A0E" w:rsidRPr="00316837">
        <w:rPr>
          <w:rFonts w:ascii="Arial" w:hAnsi="Arial" w:cs="Arial"/>
          <w:sz w:val="20"/>
          <w:szCs w:val="20"/>
          <w:lang w:val="en-GB"/>
        </w:rPr>
        <w:t>uzizi</w:t>
      </w:r>
      <w:r w:rsidRPr="00316837">
        <w:rPr>
          <w:rFonts w:ascii="Arial" w:hAnsi="Arial" w:cs="Arial"/>
          <w:sz w:val="20"/>
          <w:szCs w:val="20"/>
          <w:lang w:val="en-GB"/>
        </w:rPr>
        <w:t xml:space="preserve"> II regional generation power plant between the east of the D.R. Congo, Burundi and Rwanda. </w:t>
      </w:r>
    </w:p>
    <w:p w14:paraId="3A8DCB49" w14:textId="256B7E23" w:rsidR="00063930" w:rsidRPr="00316837" w:rsidRDefault="00063930" w:rsidP="00F12F4A">
      <w:pPr>
        <w:rPr>
          <w:rFonts w:eastAsia="Calibri"/>
          <w:szCs w:val="22"/>
        </w:rPr>
      </w:pPr>
      <w:r w:rsidRPr="00316837">
        <w:rPr>
          <w:rFonts w:eastAsia="Calibri"/>
          <w:szCs w:val="22"/>
        </w:rPr>
        <w:t xml:space="preserve">Cross-border electricity trade over the above two interconnections is performed on a rather small-scale and driven by existing diversity and bilateral </w:t>
      </w:r>
      <w:r w:rsidR="004D66D1" w:rsidRPr="00316837">
        <w:rPr>
          <w:rFonts w:eastAsia="Calibri"/>
          <w:szCs w:val="22"/>
        </w:rPr>
        <w:t xml:space="preserve">trade </w:t>
      </w:r>
      <w:r w:rsidRPr="00316837">
        <w:rPr>
          <w:rFonts w:eastAsia="Calibri"/>
          <w:szCs w:val="22"/>
        </w:rPr>
        <w:t xml:space="preserve">agreements where CAPP has no role. Such trade is realised between the electricity utilities from each side of a border for a contracted quantity at a contracted price, which comprises losses as well. The electricity network losses which are caused by a cross-border transaction are included in the price noted in the bilateral contract on purchase and sale of electricity. CAPP is not involved in exchange and/or trade – it only receives ex post information from system operators of the electricity systems between which a cross-border electricity trade is realised. </w:t>
      </w:r>
    </w:p>
    <w:p w14:paraId="2A96D397" w14:textId="77777777" w:rsidR="004D66D1" w:rsidRPr="00316837" w:rsidRDefault="004D66D1" w:rsidP="004D66D1">
      <w:pPr>
        <w:rPr>
          <w:rFonts w:eastAsia="Calibri"/>
          <w:szCs w:val="22"/>
        </w:rPr>
      </w:pPr>
      <w:r w:rsidRPr="00316837">
        <w:rPr>
          <w:rFonts w:eastAsia="Calibri"/>
          <w:szCs w:val="22"/>
        </w:rPr>
        <w:t xml:space="preserve">With gradual development of other interconnections, the situation will initially be a scattered market made up of additional bilateral trade agreements that will gradually come into force: </w:t>
      </w:r>
    </w:p>
    <w:p w14:paraId="429AEA28" w14:textId="77777777" w:rsidR="004D66D1" w:rsidRPr="00316837" w:rsidRDefault="004D66D1" w:rsidP="00AB7DB1">
      <w:pPr>
        <w:pStyle w:val="ListParagraph"/>
        <w:numPr>
          <w:ilvl w:val="0"/>
          <w:numId w:val="34"/>
        </w:numPr>
        <w:spacing w:before="160" w:after="0" w:line="288" w:lineRule="auto"/>
        <w:rPr>
          <w:rFonts w:ascii="Arial" w:hAnsi="Arial" w:cs="Arial"/>
          <w:sz w:val="20"/>
          <w:szCs w:val="20"/>
          <w:lang w:val="en-GB"/>
        </w:rPr>
      </w:pPr>
      <w:r w:rsidRPr="00316837">
        <w:rPr>
          <w:rFonts w:ascii="Arial" w:hAnsi="Arial" w:cs="Arial"/>
          <w:sz w:val="20"/>
          <w:szCs w:val="20"/>
          <w:lang w:val="en-GB"/>
        </w:rPr>
        <w:lastRenderedPageBreak/>
        <w:t xml:space="preserve">Maroua (Cameroon) – Ndjamena (Chad) or </w:t>
      </w:r>
    </w:p>
    <w:p w14:paraId="76B613B8" w14:textId="36ACAE56" w:rsidR="004D66D1" w:rsidRPr="00316837" w:rsidRDefault="004D66D1" w:rsidP="00AB7DB1">
      <w:pPr>
        <w:pStyle w:val="ListParagraph"/>
        <w:numPr>
          <w:ilvl w:val="0"/>
          <w:numId w:val="3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Inga (D.R. Congo) – Cabinda (Angola) – Pointe Noire (Congo). </w:t>
      </w:r>
    </w:p>
    <w:p w14:paraId="53E6094C" w14:textId="2614C005" w:rsidR="004D66D1" w:rsidRPr="00316837" w:rsidRDefault="004D66D1" w:rsidP="004D66D1">
      <w:pPr>
        <w:rPr>
          <w:rFonts w:eastAsia="Calibri"/>
          <w:szCs w:val="22"/>
        </w:rPr>
      </w:pPr>
      <w:r w:rsidRPr="00316837">
        <w:rPr>
          <w:rFonts w:eastAsia="Calibri"/>
          <w:szCs w:val="22"/>
        </w:rPr>
        <w:t>Subsequently, in the long-term, electricity trade will be possible as the various generation power plants are commissioned, and reserves are built up.</w:t>
      </w:r>
      <w:r w:rsidR="001D4932" w:rsidRPr="00316837">
        <w:rPr>
          <w:rFonts w:eastAsia="Calibri"/>
          <w:szCs w:val="22"/>
        </w:rPr>
        <w:t xml:space="preserve"> </w:t>
      </w:r>
    </w:p>
    <w:p w14:paraId="18B898BC" w14:textId="4624FAC7" w:rsidR="003B0A4E" w:rsidRPr="00316837" w:rsidRDefault="00063930" w:rsidP="00F12F4A">
      <w:pPr>
        <w:rPr>
          <w:rFonts w:eastAsia="Calibri"/>
          <w:szCs w:val="22"/>
        </w:rPr>
      </w:pPr>
      <w:r w:rsidRPr="00316837">
        <w:rPr>
          <w:rFonts w:eastAsia="Calibri"/>
          <w:szCs w:val="22"/>
        </w:rPr>
        <w:t xml:space="preserve">In order to sustain the regional electricity market, CAPP needs </w:t>
      </w:r>
      <w:r w:rsidR="004D66D1" w:rsidRPr="00316837">
        <w:rPr>
          <w:rFonts w:eastAsia="Calibri"/>
          <w:szCs w:val="22"/>
        </w:rPr>
        <w:t xml:space="preserve">firstly </w:t>
      </w:r>
      <w:r w:rsidRPr="00316837">
        <w:rPr>
          <w:rFonts w:eastAsia="Calibri"/>
          <w:szCs w:val="22"/>
        </w:rPr>
        <w:t xml:space="preserve">to </w:t>
      </w:r>
      <w:r w:rsidR="004D66D1" w:rsidRPr="00316837">
        <w:rPr>
          <w:rFonts w:eastAsia="Calibri"/>
          <w:szCs w:val="22"/>
        </w:rPr>
        <w:t>develop and pool generation and transmission infrastructure, and secondly to e</w:t>
      </w:r>
      <w:r w:rsidRPr="00316837">
        <w:rPr>
          <w:rFonts w:eastAsia="Calibri"/>
          <w:szCs w:val="22"/>
        </w:rPr>
        <w:t>stablish an operational regional electricity market platform for trade</w:t>
      </w:r>
      <w:r w:rsidR="004D66D1" w:rsidRPr="00316837">
        <w:rPr>
          <w:rFonts w:eastAsia="Calibri"/>
          <w:szCs w:val="22"/>
        </w:rPr>
        <w:t xml:space="preserve"> </w:t>
      </w:r>
      <w:r w:rsidRPr="00316837">
        <w:rPr>
          <w:rFonts w:eastAsia="Calibri"/>
          <w:szCs w:val="22"/>
        </w:rPr>
        <w:t>which is preconditioned by</w:t>
      </w:r>
      <w:r w:rsidR="00D97673" w:rsidRPr="00316837">
        <w:rPr>
          <w:rFonts w:eastAsia="Calibri"/>
          <w:szCs w:val="22"/>
        </w:rPr>
        <w:t xml:space="preserve">: </w:t>
      </w:r>
    </w:p>
    <w:p w14:paraId="5F92BAB5" w14:textId="383FF45E" w:rsidR="00D97673" w:rsidRPr="00316837" w:rsidRDefault="00D97673" w:rsidP="00AB7DB1">
      <w:pPr>
        <w:pStyle w:val="ListParagraph"/>
        <w:numPr>
          <w:ilvl w:val="0"/>
          <w:numId w:val="33"/>
        </w:numPr>
        <w:spacing w:before="160" w:after="0" w:line="288" w:lineRule="auto"/>
        <w:rPr>
          <w:rFonts w:ascii="Arial" w:hAnsi="Arial" w:cs="Arial"/>
          <w:sz w:val="20"/>
          <w:szCs w:val="20"/>
          <w:lang w:val="en-GB"/>
        </w:rPr>
      </w:pPr>
      <w:r w:rsidRPr="00316837">
        <w:rPr>
          <w:rFonts w:ascii="Arial" w:hAnsi="Arial" w:cs="Arial"/>
          <w:sz w:val="20"/>
          <w:szCs w:val="20"/>
          <w:lang w:val="en-GB"/>
        </w:rPr>
        <w:t>harmonis</w:t>
      </w:r>
      <w:r w:rsidR="00063930" w:rsidRPr="00316837">
        <w:rPr>
          <w:rFonts w:ascii="Arial" w:hAnsi="Arial" w:cs="Arial"/>
          <w:sz w:val="20"/>
          <w:szCs w:val="20"/>
          <w:lang w:val="en-GB"/>
        </w:rPr>
        <w:t>ation</w:t>
      </w:r>
      <w:r w:rsidRPr="00316837">
        <w:rPr>
          <w:rFonts w:ascii="Arial" w:hAnsi="Arial" w:cs="Arial"/>
          <w:sz w:val="20"/>
          <w:szCs w:val="20"/>
          <w:lang w:val="en-GB"/>
        </w:rPr>
        <w:t xml:space="preserve"> </w:t>
      </w:r>
      <w:r w:rsidR="00063930" w:rsidRPr="00316837">
        <w:rPr>
          <w:rFonts w:ascii="Arial" w:hAnsi="Arial" w:cs="Arial"/>
          <w:sz w:val="20"/>
          <w:szCs w:val="20"/>
          <w:lang w:val="en-GB"/>
        </w:rPr>
        <w:t xml:space="preserve">of </w:t>
      </w:r>
      <w:r w:rsidRPr="00316837">
        <w:rPr>
          <w:rFonts w:ascii="Arial" w:hAnsi="Arial" w:cs="Arial"/>
          <w:sz w:val="20"/>
          <w:szCs w:val="20"/>
          <w:lang w:val="en-GB"/>
        </w:rPr>
        <w:t xml:space="preserve">the electricity sector legislation and </w:t>
      </w:r>
      <w:r w:rsidR="00063930" w:rsidRPr="00316837">
        <w:rPr>
          <w:rFonts w:ascii="Arial" w:hAnsi="Arial" w:cs="Arial"/>
          <w:sz w:val="20"/>
          <w:szCs w:val="20"/>
          <w:lang w:val="en-GB"/>
        </w:rPr>
        <w:t xml:space="preserve">its </w:t>
      </w:r>
      <w:r w:rsidRPr="00316837">
        <w:rPr>
          <w:rFonts w:ascii="Arial" w:hAnsi="Arial" w:cs="Arial"/>
          <w:sz w:val="20"/>
          <w:szCs w:val="20"/>
          <w:lang w:val="en-GB"/>
        </w:rPr>
        <w:t>implement</w:t>
      </w:r>
      <w:r w:rsidR="00063930" w:rsidRPr="00316837">
        <w:rPr>
          <w:rFonts w:ascii="Arial" w:hAnsi="Arial" w:cs="Arial"/>
          <w:sz w:val="20"/>
          <w:szCs w:val="20"/>
          <w:lang w:val="en-GB"/>
        </w:rPr>
        <w:t>ation</w:t>
      </w:r>
      <w:r w:rsidRPr="00316837">
        <w:rPr>
          <w:rFonts w:ascii="Arial" w:hAnsi="Arial" w:cs="Arial"/>
          <w:sz w:val="20"/>
          <w:szCs w:val="20"/>
          <w:lang w:val="en-GB"/>
        </w:rPr>
        <w:t xml:space="preserve">, </w:t>
      </w:r>
    </w:p>
    <w:p w14:paraId="544038CC" w14:textId="55E8FEDB" w:rsidR="00D97673" w:rsidRPr="00316837" w:rsidRDefault="00D97673" w:rsidP="00AB7DB1">
      <w:pPr>
        <w:pStyle w:val="ListParagraph"/>
        <w:numPr>
          <w:ilvl w:val="0"/>
          <w:numId w:val="33"/>
        </w:numPr>
        <w:spacing w:before="160" w:after="0" w:line="288" w:lineRule="auto"/>
        <w:rPr>
          <w:rFonts w:ascii="Arial" w:hAnsi="Arial" w:cs="Arial"/>
          <w:sz w:val="20"/>
          <w:szCs w:val="20"/>
          <w:lang w:val="en-GB"/>
        </w:rPr>
      </w:pPr>
      <w:r w:rsidRPr="00316837">
        <w:rPr>
          <w:rFonts w:ascii="Arial" w:hAnsi="Arial" w:cs="Arial"/>
          <w:sz w:val="20"/>
          <w:szCs w:val="20"/>
          <w:lang w:val="en-GB"/>
        </w:rPr>
        <w:t>improve</w:t>
      </w:r>
      <w:r w:rsidR="00063930" w:rsidRPr="00316837">
        <w:rPr>
          <w:rFonts w:ascii="Arial" w:hAnsi="Arial" w:cs="Arial"/>
          <w:sz w:val="20"/>
          <w:szCs w:val="20"/>
          <w:lang w:val="en-GB"/>
        </w:rPr>
        <w:t>ment of</w:t>
      </w:r>
      <w:r w:rsidRPr="00316837">
        <w:rPr>
          <w:rFonts w:ascii="Arial" w:hAnsi="Arial" w:cs="Arial"/>
          <w:sz w:val="20"/>
          <w:szCs w:val="20"/>
          <w:lang w:val="en-GB"/>
        </w:rPr>
        <w:t xml:space="preserve"> the legal/contractual agreements between </w:t>
      </w:r>
      <w:r w:rsidR="008F32C0" w:rsidRPr="00316837">
        <w:rPr>
          <w:rFonts w:ascii="Arial" w:hAnsi="Arial" w:cs="Arial"/>
          <w:sz w:val="20"/>
          <w:szCs w:val="20"/>
          <w:lang w:val="en-GB"/>
        </w:rPr>
        <w:t xml:space="preserve">CAPP </w:t>
      </w:r>
      <w:r w:rsidRPr="00316837">
        <w:rPr>
          <w:rFonts w:ascii="Arial" w:hAnsi="Arial" w:cs="Arial"/>
          <w:sz w:val="20"/>
          <w:szCs w:val="20"/>
          <w:lang w:val="en-GB"/>
        </w:rPr>
        <w:t xml:space="preserve">member </w:t>
      </w:r>
      <w:r w:rsidR="008F32C0" w:rsidRPr="00316837">
        <w:rPr>
          <w:rFonts w:ascii="Arial" w:hAnsi="Arial" w:cs="Arial"/>
          <w:sz w:val="20"/>
          <w:szCs w:val="20"/>
          <w:lang w:val="en-GB"/>
        </w:rPr>
        <w:t>states</w:t>
      </w:r>
      <w:r w:rsidRPr="00316837">
        <w:rPr>
          <w:rFonts w:ascii="Arial" w:hAnsi="Arial" w:cs="Arial"/>
          <w:sz w:val="20"/>
          <w:szCs w:val="20"/>
          <w:lang w:val="en-GB"/>
        </w:rPr>
        <w:t xml:space="preserve"> (e.g. balance between supply and demand), </w:t>
      </w:r>
    </w:p>
    <w:p w14:paraId="46323534" w14:textId="011BC2F7" w:rsidR="00D97673" w:rsidRPr="00316837" w:rsidRDefault="00063930" w:rsidP="00AB7DB1">
      <w:pPr>
        <w:pStyle w:val="ListParagraph"/>
        <w:numPr>
          <w:ilvl w:val="0"/>
          <w:numId w:val="33"/>
        </w:numPr>
        <w:spacing w:before="160" w:after="0" w:line="288" w:lineRule="auto"/>
        <w:rPr>
          <w:rFonts w:ascii="Arial" w:hAnsi="Arial" w:cs="Arial"/>
          <w:sz w:val="20"/>
          <w:szCs w:val="20"/>
          <w:lang w:val="en-GB"/>
        </w:rPr>
      </w:pPr>
      <w:r w:rsidRPr="00316837">
        <w:rPr>
          <w:rFonts w:ascii="Arial" w:hAnsi="Arial" w:cs="Arial"/>
          <w:sz w:val="20"/>
          <w:szCs w:val="20"/>
          <w:lang w:val="en-GB"/>
        </w:rPr>
        <w:t>elimination of the</w:t>
      </w:r>
      <w:r w:rsidR="00D97673" w:rsidRPr="00316837">
        <w:rPr>
          <w:rFonts w:ascii="Arial" w:hAnsi="Arial" w:cs="Arial"/>
          <w:sz w:val="20"/>
          <w:szCs w:val="20"/>
          <w:lang w:val="en-GB"/>
        </w:rPr>
        <w:t xml:space="preserve"> differences in regulatory approaches between </w:t>
      </w:r>
      <w:r w:rsidR="008F32C0" w:rsidRPr="00316837">
        <w:rPr>
          <w:rFonts w:ascii="Arial" w:hAnsi="Arial" w:cs="Arial"/>
          <w:sz w:val="20"/>
          <w:szCs w:val="20"/>
          <w:lang w:val="en-GB"/>
        </w:rPr>
        <w:t xml:space="preserve">CAPP </w:t>
      </w:r>
      <w:r w:rsidR="00D97673" w:rsidRPr="00316837">
        <w:rPr>
          <w:rFonts w:ascii="Arial" w:hAnsi="Arial" w:cs="Arial"/>
          <w:sz w:val="20"/>
          <w:szCs w:val="20"/>
          <w:lang w:val="en-GB"/>
        </w:rPr>
        <w:t xml:space="preserve">member </w:t>
      </w:r>
      <w:r w:rsidR="008F32C0" w:rsidRPr="00316837">
        <w:rPr>
          <w:rFonts w:ascii="Arial" w:hAnsi="Arial" w:cs="Arial"/>
          <w:sz w:val="20"/>
          <w:szCs w:val="20"/>
          <w:lang w:val="en-GB"/>
        </w:rPr>
        <w:t>states</w:t>
      </w:r>
      <w:r w:rsidR="00D97673" w:rsidRPr="00316837">
        <w:rPr>
          <w:rFonts w:ascii="Arial" w:hAnsi="Arial" w:cs="Arial"/>
          <w:sz w:val="20"/>
          <w:szCs w:val="20"/>
          <w:lang w:val="en-GB"/>
        </w:rPr>
        <w:t xml:space="preserve">, </w:t>
      </w:r>
    </w:p>
    <w:p w14:paraId="0F2FF086" w14:textId="249DEC23" w:rsidR="00D97673" w:rsidRPr="00316837" w:rsidRDefault="00D97673" w:rsidP="00AB7DB1">
      <w:pPr>
        <w:pStyle w:val="ListParagraph"/>
        <w:numPr>
          <w:ilvl w:val="0"/>
          <w:numId w:val="33"/>
        </w:numPr>
        <w:spacing w:before="160" w:after="0" w:line="288" w:lineRule="auto"/>
        <w:rPr>
          <w:rFonts w:ascii="Arial" w:hAnsi="Arial" w:cs="Arial"/>
          <w:sz w:val="20"/>
          <w:szCs w:val="20"/>
          <w:lang w:val="en-GB"/>
        </w:rPr>
      </w:pPr>
      <w:r w:rsidRPr="00316837">
        <w:rPr>
          <w:rFonts w:ascii="Arial" w:hAnsi="Arial" w:cs="Arial"/>
          <w:sz w:val="20"/>
          <w:szCs w:val="20"/>
          <w:lang w:val="en-GB"/>
        </w:rPr>
        <w:t>prepar</w:t>
      </w:r>
      <w:r w:rsidR="00063930" w:rsidRPr="00316837">
        <w:rPr>
          <w:rFonts w:ascii="Arial" w:hAnsi="Arial" w:cs="Arial"/>
          <w:sz w:val="20"/>
          <w:szCs w:val="20"/>
          <w:lang w:val="en-GB"/>
        </w:rPr>
        <w:t>ation of the</w:t>
      </w:r>
      <w:r w:rsidRPr="00316837">
        <w:rPr>
          <w:rFonts w:ascii="Arial" w:hAnsi="Arial" w:cs="Arial"/>
          <w:sz w:val="20"/>
          <w:szCs w:val="20"/>
          <w:lang w:val="en-GB"/>
        </w:rPr>
        <w:t xml:space="preserve"> interconnection agreements, and </w:t>
      </w:r>
    </w:p>
    <w:p w14:paraId="342B8BF4" w14:textId="0E33E181" w:rsidR="00D97673" w:rsidRPr="00316837" w:rsidRDefault="00D97673" w:rsidP="00AB7DB1">
      <w:pPr>
        <w:pStyle w:val="ListParagraph"/>
        <w:numPr>
          <w:ilvl w:val="0"/>
          <w:numId w:val="33"/>
        </w:numPr>
        <w:spacing w:before="160" w:after="0" w:line="288" w:lineRule="auto"/>
        <w:rPr>
          <w:rFonts w:ascii="Arial" w:hAnsi="Arial" w:cs="Arial"/>
          <w:sz w:val="20"/>
          <w:szCs w:val="20"/>
          <w:lang w:val="en-GB"/>
        </w:rPr>
      </w:pPr>
      <w:r w:rsidRPr="00316837">
        <w:rPr>
          <w:rFonts w:ascii="Arial" w:hAnsi="Arial" w:cs="Arial"/>
          <w:sz w:val="20"/>
          <w:szCs w:val="20"/>
          <w:lang w:val="en-GB"/>
        </w:rPr>
        <w:t>third party access to grids</w:t>
      </w:r>
      <w:r w:rsidR="00063930" w:rsidRPr="00316837">
        <w:rPr>
          <w:rFonts w:ascii="Arial" w:hAnsi="Arial" w:cs="Arial"/>
          <w:sz w:val="20"/>
          <w:szCs w:val="20"/>
          <w:lang w:val="en-GB"/>
        </w:rPr>
        <w:t xml:space="preserve"> in all </w:t>
      </w:r>
      <w:r w:rsidR="008F32C0" w:rsidRPr="00316837">
        <w:rPr>
          <w:rFonts w:ascii="Arial" w:hAnsi="Arial" w:cs="Arial"/>
          <w:sz w:val="20"/>
          <w:szCs w:val="20"/>
          <w:lang w:val="en-GB"/>
        </w:rPr>
        <w:t xml:space="preserve">CAPP </w:t>
      </w:r>
      <w:r w:rsidR="00063930" w:rsidRPr="00316837">
        <w:rPr>
          <w:rFonts w:ascii="Arial" w:hAnsi="Arial" w:cs="Arial"/>
          <w:sz w:val="20"/>
          <w:szCs w:val="20"/>
          <w:lang w:val="en-GB"/>
        </w:rPr>
        <w:t xml:space="preserve">member </w:t>
      </w:r>
      <w:r w:rsidR="008F32C0" w:rsidRPr="00316837">
        <w:rPr>
          <w:rFonts w:ascii="Arial" w:hAnsi="Arial" w:cs="Arial"/>
          <w:sz w:val="20"/>
          <w:szCs w:val="20"/>
          <w:lang w:val="en-GB"/>
        </w:rPr>
        <w:t>states</w:t>
      </w:r>
      <w:r w:rsidRPr="00316837">
        <w:rPr>
          <w:rFonts w:ascii="Arial" w:hAnsi="Arial" w:cs="Arial"/>
          <w:sz w:val="20"/>
          <w:szCs w:val="20"/>
          <w:lang w:val="en-GB"/>
        </w:rPr>
        <w:t xml:space="preserve">. </w:t>
      </w:r>
    </w:p>
    <w:p w14:paraId="461AC09E" w14:textId="3A001593" w:rsidR="00D97673" w:rsidRPr="00316837" w:rsidRDefault="00CC14A9" w:rsidP="00E52943">
      <w:pPr>
        <w:rPr>
          <w:rFonts w:eastAsia="Calibri"/>
          <w:szCs w:val="20"/>
        </w:rPr>
      </w:pPr>
      <w:r w:rsidRPr="00316837">
        <w:rPr>
          <w:rFonts w:eastAsia="Calibri"/>
          <w:szCs w:val="20"/>
        </w:rPr>
        <w:t xml:space="preserve">The setting up of the regional electricity market </w:t>
      </w:r>
      <w:r w:rsidR="00E52943" w:rsidRPr="00316837">
        <w:rPr>
          <w:rFonts w:eastAsia="Calibri"/>
          <w:szCs w:val="20"/>
        </w:rPr>
        <w:t>is</w:t>
      </w:r>
      <w:r w:rsidRPr="00316837">
        <w:rPr>
          <w:rFonts w:eastAsia="Calibri"/>
          <w:szCs w:val="20"/>
        </w:rPr>
        <w:t xml:space="preserve"> planned in two phases (see </w:t>
      </w:r>
      <w:r w:rsidRPr="00316837">
        <w:rPr>
          <w:rFonts w:eastAsia="Calibri"/>
          <w:szCs w:val="20"/>
        </w:rPr>
        <w:fldChar w:fldCharType="begin"/>
      </w:r>
      <w:r w:rsidRPr="00316837">
        <w:rPr>
          <w:rFonts w:eastAsia="Calibri"/>
          <w:szCs w:val="20"/>
        </w:rPr>
        <w:instrText xml:space="preserve"> REF _Ref73034687 \h  \* MERGEFORMAT </w:instrText>
      </w:r>
      <w:r w:rsidRPr="00316837">
        <w:rPr>
          <w:rFonts w:eastAsia="Calibri"/>
          <w:szCs w:val="20"/>
        </w:rPr>
      </w:r>
      <w:r w:rsidRPr="00316837">
        <w:rPr>
          <w:rFonts w:eastAsia="Calibri"/>
          <w:szCs w:val="20"/>
        </w:rPr>
        <w:fldChar w:fldCharType="separate"/>
      </w:r>
      <w:r w:rsidR="00507C15" w:rsidRPr="006273BD">
        <w:rPr>
          <w:rFonts w:cs="Arial"/>
          <w:bCs/>
          <w:szCs w:val="20"/>
        </w:rPr>
        <w:t>Table 3</w:t>
      </w:r>
      <w:r w:rsidR="00507C15" w:rsidRPr="006273BD">
        <w:rPr>
          <w:rFonts w:cs="Arial"/>
          <w:bCs/>
          <w:szCs w:val="20"/>
        </w:rPr>
        <w:noBreakHyphen/>
        <w:t>11</w:t>
      </w:r>
      <w:r w:rsidRPr="00316837">
        <w:rPr>
          <w:rFonts w:eastAsia="Calibri"/>
          <w:szCs w:val="20"/>
        </w:rPr>
        <w:fldChar w:fldCharType="end"/>
      </w:r>
      <w:r w:rsidRPr="00C632F6">
        <w:rPr>
          <w:rFonts w:eastAsia="Calibri"/>
          <w:szCs w:val="20"/>
        </w:rPr>
        <w:t xml:space="preserve">). </w:t>
      </w:r>
      <w:r w:rsidR="00E52943" w:rsidRPr="00316837">
        <w:rPr>
          <w:rFonts w:eastAsia="Calibri"/>
          <w:szCs w:val="20"/>
        </w:rPr>
        <w:t xml:space="preserve">Phase 1 corresponds in fact to the current situation wherein electricity trade cannot really be envisaged as the current market does not yet exist. As a result, completion of the listed tasks constitutes a prerequisite for Phase 2. </w:t>
      </w:r>
    </w:p>
    <w:p w14:paraId="78676FC7" w14:textId="30487129" w:rsidR="00CC14A9" w:rsidRPr="00316837" w:rsidRDefault="00CC14A9" w:rsidP="00CC14A9">
      <w:pPr>
        <w:suppressAutoHyphens w:val="0"/>
        <w:spacing w:before="120"/>
        <w:ind w:left="1134" w:hanging="1134"/>
        <w:rPr>
          <w:rFonts w:cs="Arial"/>
          <w:bCs/>
          <w:sz w:val="18"/>
          <w:szCs w:val="18"/>
        </w:rPr>
      </w:pPr>
      <w:bookmarkStart w:id="124" w:name="_Ref73034687"/>
      <w:bookmarkStart w:id="125" w:name="_Toc77260248"/>
      <w:r w:rsidRPr="00316837">
        <w:rPr>
          <w:rFonts w:cs="Arial"/>
          <w:bCs/>
          <w:sz w:val="18"/>
          <w:szCs w:val="18"/>
        </w:rPr>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507C15">
        <w:rPr>
          <w:rFonts w:cs="Arial"/>
          <w:bCs/>
          <w:noProof/>
          <w:sz w:val="18"/>
          <w:szCs w:val="18"/>
        </w:rPr>
        <w:t>11</w:t>
      </w:r>
      <w:r w:rsidRPr="00316837">
        <w:rPr>
          <w:rFonts w:cs="Arial"/>
          <w:bCs/>
          <w:sz w:val="18"/>
          <w:szCs w:val="18"/>
        </w:rPr>
        <w:fldChar w:fldCharType="end"/>
      </w:r>
      <w:bookmarkEnd w:id="124"/>
      <w:r w:rsidRPr="00C632F6">
        <w:rPr>
          <w:rFonts w:cs="Arial"/>
          <w:bCs/>
          <w:sz w:val="18"/>
          <w:szCs w:val="18"/>
        </w:rPr>
        <w:t>: Setting up of the regional electricity market in the Central Africa Region under CAPP</w:t>
      </w:r>
      <w:bookmarkEnd w:id="125"/>
      <w:r w:rsidRPr="00C632F6">
        <w:rPr>
          <w:rFonts w:cs="Arial"/>
          <w:bCs/>
          <w:sz w:val="18"/>
          <w:szCs w:val="18"/>
        </w:rPr>
        <w:t xml:space="preserve"> </w:t>
      </w:r>
    </w:p>
    <w:tbl>
      <w:tblPr>
        <w:tblStyle w:val="TableGrid"/>
        <w:tblW w:w="0" w:type="auto"/>
        <w:tblLook w:val="04A0" w:firstRow="1" w:lastRow="0" w:firstColumn="1" w:lastColumn="0" w:noHBand="0" w:noVBand="1"/>
      </w:tblPr>
      <w:tblGrid>
        <w:gridCol w:w="747"/>
        <w:gridCol w:w="1125"/>
        <w:gridCol w:w="1402"/>
        <w:gridCol w:w="2264"/>
        <w:gridCol w:w="4091"/>
      </w:tblGrid>
      <w:tr w:rsidR="00D873C4" w:rsidRPr="00316837" w14:paraId="4E667A94" w14:textId="59237F4B" w:rsidTr="00D873C4">
        <w:tc>
          <w:tcPr>
            <w:tcW w:w="727" w:type="dxa"/>
            <w:shd w:val="clear" w:color="auto" w:fill="F2F2F2" w:themeFill="background1" w:themeFillShade="F2"/>
          </w:tcPr>
          <w:p w14:paraId="21CDCFC4" w14:textId="3B133316" w:rsidR="00D873C4" w:rsidRPr="006273BD" w:rsidRDefault="00D873C4" w:rsidP="00260A9C">
            <w:pPr>
              <w:spacing w:before="120" w:after="120"/>
              <w:jc w:val="left"/>
              <w:rPr>
                <w:rFonts w:eastAsia="Calibri"/>
                <w:b/>
                <w:bCs/>
                <w:sz w:val="18"/>
                <w:szCs w:val="18"/>
              </w:rPr>
            </w:pPr>
            <w:r w:rsidRPr="006273BD">
              <w:rPr>
                <w:rFonts w:eastAsia="Calibri"/>
                <w:b/>
                <w:bCs/>
                <w:sz w:val="18"/>
                <w:szCs w:val="18"/>
              </w:rPr>
              <w:t>Phase</w:t>
            </w:r>
          </w:p>
        </w:tc>
        <w:tc>
          <w:tcPr>
            <w:tcW w:w="1126" w:type="dxa"/>
            <w:shd w:val="clear" w:color="auto" w:fill="F2F2F2" w:themeFill="background1" w:themeFillShade="F2"/>
          </w:tcPr>
          <w:p w14:paraId="6FA85E54" w14:textId="6DBC94FD" w:rsidR="00D873C4" w:rsidRPr="006273BD" w:rsidRDefault="00D873C4" w:rsidP="00260A9C">
            <w:pPr>
              <w:spacing w:before="120" w:after="120"/>
              <w:jc w:val="left"/>
              <w:rPr>
                <w:rFonts w:eastAsia="Calibri"/>
                <w:b/>
                <w:bCs/>
                <w:sz w:val="18"/>
                <w:szCs w:val="18"/>
              </w:rPr>
            </w:pPr>
            <w:r w:rsidRPr="006273BD">
              <w:rPr>
                <w:rFonts w:eastAsia="Calibri"/>
                <w:b/>
                <w:bCs/>
                <w:sz w:val="18"/>
                <w:szCs w:val="18"/>
              </w:rPr>
              <w:t>Period</w:t>
            </w:r>
          </w:p>
        </w:tc>
        <w:tc>
          <w:tcPr>
            <w:tcW w:w="1403" w:type="dxa"/>
            <w:shd w:val="clear" w:color="auto" w:fill="F2F2F2" w:themeFill="background1" w:themeFillShade="F2"/>
          </w:tcPr>
          <w:p w14:paraId="2937AB56" w14:textId="3140FBFB" w:rsidR="00D873C4" w:rsidRPr="006273BD" w:rsidRDefault="00D873C4" w:rsidP="00260A9C">
            <w:pPr>
              <w:spacing w:before="120" w:after="120"/>
              <w:jc w:val="left"/>
              <w:rPr>
                <w:rFonts w:eastAsia="Calibri"/>
                <w:b/>
                <w:bCs/>
                <w:sz w:val="18"/>
                <w:szCs w:val="18"/>
              </w:rPr>
            </w:pPr>
            <w:r w:rsidRPr="006273BD">
              <w:rPr>
                <w:rFonts w:eastAsia="Calibri"/>
                <w:b/>
                <w:bCs/>
                <w:sz w:val="18"/>
                <w:szCs w:val="18"/>
              </w:rPr>
              <w:t>Component</w:t>
            </w:r>
          </w:p>
        </w:tc>
        <w:tc>
          <w:tcPr>
            <w:tcW w:w="2268" w:type="dxa"/>
            <w:shd w:val="clear" w:color="auto" w:fill="F2F2F2" w:themeFill="background1" w:themeFillShade="F2"/>
          </w:tcPr>
          <w:p w14:paraId="57B4CE98" w14:textId="6F009439" w:rsidR="00D873C4" w:rsidRPr="006273BD" w:rsidRDefault="00D873C4" w:rsidP="00260A9C">
            <w:pPr>
              <w:spacing w:before="120" w:after="120"/>
              <w:jc w:val="left"/>
              <w:rPr>
                <w:rFonts w:eastAsia="Calibri"/>
                <w:b/>
                <w:bCs/>
                <w:sz w:val="18"/>
                <w:szCs w:val="18"/>
              </w:rPr>
            </w:pPr>
            <w:r w:rsidRPr="006273BD">
              <w:rPr>
                <w:rFonts w:eastAsia="Calibri"/>
                <w:b/>
                <w:bCs/>
                <w:sz w:val="18"/>
                <w:szCs w:val="18"/>
              </w:rPr>
              <w:t xml:space="preserve">Focus </w:t>
            </w:r>
          </w:p>
        </w:tc>
        <w:tc>
          <w:tcPr>
            <w:tcW w:w="4105" w:type="dxa"/>
            <w:shd w:val="clear" w:color="auto" w:fill="F2F2F2" w:themeFill="background1" w:themeFillShade="F2"/>
          </w:tcPr>
          <w:p w14:paraId="41D74998" w14:textId="6BE3AEE1" w:rsidR="00D873C4" w:rsidRPr="006273BD" w:rsidRDefault="00D873C4" w:rsidP="00260A9C">
            <w:pPr>
              <w:spacing w:before="120" w:after="120"/>
              <w:jc w:val="left"/>
              <w:rPr>
                <w:rFonts w:eastAsia="Calibri"/>
                <w:b/>
                <w:bCs/>
                <w:sz w:val="18"/>
                <w:szCs w:val="18"/>
              </w:rPr>
            </w:pPr>
            <w:r w:rsidRPr="006273BD">
              <w:rPr>
                <w:rFonts w:eastAsia="Calibri"/>
                <w:b/>
                <w:bCs/>
                <w:sz w:val="18"/>
                <w:szCs w:val="18"/>
              </w:rPr>
              <w:t xml:space="preserve">Tasks </w:t>
            </w:r>
          </w:p>
        </w:tc>
      </w:tr>
      <w:tr w:rsidR="00D873C4" w:rsidRPr="00316837" w14:paraId="379F7A7F" w14:textId="7B2F34E4" w:rsidTr="00D873C4">
        <w:tc>
          <w:tcPr>
            <w:tcW w:w="727" w:type="dxa"/>
            <w:vMerge w:val="restart"/>
          </w:tcPr>
          <w:p w14:paraId="4C79660B" w14:textId="6A9BA3EA" w:rsidR="00D873C4" w:rsidRPr="00316837" w:rsidRDefault="00D873C4" w:rsidP="00260A9C">
            <w:pPr>
              <w:spacing w:before="120" w:after="120"/>
              <w:jc w:val="left"/>
              <w:rPr>
                <w:rFonts w:eastAsia="Calibri"/>
                <w:sz w:val="18"/>
                <w:szCs w:val="18"/>
              </w:rPr>
            </w:pPr>
            <w:r w:rsidRPr="00316837">
              <w:rPr>
                <w:rFonts w:eastAsia="Calibri"/>
                <w:sz w:val="18"/>
                <w:szCs w:val="18"/>
              </w:rPr>
              <w:t>1</w:t>
            </w:r>
          </w:p>
        </w:tc>
        <w:tc>
          <w:tcPr>
            <w:tcW w:w="1126" w:type="dxa"/>
            <w:vMerge w:val="restart"/>
          </w:tcPr>
          <w:p w14:paraId="3B0D4B78" w14:textId="05174906" w:rsidR="00D873C4" w:rsidRPr="00316837" w:rsidRDefault="00D873C4" w:rsidP="00260A9C">
            <w:pPr>
              <w:spacing w:before="120" w:after="120"/>
              <w:jc w:val="left"/>
              <w:rPr>
                <w:rFonts w:eastAsia="Calibri"/>
                <w:sz w:val="18"/>
                <w:szCs w:val="18"/>
              </w:rPr>
            </w:pPr>
            <w:r w:rsidRPr="00316837">
              <w:rPr>
                <w:rFonts w:eastAsia="Calibri"/>
                <w:sz w:val="18"/>
                <w:szCs w:val="18"/>
              </w:rPr>
              <w:t>2016-2020</w:t>
            </w:r>
            <w:r w:rsidR="001D4932" w:rsidRPr="00316837">
              <w:rPr>
                <w:rFonts w:eastAsia="Calibri"/>
                <w:sz w:val="18"/>
                <w:szCs w:val="18"/>
              </w:rPr>
              <w:t xml:space="preserve"> </w:t>
            </w:r>
          </w:p>
          <w:p w14:paraId="684C8B83" w14:textId="69593069" w:rsidR="00D873C4" w:rsidRPr="00316837" w:rsidRDefault="00D873C4" w:rsidP="00260A9C">
            <w:pPr>
              <w:spacing w:before="120" w:after="120"/>
              <w:jc w:val="left"/>
              <w:rPr>
                <w:rFonts w:eastAsia="Calibri"/>
                <w:sz w:val="18"/>
                <w:szCs w:val="18"/>
              </w:rPr>
            </w:pPr>
            <w:r w:rsidRPr="00316837">
              <w:rPr>
                <w:rFonts w:eastAsia="Calibri"/>
                <w:sz w:val="18"/>
                <w:szCs w:val="18"/>
              </w:rPr>
              <w:t>(short- to medium-term)</w:t>
            </w:r>
            <w:r w:rsidR="001D4932" w:rsidRPr="00316837">
              <w:rPr>
                <w:rFonts w:eastAsia="Calibri"/>
                <w:sz w:val="18"/>
                <w:szCs w:val="18"/>
              </w:rPr>
              <w:t xml:space="preserve"> </w:t>
            </w:r>
          </w:p>
        </w:tc>
        <w:tc>
          <w:tcPr>
            <w:tcW w:w="1403" w:type="dxa"/>
          </w:tcPr>
          <w:p w14:paraId="5B91006C" w14:textId="1DA3260E" w:rsidR="00D873C4" w:rsidRPr="00316837" w:rsidRDefault="00D873C4" w:rsidP="00260A9C">
            <w:pPr>
              <w:spacing w:before="120" w:after="120"/>
              <w:jc w:val="left"/>
              <w:rPr>
                <w:rFonts w:eastAsia="Calibri"/>
                <w:sz w:val="18"/>
                <w:szCs w:val="18"/>
              </w:rPr>
            </w:pPr>
            <w:r w:rsidRPr="00316837">
              <w:rPr>
                <w:rFonts w:eastAsia="Calibri"/>
                <w:sz w:val="18"/>
                <w:szCs w:val="18"/>
              </w:rPr>
              <w:t>Infrastructure construction</w:t>
            </w:r>
            <w:r w:rsidR="001D4932" w:rsidRPr="00316837">
              <w:rPr>
                <w:rFonts w:eastAsia="Calibri"/>
                <w:sz w:val="18"/>
                <w:szCs w:val="18"/>
              </w:rPr>
              <w:t xml:space="preserve"> </w:t>
            </w:r>
          </w:p>
        </w:tc>
        <w:tc>
          <w:tcPr>
            <w:tcW w:w="2268" w:type="dxa"/>
          </w:tcPr>
          <w:p w14:paraId="64CA1549" w14:textId="01AAD21B" w:rsidR="00D873C4" w:rsidRPr="00316837" w:rsidRDefault="00D873C4" w:rsidP="00260A9C">
            <w:pPr>
              <w:spacing w:before="120" w:after="120"/>
              <w:jc w:val="left"/>
              <w:rPr>
                <w:rFonts w:eastAsia="Calibri"/>
                <w:sz w:val="18"/>
                <w:szCs w:val="18"/>
              </w:rPr>
            </w:pPr>
            <w:r w:rsidRPr="00316837">
              <w:rPr>
                <w:rFonts w:eastAsia="Calibri"/>
                <w:sz w:val="18"/>
                <w:szCs w:val="18"/>
              </w:rPr>
              <w:t xml:space="preserve">Infrastructure construction must provide the Region with sufficient transmission capacity and adequate generation capacity to have a sufficient surplus to be able to exceed its bilateral contracts. </w:t>
            </w:r>
          </w:p>
        </w:tc>
        <w:tc>
          <w:tcPr>
            <w:tcW w:w="4105" w:type="dxa"/>
          </w:tcPr>
          <w:p w14:paraId="3C67FED9" w14:textId="41CC4BB0" w:rsidR="00D873C4" w:rsidRPr="00316837" w:rsidRDefault="00E52943" w:rsidP="00260A9C">
            <w:pPr>
              <w:spacing w:before="120" w:after="120"/>
              <w:jc w:val="left"/>
              <w:rPr>
                <w:rFonts w:eastAsia="Calibri"/>
                <w:sz w:val="18"/>
                <w:szCs w:val="18"/>
              </w:rPr>
            </w:pPr>
            <w:r w:rsidRPr="00316837">
              <w:rPr>
                <w:rFonts w:eastAsia="Calibri"/>
                <w:sz w:val="18"/>
                <w:szCs w:val="18"/>
              </w:rPr>
              <w:t xml:space="preserve">Develop a training programme with the following objectives: </w:t>
            </w:r>
          </w:p>
          <w:p w14:paraId="6D32471C" w14:textId="3EE1CFE1" w:rsidR="00E52943" w:rsidRPr="00316837" w:rsidRDefault="00E52943"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build project management and electricity infrastructure project management capacities, and </w:t>
            </w:r>
          </w:p>
          <w:p w14:paraId="77F0AE78" w14:textId="346C6C57" w:rsidR="00E52943" w:rsidRPr="00316837" w:rsidRDefault="00E52943"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build capacities of existing regional institutions, particularly CAPP, to be able to perform activities required for implementing, operating and monitoring the regional electricity market. </w:t>
            </w:r>
          </w:p>
          <w:p w14:paraId="38B1F60A" w14:textId="584EDAF5" w:rsidR="00E52943" w:rsidRPr="00316837" w:rsidRDefault="00E52943" w:rsidP="00E52943">
            <w:pPr>
              <w:spacing w:before="120" w:after="120"/>
              <w:jc w:val="left"/>
              <w:rPr>
                <w:rFonts w:eastAsia="Calibri"/>
                <w:sz w:val="18"/>
                <w:szCs w:val="18"/>
              </w:rPr>
            </w:pPr>
            <w:r w:rsidRPr="00316837">
              <w:rPr>
                <w:rFonts w:eastAsia="Calibri"/>
                <w:sz w:val="18"/>
                <w:szCs w:val="18"/>
              </w:rPr>
              <w:t xml:space="preserve">Formalise trade transactions which are currently executed on a “case-by-case” basis and standardise procedures such as: </w:t>
            </w:r>
          </w:p>
          <w:p w14:paraId="4D0B3909" w14:textId="60B24BFB" w:rsidR="00E52943" w:rsidRPr="00316837" w:rsidRDefault="00E52943"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bilateral agreements between </w:t>
            </w:r>
            <w:r w:rsidR="008F32C0" w:rsidRPr="00316837">
              <w:rPr>
                <w:rFonts w:ascii="Arial" w:eastAsia="Calibri" w:hAnsi="Arial" w:cs="Arial"/>
                <w:sz w:val="18"/>
                <w:szCs w:val="18"/>
                <w:lang w:val="en-GB"/>
              </w:rPr>
              <w:t xml:space="preserve">CAPP </w:t>
            </w:r>
            <w:r w:rsidRPr="00316837">
              <w:rPr>
                <w:rFonts w:ascii="Arial" w:eastAsia="Calibri" w:hAnsi="Arial" w:cs="Arial"/>
                <w:sz w:val="18"/>
                <w:szCs w:val="18"/>
                <w:lang w:val="en-GB"/>
              </w:rPr>
              <w:t xml:space="preserve">member </w:t>
            </w:r>
            <w:r w:rsidR="008F32C0" w:rsidRPr="00316837">
              <w:rPr>
                <w:rFonts w:ascii="Arial" w:eastAsia="Calibri" w:hAnsi="Arial" w:cs="Arial"/>
                <w:sz w:val="18"/>
                <w:szCs w:val="18"/>
                <w:lang w:val="en-GB"/>
              </w:rPr>
              <w:t>states</w:t>
            </w:r>
            <w:r w:rsidRPr="00316837">
              <w:rPr>
                <w:rFonts w:ascii="Arial" w:eastAsia="Calibri" w:hAnsi="Arial" w:cs="Arial"/>
                <w:sz w:val="18"/>
                <w:szCs w:val="18"/>
                <w:lang w:val="en-GB"/>
              </w:rPr>
              <w:t xml:space="preserve"> and between </w:t>
            </w:r>
            <w:r w:rsidR="008F32C0" w:rsidRPr="00316837">
              <w:rPr>
                <w:rFonts w:ascii="Arial" w:eastAsia="Calibri" w:hAnsi="Arial" w:cs="Arial"/>
                <w:sz w:val="18"/>
                <w:szCs w:val="18"/>
                <w:lang w:val="en-GB"/>
              </w:rPr>
              <w:t xml:space="preserve">CAPP </w:t>
            </w:r>
            <w:r w:rsidRPr="00316837">
              <w:rPr>
                <w:rFonts w:ascii="Arial" w:eastAsia="Calibri" w:hAnsi="Arial" w:cs="Arial"/>
                <w:sz w:val="18"/>
                <w:szCs w:val="18"/>
                <w:lang w:val="en-GB"/>
              </w:rPr>
              <w:t xml:space="preserve">member utilities, and </w:t>
            </w:r>
          </w:p>
          <w:p w14:paraId="14765643" w14:textId="77777777" w:rsidR="00E52943" w:rsidRPr="00316837" w:rsidRDefault="00E52943"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trade instruments (types of contract, short-term trade).</w:t>
            </w:r>
          </w:p>
          <w:p w14:paraId="06B8307F" w14:textId="0A528734" w:rsidR="00E52943" w:rsidRPr="00316837" w:rsidRDefault="00E52943" w:rsidP="00E52943">
            <w:pPr>
              <w:spacing w:before="120" w:after="120"/>
              <w:jc w:val="left"/>
              <w:rPr>
                <w:rFonts w:eastAsia="Calibri"/>
                <w:sz w:val="18"/>
                <w:szCs w:val="18"/>
              </w:rPr>
            </w:pPr>
            <w:r w:rsidRPr="00316837">
              <w:rPr>
                <w:rFonts w:eastAsia="Calibri"/>
                <w:sz w:val="18"/>
                <w:szCs w:val="18"/>
              </w:rPr>
              <w:t xml:space="preserve">Agree wheeling charges by the parties. </w:t>
            </w:r>
          </w:p>
          <w:p w14:paraId="1B19894B" w14:textId="05168A53" w:rsidR="00E52943" w:rsidRPr="00316837" w:rsidRDefault="00E52943" w:rsidP="00E52943">
            <w:pPr>
              <w:spacing w:before="120" w:after="120"/>
              <w:jc w:val="left"/>
              <w:rPr>
                <w:rFonts w:eastAsia="Calibri"/>
                <w:sz w:val="18"/>
                <w:szCs w:val="18"/>
              </w:rPr>
            </w:pPr>
            <w:r w:rsidRPr="00316837">
              <w:rPr>
                <w:rFonts w:eastAsia="Calibri"/>
                <w:sz w:val="18"/>
                <w:szCs w:val="18"/>
              </w:rPr>
              <w:t xml:space="preserve">Coordinate regional </w:t>
            </w:r>
            <w:r w:rsidR="004F289C" w:rsidRPr="00316837">
              <w:rPr>
                <w:rFonts w:eastAsia="Calibri"/>
                <w:sz w:val="18"/>
                <w:szCs w:val="18"/>
              </w:rPr>
              <w:t xml:space="preserve">electricity </w:t>
            </w:r>
            <w:r w:rsidRPr="00316837">
              <w:rPr>
                <w:rFonts w:eastAsia="Calibri"/>
                <w:sz w:val="18"/>
                <w:szCs w:val="18"/>
              </w:rPr>
              <w:t xml:space="preserve">trade </w:t>
            </w:r>
            <w:r w:rsidR="004F289C" w:rsidRPr="00316837">
              <w:rPr>
                <w:rFonts w:eastAsia="Calibri"/>
                <w:sz w:val="18"/>
                <w:szCs w:val="18"/>
              </w:rPr>
              <w:t>based on</w:t>
            </w:r>
            <w:r w:rsidRPr="00316837">
              <w:rPr>
                <w:rFonts w:eastAsia="Calibri"/>
                <w:sz w:val="18"/>
                <w:szCs w:val="18"/>
              </w:rPr>
              <w:t xml:space="preserve">: </w:t>
            </w:r>
          </w:p>
          <w:p w14:paraId="5DB9D938" w14:textId="16F7AEDF" w:rsidR="00E52943" w:rsidRPr="00316837" w:rsidRDefault="00E52943"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agreement on a harmonisation path towards regional operating standards and procedures as specified in the regional operating code, and</w:t>
            </w:r>
            <w:r w:rsidR="001D4932" w:rsidRPr="00316837">
              <w:rPr>
                <w:rFonts w:ascii="Arial" w:eastAsia="Calibri" w:hAnsi="Arial" w:cs="Arial"/>
                <w:sz w:val="18"/>
                <w:szCs w:val="18"/>
                <w:lang w:val="en-GB"/>
              </w:rPr>
              <w:t xml:space="preserve"> </w:t>
            </w:r>
          </w:p>
          <w:p w14:paraId="5D0D0583" w14:textId="3319BFFD" w:rsidR="00E52943" w:rsidRPr="00316837" w:rsidRDefault="00E52943"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agreements to be signed with the various transmission network management </w:t>
            </w:r>
            <w:r w:rsidRPr="00316837">
              <w:rPr>
                <w:rFonts w:ascii="Arial" w:eastAsia="Calibri" w:hAnsi="Arial" w:cs="Arial"/>
                <w:sz w:val="18"/>
                <w:szCs w:val="18"/>
                <w:lang w:val="en-GB"/>
              </w:rPr>
              <w:lastRenderedPageBreak/>
              <w:t xml:space="preserve">authorities in CAPP member states to draw up a plan enabling them to comply with regional standards. </w:t>
            </w:r>
          </w:p>
        </w:tc>
      </w:tr>
      <w:tr w:rsidR="00D873C4" w:rsidRPr="00316837" w14:paraId="4E0F7A29" w14:textId="57996800" w:rsidTr="00D873C4">
        <w:tc>
          <w:tcPr>
            <w:tcW w:w="727" w:type="dxa"/>
            <w:vMerge/>
          </w:tcPr>
          <w:p w14:paraId="71C0D966" w14:textId="77777777" w:rsidR="00D873C4" w:rsidRPr="00316837" w:rsidRDefault="00D873C4" w:rsidP="00260A9C">
            <w:pPr>
              <w:spacing w:before="120" w:after="120"/>
              <w:jc w:val="left"/>
              <w:rPr>
                <w:rFonts w:eastAsia="Calibri"/>
                <w:sz w:val="18"/>
                <w:szCs w:val="18"/>
              </w:rPr>
            </w:pPr>
          </w:p>
        </w:tc>
        <w:tc>
          <w:tcPr>
            <w:tcW w:w="1126" w:type="dxa"/>
            <w:vMerge/>
          </w:tcPr>
          <w:p w14:paraId="0E612335" w14:textId="77777777" w:rsidR="00D873C4" w:rsidRPr="00316837" w:rsidRDefault="00D873C4" w:rsidP="00260A9C">
            <w:pPr>
              <w:spacing w:before="120" w:after="120"/>
              <w:jc w:val="left"/>
              <w:rPr>
                <w:rFonts w:eastAsia="Calibri"/>
                <w:sz w:val="18"/>
                <w:szCs w:val="18"/>
              </w:rPr>
            </w:pPr>
          </w:p>
        </w:tc>
        <w:tc>
          <w:tcPr>
            <w:tcW w:w="1403" w:type="dxa"/>
          </w:tcPr>
          <w:p w14:paraId="3F905330" w14:textId="36FC54F0" w:rsidR="00D873C4" w:rsidRPr="00316837" w:rsidRDefault="00D873C4" w:rsidP="00260A9C">
            <w:pPr>
              <w:spacing w:before="120" w:after="120"/>
              <w:jc w:val="left"/>
              <w:rPr>
                <w:rFonts w:eastAsia="Calibri"/>
                <w:sz w:val="18"/>
                <w:szCs w:val="18"/>
              </w:rPr>
            </w:pPr>
            <w:r w:rsidRPr="00316837">
              <w:rPr>
                <w:rFonts w:eastAsia="Calibri"/>
                <w:sz w:val="18"/>
                <w:szCs w:val="18"/>
              </w:rPr>
              <w:t>Setting up of the missing institutions required to prepare Phase 2 of the regional electricity market</w:t>
            </w:r>
            <w:r w:rsidR="001D4932" w:rsidRPr="00316837">
              <w:rPr>
                <w:rFonts w:eastAsia="Calibri"/>
                <w:sz w:val="18"/>
                <w:szCs w:val="18"/>
              </w:rPr>
              <w:t xml:space="preserve"> </w:t>
            </w:r>
          </w:p>
        </w:tc>
        <w:tc>
          <w:tcPr>
            <w:tcW w:w="2268" w:type="dxa"/>
          </w:tcPr>
          <w:p w14:paraId="3BC6309F" w14:textId="77777777" w:rsidR="00D873C4" w:rsidRPr="00316837" w:rsidRDefault="00D873C4" w:rsidP="00260A9C">
            <w:pPr>
              <w:spacing w:before="120" w:after="120"/>
              <w:jc w:val="left"/>
              <w:rPr>
                <w:rFonts w:eastAsia="Calibri"/>
                <w:sz w:val="18"/>
                <w:szCs w:val="18"/>
              </w:rPr>
            </w:pPr>
            <w:r w:rsidRPr="00316837">
              <w:rPr>
                <w:rFonts w:eastAsia="Calibri"/>
                <w:sz w:val="18"/>
                <w:szCs w:val="18"/>
              </w:rPr>
              <w:t xml:space="preserve">Two institutions remain to be created: </w:t>
            </w:r>
          </w:p>
          <w:p w14:paraId="2243EA0B" w14:textId="05A19169" w:rsidR="00D873C4" w:rsidRPr="00316837" w:rsidRDefault="00D873C4"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the Central Africa Regional Electricity Regulation Commission, and </w:t>
            </w:r>
          </w:p>
          <w:p w14:paraId="1ED4355A" w14:textId="6D1E5245" w:rsidR="00D873C4" w:rsidRPr="00316837" w:rsidRDefault="00D873C4" w:rsidP="00AB7DB1">
            <w:pPr>
              <w:pStyle w:val="ListParagraph"/>
              <w:numPr>
                <w:ilvl w:val="0"/>
                <w:numId w:val="20"/>
              </w:numPr>
              <w:spacing w:before="120" w:line="288" w:lineRule="auto"/>
              <w:jc w:val="left"/>
              <w:rPr>
                <w:rFonts w:eastAsia="Calibri"/>
                <w:sz w:val="18"/>
                <w:szCs w:val="18"/>
                <w:lang w:val="en-GB"/>
              </w:rPr>
            </w:pPr>
            <w:r w:rsidRPr="00316837">
              <w:rPr>
                <w:rFonts w:ascii="Arial" w:eastAsia="Calibri" w:hAnsi="Arial" w:cs="Arial"/>
                <w:sz w:val="18"/>
                <w:szCs w:val="18"/>
                <w:lang w:val="en-GB"/>
              </w:rPr>
              <w:t xml:space="preserve">the </w:t>
            </w:r>
            <w:r w:rsidR="00533C25" w:rsidRPr="00316837">
              <w:rPr>
                <w:rFonts w:ascii="Arial" w:eastAsia="Calibri" w:hAnsi="Arial" w:cs="Arial"/>
                <w:sz w:val="18"/>
                <w:szCs w:val="18"/>
                <w:lang w:val="en-GB"/>
              </w:rPr>
              <w:t>RSMO</w:t>
            </w:r>
            <w:r w:rsidR="004F289C" w:rsidRPr="00316837">
              <w:rPr>
                <w:rFonts w:ascii="Arial" w:eastAsia="Calibri" w:hAnsi="Arial" w:cs="Arial"/>
                <w:sz w:val="18"/>
                <w:szCs w:val="18"/>
                <w:lang w:val="en-GB"/>
              </w:rPr>
              <w:t>.</w:t>
            </w:r>
            <w:r w:rsidRPr="00316837">
              <w:rPr>
                <w:rFonts w:ascii="Arial" w:eastAsia="Calibri" w:hAnsi="Arial" w:cs="Arial"/>
                <w:sz w:val="18"/>
                <w:szCs w:val="18"/>
                <w:lang w:val="en-GB"/>
              </w:rPr>
              <w:t xml:space="preserve"> </w:t>
            </w:r>
          </w:p>
        </w:tc>
        <w:tc>
          <w:tcPr>
            <w:tcW w:w="4105" w:type="dxa"/>
          </w:tcPr>
          <w:p w14:paraId="22E87982" w14:textId="4FEA553A" w:rsidR="00D873C4" w:rsidRPr="00316837" w:rsidRDefault="00E52943" w:rsidP="00260A9C">
            <w:pPr>
              <w:spacing w:before="120" w:after="120"/>
              <w:jc w:val="left"/>
              <w:rPr>
                <w:rFonts w:eastAsia="Calibri"/>
                <w:sz w:val="18"/>
                <w:szCs w:val="18"/>
              </w:rPr>
            </w:pPr>
            <w:r w:rsidRPr="00316837">
              <w:rPr>
                <w:rFonts w:eastAsia="Calibri"/>
                <w:sz w:val="18"/>
                <w:szCs w:val="18"/>
              </w:rPr>
              <w:t>Finalise the preparation and setting up of the Central Africa Regional Electricity Regulation Commission</w:t>
            </w:r>
            <w:r w:rsidR="004F289C" w:rsidRPr="00316837">
              <w:t xml:space="preserve"> </w:t>
            </w:r>
            <w:r w:rsidR="004F289C" w:rsidRPr="00316837">
              <w:rPr>
                <w:rFonts w:eastAsia="Calibri"/>
                <w:sz w:val="18"/>
                <w:szCs w:val="18"/>
              </w:rPr>
              <w:t>for supervision of drafting and recommendation of rules, application of rules, adoption of decisions on pricing, consideration of the components of the regional master plan, and conflict resolution</w:t>
            </w:r>
            <w:r w:rsidRPr="00316837">
              <w:rPr>
                <w:rFonts w:eastAsia="Calibri"/>
                <w:sz w:val="18"/>
                <w:szCs w:val="18"/>
              </w:rPr>
              <w:t xml:space="preserve">. </w:t>
            </w:r>
          </w:p>
          <w:p w14:paraId="3337BA0B" w14:textId="0953504F" w:rsidR="00E52943" w:rsidRPr="00316837" w:rsidRDefault="00E52943" w:rsidP="00260A9C">
            <w:pPr>
              <w:spacing w:before="120" w:after="120"/>
              <w:jc w:val="left"/>
              <w:rPr>
                <w:rFonts w:eastAsia="Calibri"/>
                <w:sz w:val="18"/>
                <w:szCs w:val="18"/>
              </w:rPr>
            </w:pPr>
            <w:r w:rsidRPr="00316837">
              <w:rPr>
                <w:rFonts w:eastAsia="Calibri"/>
                <w:sz w:val="18"/>
                <w:szCs w:val="18"/>
              </w:rPr>
              <w:t xml:space="preserve">Prepare to create the institution that will play the role of the </w:t>
            </w:r>
            <w:r w:rsidR="00533C25" w:rsidRPr="00316837">
              <w:rPr>
                <w:rFonts w:eastAsia="Calibri"/>
                <w:sz w:val="18"/>
                <w:szCs w:val="18"/>
              </w:rPr>
              <w:t>RSMO</w:t>
            </w:r>
            <w:r w:rsidR="004F289C" w:rsidRPr="00316837">
              <w:t xml:space="preserve"> </w:t>
            </w:r>
            <w:r w:rsidR="004F289C" w:rsidRPr="00316837">
              <w:rPr>
                <w:rFonts w:eastAsia="Calibri"/>
                <w:sz w:val="18"/>
                <w:szCs w:val="18"/>
              </w:rPr>
              <w:t>for establishing and integrating the technical rules for operation, management and determination of prices of cross-border power flows through monitoring developments in the national electricity sectors, periodically analysing the economic and technical viability of arrangements for cross-border electricity trade among users of the transmission network, maintaining and monitoring the technical performance of the electricity utilities, and facilitating the drafting of technical standards and requirements to collect and process useful data</w:t>
            </w:r>
            <w:r w:rsidRPr="00316837">
              <w:rPr>
                <w:rFonts w:eastAsia="Calibri"/>
                <w:sz w:val="18"/>
                <w:szCs w:val="18"/>
              </w:rPr>
              <w:t>.</w:t>
            </w:r>
            <w:r w:rsidR="001D4932" w:rsidRPr="00316837">
              <w:rPr>
                <w:rFonts w:eastAsia="Calibri"/>
                <w:sz w:val="18"/>
                <w:szCs w:val="18"/>
              </w:rPr>
              <w:t xml:space="preserve"> </w:t>
            </w:r>
          </w:p>
        </w:tc>
      </w:tr>
      <w:tr w:rsidR="00D873C4" w:rsidRPr="00316837" w14:paraId="33DCB3E9" w14:textId="7BE8FD00" w:rsidTr="00D873C4">
        <w:tc>
          <w:tcPr>
            <w:tcW w:w="727" w:type="dxa"/>
            <w:vMerge w:val="restart"/>
          </w:tcPr>
          <w:p w14:paraId="4DCBB37E" w14:textId="34EED1C7" w:rsidR="00D873C4" w:rsidRPr="00316837" w:rsidRDefault="00D873C4" w:rsidP="00260A9C">
            <w:pPr>
              <w:spacing w:before="120" w:after="120"/>
              <w:jc w:val="left"/>
              <w:rPr>
                <w:rFonts w:eastAsia="Calibri"/>
                <w:sz w:val="18"/>
                <w:szCs w:val="18"/>
              </w:rPr>
            </w:pPr>
            <w:r w:rsidRPr="00316837">
              <w:rPr>
                <w:rFonts w:eastAsia="Calibri"/>
                <w:sz w:val="18"/>
                <w:szCs w:val="18"/>
              </w:rPr>
              <w:t>2</w:t>
            </w:r>
          </w:p>
        </w:tc>
        <w:tc>
          <w:tcPr>
            <w:tcW w:w="1126" w:type="dxa"/>
            <w:vMerge w:val="restart"/>
          </w:tcPr>
          <w:p w14:paraId="0751101B" w14:textId="5C3CA75C" w:rsidR="00D873C4" w:rsidRPr="00316837" w:rsidRDefault="00D873C4" w:rsidP="00260A9C">
            <w:pPr>
              <w:spacing w:before="120" w:after="120"/>
              <w:jc w:val="left"/>
              <w:rPr>
                <w:rFonts w:eastAsia="Calibri"/>
                <w:sz w:val="18"/>
                <w:szCs w:val="18"/>
              </w:rPr>
            </w:pPr>
            <w:r w:rsidRPr="00316837">
              <w:rPr>
                <w:rFonts w:eastAsia="Calibri"/>
                <w:sz w:val="18"/>
                <w:szCs w:val="18"/>
              </w:rPr>
              <w:t>2020-2030</w:t>
            </w:r>
            <w:r w:rsidR="001D4932" w:rsidRPr="00316837">
              <w:rPr>
                <w:rFonts w:eastAsia="Calibri"/>
                <w:sz w:val="18"/>
                <w:szCs w:val="18"/>
              </w:rPr>
              <w:t xml:space="preserve"> </w:t>
            </w:r>
          </w:p>
          <w:p w14:paraId="1AB1C3D0" w14:textId="1DED6B43" w:rsidR="00D873C4" w:rsidRPr="00316837" w:rsidRDefault="00D873C4" w:rsidP="00260A9C">
            <w:pPr>
              <w:spacing w:before="120" w:after="120"/>
              <w:jc w:val="left"/>
              <w:rPr>
                <w:rFonts w:eastAsia="Calibri"/>
                <w:sz w:val="18"/>
                <w:szCs w:val="18"/>
              </w:rPr>
            </w:pPr>
            <w:r w:rsidRPr="00316837">
              <w:rPr>
                <w:rFonts w:eastAsia="Calibri"/>
                <w:sz w:val="18"/>
                <w:szCs w:val="18"/>
              </w:rPr>
              <w:t>(long-term)</w:t>
            </w:r>
            <w:r w:rsidR="001D4932" w:rsidRPr="00316837">
              <w:rPr>
                <w:rFonts w:eastAsia="Calibri"/>
                <w:sz w:val="18"/>
                <w:szCs w:val="18"/>
              </w:rPr>
              <w:t xml:space="preserve"> </w:t>
            </w:r>
          </w:p>
        </w:tc>
        <w:tc>
          <w:tcPr>
            <w:tcW w:w="1403" w:type="dxa"/>
          </w:tcPr>
          <w:p w14:paraId="30B1D0A4" w14:textId="38389FF7" w:rsidR="00D873C4" w:rsidRPr="00316837" w:rsidRDefault="00D873C4" w:rsidP="00D37A32">
            <w:pPr>
              <w:spacing w:before="120" w:after="120"/>
              <w:jc w:val="left"/>
              <w:rPr>
                <w:rFonts w:eastAsia="Calibri"/>
                <w:sz w:val="18"/>
                <w:szCs w:val="18"/>
              </w:rPr>
            </w:pPr>
            <w:r w:rsidRPr="00316837">
              <w:rPr>
                <w:rFonts w:eastAsia="Calibri"/>
                <w:sz w:val="18"/>
                <w:szCs w:val="18"/>
              </w:rPr>
              <w:t>Bringing into operation of all regional infrastructure associated with all the priority infrastructure projects and establish</w:t>
            </w:r>
            <w:r w:rsidR="00E52943" w:rsidRPr="00316837">
              <w:rPr>
                <w:rFonts w:eastAsia="Calibri"/>
                <w:sz w:val="18"/>
                <w:szCs w:val="18"/>
              </w:rPr>
              <w:t xml:space="preserve">ing the </w:t>
            </w:r>
            <w:r w:rsidRPr="00316837">
              <w:rPr>
                <w:rFonts w:eastAsia="Calibri"/>
                <w:sz w:val="18"/>
                <w:szCs w:val="18"/>
              </w:rPr>
              <w:t>rules for pooling this infrastructure</w:t>
            </w:r>
            <w:r w:rsidR="001D4932" w:rsidRPr="00316837">
              <w:rPr>
                <w:rFonts w:eastAsia="Calibri"/>
                <w:sz w:val="18"/>
                <w:szCs w:val="18"/>
              </w:rPr>
              <w:t xml:space="preserve"> </w:t>
            </w:r>
          </w:p>
        </w:tc>
        <w:tc>
          <w:tcPr>
            <w:tcW w:w="2268" w:type="dxa"/>
          </w:tcPr>
          <w:p w14:paraId="407BBF0A" w14:textId="77777777" w:rsidR="00D873C4" w:rsidRPr="00316837" w:rsidRDefault="00D873C4" w:rsidP="004F289C">
            <w:pPr>
              <w:spacing w:before="120"/>
              <w:jc w:val="left"/>
              <w:rPr>
                <w:rFonts w:eastAsia="Calibri" w:cs="Arial"/>
                <w:sz w:val="18"/>
                <w:szCs w:val="18"/>
              </w:rPr>
            </w:pPr>
            <w:r w:rsidRPr="00316837">
              <w:rPr>
                <w:rFonts w:eastAsia="Calibri" w:cs="Arial"/>
                <w:sz w:val="18"/>
                <w:szCs w:val="18"/>
              </w:rPr>
              <w:t xml:space="preserve">The pooling within the regional electricity market of the now operating infrastructure presupposes that: </w:t>
            </w:r>
          </w:p>
          <w:p w14:paraId="3C7EB53F" w14:textId="1DA6F740" w:rsidR="00D873C4" w:rsidRPr="00316837" w:rsidRDefault="00D873C4"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the rules will have been agreed, </w:t>
            </w:r>
          </w:p>
          <w:p w14:paraId="1C58E9FB" w14:textId="304510C3" w:rsidR="004F289C" w:rsidRPr="00316837" w:rsidRDefault="00D873C4"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a planning process will have been set up</w:t>
            </w:r>
            <w:r w:rsidR="004F289C" w:rsidRPr="00316837">
              <w:rPr>
                <w:rFonts w:ascii="Arial" w:eastAsia="Calibri" w:hAnsi="Arial" w:cs="Arial"/>
                <w:sz w:val="18"/>
                <w:szCs w:val="18"/>
                <w:lang w:val="en-GB"/>
              </w:rPr>
              <w:t xml:space="preserve">, </w:t>
            </w:r>
          </w:p>
          <w:p w14:paraId="64A0E334" w14:textId="7EEF25C2" w:rsidR="004F289C" w:rsidRPr="00316837" w:rsidRDefault="004F289C"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transit and wheeling charges will have been developed and adopted, and </w:t>
            </w:r>
          </w:p>
          <w:p w14:paraId="309DE165" w14:textId="21088985" w:rsidR="00D873C4" w:rsidRPr="00316837" w:rsidRDefault="004F289C"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a longer-term vision will have been elaborated.</w:t>
            </w:r>
            <w:r w:rsidR="00D873C4" w:rsidRPr="00316837">
              <w:rPr>
                <w:rFonts w:ascii="Arial" w:eastAsia="Calibri" w:hAnsi="Arial" w:cs="Arial"/>
                <w:sz w:val="18"/>
                <w:szCs w:val="18"/>
                <w:lang w:val="en-GB"/>
              </w:rPr>
              <w:t xml:space="preserve"> </w:t>
            </w:r>
          </w:p>
        </w:tc>
        <w:tc>
          <w:tcPr>
            <w:tcW w:w="4105" w:type="dxa"/>
          </w:tcPr>
          <w:p w14:paraId="0824C111" w14:textId="77777777" w:rsidR="004F289C" w:rsidRPr="00316837" w:rsidRDefault="004F289C" w:rsidP="00260A9C">
            <w:pPr>
              <w:spacing w:before="120" w:after="120"/>
              <w:jc w:val="left"/>
              <w:rPr>
                <w:rFonts w:eastAsia="Calibri"/>
                <w:sz w:val="18"/>
                <w:szCs w:val="18"/>
              </w:rPr>
            </w:pPr>
            <w:r w:rsidRPr="00316837">
              <w:rPr>
                <w:rFonts w:eastAsia="Calibri"/>
                <w:sz w:val="18"/>
                <w:szCs w:val="18"/>
              </w:rPr>
              <w:t>Agree upon the rules to share the costs and benefits of the regional priority infrastructure projects that will now all be in operation.</w:t>
            </w:r>
          </w:p>
          <w:p w14:paraId="4AB85DFE" w14:textId="189100F3" w:rsidR="004F289C" w:rsidRPr="00316837" w:rsidRDefault="004F289C" w:rsidP="00260A9C">
            <w:pPr>
              <w:spacing w:before="120" w:after="120"/>
              <w:jc w:val="left"/>
              <w:rPr>
                <w:rFonts w:eastAsia="Calibri"/>
                <w:sz w:val="18"/>
                <w:szCs w:val="18"/>
              </w:rPr>
            </w:pPr>
            <w:r w:rsidRPr="00316837">
              <w:rPr>
                <w:rFonts w:eastAsia="Calibri"/>
                <w:sz w:val="18"/>
                <w:szCs w:val="18"/>
              </w:rPr>
              <w:t xml:space="preserve">Settle the terms and conditions for completing projects that are delayed. </w:t>
            </w:r>
          </w:p>
          <w:p w14:paraId="0DDE27F2" w14:textId="4597770C" w:rsidR="004F289C" w:rsidRPr="00316837" w:rsidRDefault="004F289C" w:rsidP="00260A9C">
            <w:pPr>
              <w:spacing w:before="120" w:after="120"/>
              <w:jc w:val="left"/>
              <w:rPr>
                <w:rFonts w:eastAsia="Calibri"/>
                <w:sz w:val="18"/>
                <w:szCs w:val="18"/>
              </w:rPr>
            </w:pPr>
            <w:r w:rsidRPr="00316837">
              <w:rPr>
                <w:rFonts w:eastAsia="Calibri"/>
                <w:sz w:val="18"/>
                <w:szCs w:val="18"/>
              </w:rPr>
              <w:t xml:space="preserve">Set up a planning process that involves regional optimisation concepts and enables </w:t>
            </w:r>
            <w:r w:rsidR="008F32C0" w:rsidRPr="00316837">
              <w:rPr>
                <w:rFonts w:eastAsia="Calibri"/>
                <w:sz w:val="18"/>
                <w:szCs w:val="18"/>
              </w:rPr>
              <w:t>CAPP</w:t>
            </w:r>
            <w:r w:rsidRPr="00316837">
              <w:rPr>
                <w:rFonts w:eastAsia="Calibri"/>
                <w:sz w:val="18"/>
                <w:szCs w:val="18"/>
              </w:rPr>
              <w:t xml:space="preserve"> member </w:t>
            </w:r>
            <w:r w:rsidR="008F32C0" w:rsidRPr="00316837">
              <w:rPr>
                <w:rFonts w:eastAsia="Calibri"/>
                <w:sz w:val="18"/>
                <w:szCs w:val="18"/>
              </w:rPr>
              <w:t>states</w:t>
            </w:r>
            <w:r w:rsidRPr="00316837">
              <w:rPr>
                <w:rFonts w:eastAsia="Calibri"/>
                <w:sz w:val="18"/>
                <w:szCs w:val="18"/>
              </w:rPr>
              <w:t xml:space="preserve"> to take decisions regarding their respective national expansion plans in line with the regional plan. </w:t>
            </w:r>
          </w:p>
          <w:p w14:paraId="21A2036A" w14:textId="448C0569" w:rsidR="00D873C4" w:rsidRPr="00316837" w:rsidRDefault="00E52943" w:rsidP="00260A9C">
            <w:pPr>
              <w:spacing w:before="120" w:after="120"/>
              <w:jc w:val="left"/>
              <w:rPr>
                <w:rFonts w:eastAsia="Calibri"/>
                <w:sz w:val="18"/>
                <w:szCs w:val="18"/>
              </w:rPr>
            </w:pPr>
            <w:r w:rsidRPr="00316837">
              <w:rPr>
                <w:rFonts w:eastAsia="Calibri"/>
                <w:sz w:val="18"/>
                <w:szCs w:val="18"/>
              </w:rPr>
              <w:t xml:space="preserve">Develop bilateral agreements on transit across third-party countries using standardised trade instruments. </w:t>
            </w:r>
          </w:p>
          <w:p w14:paraId="6357898F" w14:textId="77777777" w:rsidR="004F289C" w:rsidRPr="00316837" w:rsidRDefault="004F289C" w:rsidP="004F289C">
            <w:pPr>
              <w:spacing w:before="120" w:after="120"/>
              <w:jc w:val="left"/>
              <w:rPr>
                <w:rFonts w:eastAsia="Calibri"/>
                <w:sz w:val="18"/>
                <w:szCs w:val="18"/>
              </w:rPr>
            </w:pPr>
            <w:r w:rsidRPr="00316837">
              <w:rPr>
                <w:rFonts w:eastAsia="Calibri"/>
                <w:sz w:val="18"/>
                <w:szCs w:val="18"/>
              </w:rPr>
              <w:t xml:space="preserve">Adopt regional wheeling charges. </w:t>
            </w:r>
          </w:p>
          <w:p w14:paraId="5E72F5A3" w14:textId="77777777" w:rsidR="00E52943" w:rsidRPr="00316837" w:rsidRDefault="00E52943" w:rsidP="00260A9C">
            <w:pPr>
              <w:spacing w:before="120" w:after="120"/>
              <w:jc w:val="left"/>
              <w:rPr>
                <w:rFonts w:eastAsia="Calibri"/>
                <w:sz w:val="18"/>
                <w:szCs w:val="18"/>
              </w:rPr>
            </w:pPr>
            <w:r w:rsidRPr="00316837">
              <w:rPr>
                <w:rFonts w:eastAsia="Calibri"/>
                <w:sz w:val="18"/>
                <w:szCs w:val="18"/>
              </w:rPr>
              <w:t xml:space="preserve">Perform the first short-term trade transactions over the regional electricity market and not solely via bilateral agreements. </w:t>
            </w:r>
          </w:p>
          <w:p w14:paraId="343EF45E" w14:textId="48AE0C7C" w:rsidR="00E52943" w:rsidRPr="00316837" w:rsidRDefault="00E52943" w:rsidP="00E52943">
            <w:pPr>
              <w:spacing w:before="120" w:after="120"/>
              <w:jc w:val="left"/>
              <w:rPr>
                <w:rFonts w:eastAsia="Calibri"/>
                <w:sz w:val="18"/>
                <w:szCs w:val="18"/>
              </w:rPr>
            </w:pPr>
            <w:r w:rsidRPr="00316837">
              <w:rPr>
                <w:rFonts w:eastAsia="Calibri"/>
                <w:sz w:val="18"/>
                <w:szCs w:val="18"/>
              </w:rPr>
              <w:t xml:space="preserve">Elaborate a longer-term vision with a liquid regional electricity market with more sophisticated trade transactions (day-ahead, dynamic trade, etc.). </w:t>
            </w:r>
          </w:p>
        </w:tc>
      </w:tr>
      <w:tr w:rsidR="00D873C4" w:rsidRPr="00316837" w14:paraId="53F5FC75" w14:textId="6E318E4A" w:rsidTr="00D873C4">
        <w:tc>
          <w:tcPr>
            <w:tcW w:w="727" w:type="dxa"/>
            <w:vMerge/>
          </w:tcPr>
          <w:p w14:paraId="6FDE1EDC" w14:textId="77777777" w:rsidR="00D873C4" w:rsidRPr="00316837" w:rsidRDefault="00D873C4" w:rsidP="00260A9C">
            <w:pPr>
              <w:spacing w:before="120" w:after="120"/>
              <w:jc w:val="left"/>
              <w:rPr>
                <w:rFonts w:eastAsia="Calibri"/>
                <w:sz w:val="18"/>
                <w:szCs w:val="18"/>
              </w:rPr>
            </w:pPr>
          </w:p>
        </w:tc>
        <w:tc>
          <w:tcPr>
            <w:tcW w:w="1126" w:type="dxa"/>
            <w:vMerge/>
          </w:tcPr>
          <w:p w14:paraId="3752D01D" w14:textId="77777777" w:rsidR="00D873C4" w:rsidRPr="00316837" w:rsidRDefault="00D873C4" w:rsidP="00260A9C">
            <w:pPr>
              <w:spacing w:before="120" w:after="120"/>
              <w:jc w:val="left"/>
              <w:rPr>
                <w:rFonts w:eastAsia="Calibri"/>
                <w:sz w:val="18"/>
                <w:szCs w:val="18"/>
              </w:rPr>
            </w:pPr>
          </w:p>
        </w:tc>
        <w:tc>
          <w:tcPr>
            <w:tcW w:w="1403" w:type="dxa"/>
          </w:tcPr>
          <w:p w14:paraId="7F06BB7A" w14:textId="6F5D8A2A" w:rsidR="00D873C4" w:rsidRPr="00316837" w:rsidRDefault="00D873C4" w:rsidP="00260A9C">
            <w:pPr>
              <w:spacing w:before="120" w:after="120"/>
              <w:jc w:val="left"/>
              <w:rPr>
                <w:rFonts w:eastAsia="Calibri"/>
                <w:sz w:val="18"/>
                <w:szCs w:val="18"/>
              </w:rPr>
            </w:pPr>
            <w:r w:rsidRPr="00316837">
              <w:rPr>
                <w:rFonts w:eastAsia="Calibri"/>
                <w:sz w:val="18"/>
                <w:szCs w:val="18"/>
              </w:rPr>
              <w:t>Coming of age of the institutions that are now all in place</w:t>
            </w:r>
            <w:r w:rsidR="001D4932" w:rsidRPr="00316837">
              <w:rPr>
                <w:rFonts w:eastAsia="Calibri"/>
                <w:sz w:val="18"/>
                <w:szCs w:val="18"/>
              </w:rPr>
              <w:t xml:space="preserve"> </w:t>
            </w:r>
          </w:p>
        </w:tc>
        <w:tc>
          <w:tcPr>
            <w:tcW w:w="2268" w:type="dxa"/>
          </w:tcPr>
          <w:p w14:paraId="274136FE" w14:textId="7109414C" w:rsidR="00D873C4" w:rsidRPr="00316837" w:rsidRDefault="00D873C4" w:rsidP="00D37A32">
            <w:pPr>
              <w:spacing w:before="120" w:after="120"/>
              <w:jc w:val="left"/>
              <w:rPr>
                <w:rFonts w:eastAsia="Calibri"/>
                <w:sz w:val="18"/>
                <w:szCs w:val="18"/>
              </w:rPr>
            </w:pPr>
            <w:r w:rsidRPr="00316837">
              <w:rPr>
                <w:rFonts w:eastAsia="Calibri"/>
                <w:sz w:val="18"/>
                <w:szCs w:val="18"/>
              </w:rPr>
              <w:t>From the institutional point of view, the</w:t>
            </w:r>
            <w:r w:rsidR="004F289C" w:rsidRPr="00316837">
              <w:rPr>
                <w:rFonts w:eastAsia="Calibri"/>
                <w:sz w:val="18"/>
                <w:szCs w:val="18"/>
              </w:rPr>
              <w:t xml:space="preserve"> following institutions </w:t>
            </w:r>
            <w:r w:rsidRPr="00316837">
              <w:rPr>
                <w:rFonts w:eastAsia="Calibri"/>
                <w:sz w:val="18"/>
                <w:szCs w:val="18"/>
              </w:rPr>
              <w:t xml:space="preserve">will all have now been created and will be operational, fulfilling their </w:t>
            </w:r>
            <w:r w:rsidRPr="00316837">
              <w:rPr>
                <w:rFonts w:eastAsia="Calibri"/>
                <w:sz w:val="18"/>
                <w:szCs w:val="18"/>
              </w:rPr>
              <w:lastRenderedPageBreak/>
              <w:t>role on a day-to-day basis</w:t>
            </w:r>
            <w:r w:rsidR="004F289C" w:rsidRPr="00316837">
              <w:rPr>
                <w:rFonts w:eastAsia="Calibri"/>
                <w:sz w:val="18"/>
                <w:szCs w:val="18"/>
              </w:rPr>
              <w:t xml:space="preserve">: </w:t>
            </w:r>
          </w:p>
          <w:p w14:paraId="3725CCC0" w14:textId="42D726CD" w:rsidR="00D873C4" w:rsidRPr="00316837" w:rsidRDefault="00D873C4"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the </w:t>
            </w:r>
            <w:r w:rsidR="004F289C" w:rsidRPr="00316837">
              <w:rPr>
                <w:rFonts w:ascii="Arial" w:eastAsia="Calibri" w:hAnsi="Arial" w:cs="Arial"/>
                <w:sz w:val="18"/>
                <w:szCs w:val="18"/>
                <w:lang w:val="en-GB"/>
              </w:rPr>
              <w:t>CAPP Permanent Secretariat and its bodies</w:t>
            </w:r>
            <w:r w:rsidRPr="00316837">
              <w:rPr>
                <w:rFonts w:ascii="Arial" w:eastAsia="Calibri" w:hAnsi="Arial" w:cs="Arial"/>
                <w:sz w:val="18"/>
                <w:szCs w:val="18"/>
                <w:lang w:val="en-GB"/>
              </w:rPr>
              <w:t xml:space="preserve">, </w:t>
            </w:r>
          </w:p>
          <w:p w14:paraId="6A776BDB" w14:textId="5852E314" w:rsidR="00D873C4" w:rsidRPr="00316837" w:rsidRDefault="00D873C4" w:rsidP="00AB7DB1">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the </w:t>
            </w:r>
            <w:r w:rsidR="00E52943" w:rsidRPr="00316837">
              <w:rPr>
                <w:rFonts w:ascii="Arial" w:eastAsia="Calibri" w:hAnsi="Arial" w:cs="Arial"/>
                <w:sz w:val="18"/>
                <w:szCs w:val="18"/>
                <w:lang w:val="en-GB"/>
              </w:rPr>
              <w:t>Central Africa Regional Electricity Regulation Commission</w:t>
            </w:r>
            <w:r w:rsidRPr="00316837">
              <w:rPr>
                <w:rFonts w:ascii="Arial" w:eastAsia="Calibri" w:hAnsi="Arial" w:cs="Arial"/>
                <w:sz w:val="18"/>
                <w:szCs w:val="18"/>
                <w:lang w:val="en-GB"/>
              </w:rPr>
              <w:t xml:space="preserve">, and </w:t>
            </w:r>
          </w:p>
          <w:p w14:paraId="40533A72" w14:textId="5E985455" w:rsidR="00D873C4" w:rsidRPr="00316837" w:rsidRDefault="00D873C4" w:rsidP="00AB7DB1">
            <w:pPr>
              <w:pStyle w:val="ListParagraph"/>
              <w:numPr>
                <w:ilvl w:val="0"/>
                <w:numId w:val="20"/>
              </w:numPr>
              <w:spacing w:before="120" w:line="288" w:lineRule="auto"/>
              <w:jc w:val="left"/>
              <w:rPr>
                <w:rFonts w:eastAsia="Calibri"/>
                <w:sz w:val="18"/>
                <w:szCs w:val="18"/>
                <w:lang w:val="en-GB"/>
              </w:rPr>
            </w:pPr>
            <w:r w:rsidRPr="00316837">
              <w:rPr>
                <w:rFonts w:ascii="Arial" w:eastAsia="Calibri" w:hAnsi="Arial" w:cs="Arial"/>
                <w:sz w:val="18"/>
                <w:szCs w:val="18"/>
                <w:lang w:val="en-GB"/>
              </w:rPr>
              <w:t xml:space="preserve">the </w:t>
            </w:r>
            <w:r w:rsidR="00533C25" w:rsidRPr="00316837">
              <w:rPr>
                <w:rFonts w:ascii="Arial" w:eastAsia="Calibri" w:hAnsi="Arial" w:cs="Arial"/>
                <w:sz w:val="18"/>
                <w:szCs w:val="18"/>
                <w:lang w:val="en-GB"/>
              </w:rPr>
              <w:t>RSMO</w:t>
            </w:r>
            <w:r w:rsidRPr="00316837">
              <w:rPr>
                <w:rFonts w:ascii="Arial" w:eastAsia="Calibri" w:hAnsi="Arial" w:cs="Arial"/>
                <w:sz w:val="18"/>
                <w:szCs w:val="18"/>
                <w:lang w:val="en-GB"/>
              </w:rPr>
              <w:t>.</w:t>
            </w:r>
            <w:r w:rsidRPr="00316837">
              <w:rPr>
                <w:rFonts w:eastAsia="Calibri"/>
                <w:sz w:val="18"/>
                <w:szCs w:val="18"/>
                <w:lang w:val="en-GB"/>
              </w:rPr>
              <w:t xml:space="preserve"> </w:t>
            </w:r>
          </w:p>
        </w:tc>
        <w:tc>
          <w:tcPr>
            <w:tcW w:w="4105" w:type="dxa"/>
          </w:tcPr>
          <w:p w14:paraId="466E7AD5" w14:textId="0B4BB205" w:rsidR="004F289C" w:rsidRPr="00316837" w:rsidRDefault="004F289C" w:rsidP="00E52943">
            <w:pPr>
              <w:spacing w:before="120" w:after="120"/>
              <w:jc w:val="left"/>
              <w:rPr>
                <w:rFonts w:eastAsia="Calibri"/>
                <w:sz w:val="18"/>
                <w:szCs w:val="18"/>
              </w:rPr>
            </w:pPr>
            <w:r w:rsidRPr="00316837">
              <w:rPr>
                <w:rFonts w:eastAsia="Calibri"/>
                <w:sz w:val="18"/>
                <w:szCs w:val="18"/>
              </w:rPr>
              <w:lastRenderedPageBreak/>
              <w:t>Set up the CAPP governance structure (especially the Permanent Secretariat and its bodies)</w:t>
            </w:r>
            <w:r w:rsidRPr="00316837">
              <w:t xml:space="preserve"> </w:t>
            </w:r>
            <w:r w:rsidRPr="00316837">
              <w:rPr>
                <w:rFonts w:eastAsia="Calibri"/>
                <w:sz w:val="18"/>
                <w:szCs w:val="18"/>
              </w:rPr>
              <w:t xml:space="preserve">which carries out its tasks in terms of supervising and coordinating market developments as well as making decisions on the main policy aspects. </w:t>
            </w:r>
          </w:p>
          <w:p w14:paraId="473BF2E3" w14:textId="03F0C2D1" w:rsidR="004F289C" w:rsidRPr="00316837" w:rsidRDefault="004F289C" w:rsidP="00E52943">
            <w:pPr>
              <w:spacing w:before="120" w:after="120"/>
              <w:jc w:val="left"/>
              <w:rPr>
                <w:rFonts w:eastAsia="Calibri"/>
                <w:sz w:val="18"/>
                <w:szCs w:val="18"/>
              </w:rPr>
            </w:pPr>
            <w:r w:rsidRPr="00316837">
              <w:rPr>
                <w:rFonts w:eastAsia="Calibri"/>
                <w:sz w:val="18"/>
                <w:szCs w:val="18"/>
              </w:rPr>
              <w:lastRenderedPageBreak/>
              <w:t>Develop functions of the Central Africa Regional Electricity Regulation Commission which</w:t>
            </w:r>
            <w:r w:rsidRPr="00316837">
              <w:t xml:space="preserve"> </w:t>
            </w:r>
            <w:r w:rsidRPr="00316837">
              <w:rPr>
                <w:rFonts w:eastAsia="Calibri"/>
                <w:sz w:val="18"/>
                <w:szCs w:val="18"/>
              </w:rPr>
              <w:t xml:space="preserve">draws up the Regional Market Rules and standards, applies these, and resolves conflicts among operators/market participants. </w:t>
            </w:r>
          </w:p>
          <w:p w14:paraId="118F6540" w14:textId="2DD657BE" w:rsidR="00E52943" w:rsidRPr="00316837" w:rsidRDefault="00E52943" w:rsidP="00E52943">
            <w:pPr>
              <w:spacing w:before="120" w:after="120"/>
              <w:jc w:val="left"/>
              <w:rPr>
                <w:rFonts w:eastAsia="Calibri"/>
                <w:sz w:val="18"/>
                <w:szCs w:val="18"/>
              </w:rPr>
            </w:pPr>
            <w:r w:rsidRPr="00316837">
              <w:rPr>
                <w:rFonts w:eastAsia="Calibri"/>
                <w:sz w:val="18"/>
                <w:szCs w:val="18"/>
              </w:rPr>
              <w:t xml:space="preserve">Develop functions of the </w:t>
            </w:r>
            <w:r w:rsidR="00533C25" w:rsidRPr="00316837">
              <w:rPr>
                <w:rFonts w:eastAsia="Calibri"/>
                <w:sz w:val="18"/>
                <w:szCs w:val="18"/>
              </w:rPr>
              <w:t>RSMO</w:t>
            </w:r>
            <w:r w:rsidR="004F289C" w:rsidRPr="00316837">
              <w:rPr>
                <w:rFonts w:eastAsia="Calibri"/>
                <w:sz w:val="18"/>
                <w:szCs w:val="18"/>
              </w:rPr>
              <w:t xml:space="preserve"> which ensures the regional standards have been harmonised throughout the Region and that all the countries comply with the minimum standards for operating, planning and constructing infrastructure/assets</w:t>
            </w:r>
            <w:r w:rsidRPr="00316837">
              <w:rPr>
                <w:rFonts w:eastAsia="Calibri"/>
                <w:sz w:val="18"/>
                <w:szCs w:val="18"/>
              </w:rPr>
              <w:t xml:space="preserve">. </w:t>
            </w:r>
          </w:p>
          <w:p w14:paraId="7E2CAC68" w14:textId="2B445CFC" w:rsidR="00E52943" w:rsidRPr="00316837" w:rsidRDefault="00E52943" w:rsidP="00E52943">
            <w:pPr>
              <w:spacing w:before="120" w:after="120"/>
              <w:jc w:val="left"/>
              <w:rPr>
                <w:rFonts w:eastAsia="Calibri"/>
                <w:sz w:val="18"/>
                <w:szCs w:val="18"/>
              </w:rPr>
            </w:pPr>
            <w:r w:rsidRPr="00316837">
              <w:rPr>
                <w:rFonts w:eastAsia="Calibri"/>
                <w:sz w:val="18"/>
                <w:szCs w:val="18"/>
              </w:rPr>
              <w:t xml:space="preserve">Develop a training programme to build capacities of </w:t>
            </w:r>
            <w:r w:rsidR="0015271B" w:rsidRPr="00316837">
              <w:rPr>
                <w:rFonts w:eastAsia="Calibri"/>
                <w:sz w:val="18"/>
                <w:szCs w:val="18"/>
              </w:rPr>
              <w:t>CAPP</w:t>
            </w:r>
            <w:r w:rsidRPr="00316837">
              <w:rPr>
                <w:rFonts w:eastAsia="Calibri"/>
                <w:sz w:val="18"/>
                <w:szCs w:val="18"/>
              </w:rPr>
              <w:t xml:space="preserve"> member utilities to effectively operate in the regional electricity market and trade electricity in a regional context. </w:t>
            </w:r>
          </w:p>
        </w:tc>
      </w:tr>
      <w:tr w:rsidR="00D873C4" w:rsidRPr="00316837" w14:paraId="48A6BAA7" w14:textId="12DF17FB" w:rsidTr="00D873C4">
        <w:tc>
          <w:tcPr>
            <w:tcW w:w="727" w:type="dxa"/>
            <w:vMerge/>
          </w:tcPr>
          <w:p w14:paraId="02A4203F" w14:textId="77777777" w:rsidR="00D873C4" w:rsidRPr="00316837" w:rsidRDefault="00D873C4" w:rsidP="00260A9C">
            <w:pPr>
              <w:spacing w:before="120" w:after="120"/>
              <w:jc w:val="left"/>
              <w:rPr>
                <w:rFonts w:eastAsia="Calibri"/>
                <w:sz w:val="18"/>
                <w:szCs w:val="18"/>
              </w:rPr>
            </w:pPr>
          </w:p>
        </w:tc>
        <w:tc>
          <w:tcPr>
            <w:tcW w:w="1126" w:type="dxa"/>
            <w:vMerge/>
          </w:tcPr>
          <w:p w14:paraId="6D75CD94" w14:textId="77777777" w:rsidR="00D873C4" w:rsidRPr="00316837" w:rsidRDefault="00D873C4" w:rsidP="00260A9C">
            <w:pPr>
              <w:spacing w:before="120" w:after="120"/>
              <w:jc w:val="left"/>
              <w:rPr>
                <w:rFonts w:eastAsia="Calibri"/>
                <w:sz w:val="18"/>
                <w:szCs w:val="18"/>
              </w:rPr>
            </w:pPr>
          </w:p>
        </w:tc>
        <w:tc>
          <w:tcPr>
            <w:tcW w:w="1403" w:type="dxa"/>
          </w:tcPr>
          <w:p w14:paraId="5B5C858D" w14:textId="728A5960" w:rsidR="00D873C4" w:rsidRPr="00316837" w:rsidRDefault="00D873C4" w:rsidP="00260A9C">
            <w:pPr>
              <w:spacing w:before="120" w:after="120"/>
              <w:jc w:val="left"/>
              <w:rPr>
                <w:rFonts w:eastAsia="Calibri"/>
                <w:sz w:val="18"/>
                <w:szCs w:val="18"/>
              </w:rPr>
            </w:pPr>
            <w:r w:rsidRPr="00316837">
              <w:rPr>
                <w:rFonts w:eastAsia="Calibri"/>
                <w:sz w:val="18"/>
                <w:szCs w:val="18"/>
              </w:rPr>
              <w:t>Harmonising national regulations at the regional level</w:t>
            </w:r>
            <w:r w:rsidR="001D4932" w:rsidRPr="00316837">
              <w:rPr>
                <w:rFonts w:eastAsia="Calibri"/>
                <w:sz w:val="18"/>
                <w:szCs w:val="18"/>
              </w:rPr>
              <w:t xml:space="preserve"> </w:t>
            </w:r>
          </w:p>
        </w:tc>
        <w:tc>
          <w:tcPr>
            <w:tcW w:w="2268" w:type="dxa"/>
          </w:tcPr>
          <w:p w14:paraId="077C5A74" w14:textId="60739EDA" w:rsidR="00D873C4" w:rsidRPr="00316837" w:rsidRDefault="00D873C4" w:rsidP="00D873C4">
            <w:pPr>
              <w:spacing w:before="120" w:after="120"/>
              <w:jc w:val="left"/>
              <w:rPr>
                <w:rFonts w:eastAsia="Calibri"/>
                <w:sz w:val="18"/>
                <w:szCs w:val="18"/>
              </w:rPr>
            </w:pPr>
            <w:r w:rsidRPr="00316837">
              <w:rPr>
                <w:rFonts w:eastAsia="Calibri"/>
                <w:sz w:val="18"/>
                <w:szCs w:val="18"/>
              </w:rPr>
              <w:t xml:space="preserve">National regulations will have been harmonised at the regional. </w:t>
            </w:r>
          </w:p>
        </w:tc>
        <w:tc>
          <w:tcPr>
            <w:tcW w:w="4105" w:type="dxa"/>
          </w:tcPr>
          <w:p w14:paraId="13A7B7F3" w14:textId="44A64812" w:rsidR="00D873C4" w:rsidRPr="00316837" w:rsidRDefault="004F289C" w:rsidP="00D873C4">
            <w:pPr>
              <w:spacing w:before="120" w:after="120"/>
              <w:jc w:val="left"/>
              <w:rPr>
                <w:rFonts w:eastAsia="Calibri"/>
                <w:sz w:val="18"/>
                <w:szCs w:val="18"/>
              </w:rPr>
            </w:pPr>
            <w:r w:rsidRPr="00316837">
              <w:rPr>
                <w:rFonts w:eastAsia="Calibri"/>
                <w:sz w:val="18"/>
                <w:szCs w:val="18"/>
              </w:rPr>
              <w:t xml:space="preserve">Harmonise national regulations to facilitate regional electricity trade by means of free access to transmission capacity for grid users (third party access to networks). </w:t>
            </w:r>
          </w:p>
        </w:tc>
      </w:tr>
    </w:tbl>
    <w:p w14:paraId="27A3A522" w14:textId="631DFC06" w:rsidR="007752E8" w:rsidRPr="00316837" w:rsidRDefault="007752E8" w:rsidP="007752E8">
      <w:pPr>
        <w:rPr>
          <w:rFonts w:eastAsia="Calibri"/>
          <w:szCs w:val="20"/>
        </w:rPr>
      </w:pPr>
      <w:r w:rsidRPr="00316837">
        <w:rPr>
          <w:rFonts w:eastAsia="Calibri"/>
          <w:szCs w:val="20"/>
        </w:rPr>
        <w:t>Actions, main activities and sub-activities are further developed for each of the Phases and put into the Action Plan for the regional energy policy strategy for the Central Africa regional energy policy strategy under CAPP (see</w:t>
      </w:r>
      <w:r w:rsidR="00507C15">
        <w:rPr>
          <w:rFonts w:eastAsia="Calibri"/>
          <w:szCs w:val="20"/>
        </w:rPr>
        <w:t xml:space="preserve"> Annex </w:t>
      </w:r>
      <w:r w:rsidR="00507C15">
        <w:rPr>
          <w:rFonts w:eastAsia="Calibri"/>
          <w:szCs w:val="20"/>
        </w:rPr>
        <w:fldChar w:fldCharType="begin"/>
      </w:r>
      <w:r w:rsidR="00507C15">
        <w:rPr>
          <w:rFonts w:eastAsia="Calibri"/>
          <w:szCs w:val="20"/>
        </w:rPr>
        <w:instrText xml:space="preserve"> REF _Ref77255576 \w \h </w:instrText>
      </w:r>
      <w:r w:rsidR="00507C15">
        <w:rPr>
          <w:rFonts w:eastAsia="Calibri"/>
          <w:szCs w:val="20"/>
        </w:rPr>
      </w:r>
      <w:r w:rsidR="00507C15">
        <w:rPr>
          <w:rFonts w:eastAsia="Calibri"/>
          <w:szCs w:val="20"/>
        </w:rPr>
        <w:fldChar w:fldCharType="separate"/>
      </w:r>
      <w:r w:rsidR="00507C15">
        <w:rPr>
          <w:rFonts w:eastAsia="Calibri"/>
          <w:szCs w:val="20"/>
        </w:rPr>
        <w:t>8.6</w:t>
      </w:r>
      <w:r w:rsidR="00507C15">
        <w:rPr>
          <w:rFonts w:eastAsia="Calibri"/>
          <w:szCs w:val="20"/>
        </w:rPr>
        <w:fldChar w:fldCharType="end"/>
      </w:r>
      <w:r w:rsidRPr="00C632F6">
        <w:rPr>
          <w:rFonts w:eastAsia="Calibri"/>
          <w:szCs w:val="20"/>
        </w:rPr>
        <w:t xml:space="preserve">). Actions are divided into five categories of the results-oriented strategic objective prioritisation matrix, and then structured in main activities and sub-activities for the two Phases. </w:t>
      </w:r>
    </w:p>
    <w:p w14:paraId="77DC0F42" w14:textId="1727ED9E" w:rsidR="00C162B4" w:rsidRPr="00316837" w:rsidRDefault="00C162B4" w:rsidP="00C162B4">
      <w:pPr>
        <w:rPr>
          <w:rFonts w:eastAsia="Calibri"/>
          <w:szCs w:val="22"/>
        </w:rPr>
      </w:pPr>
      <w:r w:rsidRPr="00316837">
        <w:rPr>
          <w:rFonts w:eastAsia="Calibri"/>
          <w:szCs w:val="22"/>
        </w:rPr>
        <w:t xml:space="preserve">CAPP will bring immense opportunities and benefits to market participants by pooling the energy resources and creating the regional electricity market in the Central Africa Region. It is also determined to play a role of information and standardisation in terms of pricing, in the sense of a path towards remunerative tariffs, essential for a greater involvement of the private sector. Currently, almost all rates in the Central Africa Region do not reflect the economic costs. With the exception of Chad, which has some of the highest tariffs on the continent, other CAPP member states have for most tariff levels generally lower than the other countries of the continent. This observation is emphasised by a significant level of technical and non-technical losses. Because these rates are not remunerative, and also taking into account the very high level of technical and non-technical losses, CAPP member utilities have very low or even non-existent cash flow margins. So many factors compromise long-term financial viability and capacity to ensure a financial balance of their operation and explain the reluctance of the private sector to get involved alone, or even in public-private partnerships. </w:t>
      </w:r>
    </w:p>
    <w:p w14:paraId="1F90395E" w14:textId="77777777" w:rsidR="00C162B4" w:rsidRPr="00316837" w:rsidRDefault="00C2232E" w:rsidP="00C2232E">
      <w:pPr>
        <w:rPr>
          <w:rFonts w:eastAsia="Calibri"/>
          <w:szCs w:val="22"/>
        </w:rPr>
      </w:pPr>
      <w:r w:rsidRPr="00316837">
        <w:rPr>
          <w:rFonts w:eastAsia="Calibri"/>
          <w:szCs w:val="22"/>
        </w:rPr>
        <w:t xml:space="preserve">All dimensions of energy efficiency are a challenge for countries in the </w:t>
      </w:r>
      <w:r w:rsidR="00C162B4" w:rsidRPr="00316837">
        <w:rPr>
          <w:rFonts w:eastAsia="Calibri"/>
          <w:szCs w:val="22"/>
        </w:rPr>
        <w:t>Central Africa</w:t>
      </w:r>
      <w:r w:rsidRPr="00316837">
        <w:rPr>
          <w:rFonts w:eastAsia="Calibri"/>
          <w:szCs w:val="22"/>
        </w:rPr>
        <w:t xml:space="preserve"> Region. This includes the area of technical and non-technical generation, transmission and distribution losses, as well as efficiency standards for lighting, appliances, buildings and key industries. Only a few </w:t>
      </w:r>
      <w:r w:rsidR="00C162B4" w:rsidRPr="00316837">
        <w:rPr>
          <w:rFonts w:eastAsia="Calibri"/>
          <w:szCs w:val="22"/>
        </w:rPr>
        <w:t>CAPP member</w:t>
      </w:r>
      <w:r w:rsidRPr="00316837">
        <w:rPr>
          <w:rFonts w:eastAsia="Calibri"/>
          <w:szCs w:val="22"/>
        </w:rPr>
        <w:t xml:space="preserve"> </w:t>
      </w:r>
      <w:r w:rsidR="00C162B4" w:rsidRPr="00316837">
        <w:rPr>
          <w:rFonts w:eastAsia="Calibri"/>
          <w:szCs w:val="22"/>
        </w:rPr>
        <w:t>states</w:t>
      </w:r>
      <w:r w:rsidRPr="00316837">
        <w:rPr>
          <w:rFonts w:eastAsia="Calibri"/>
          <w:szCs w:val="22"/>
        </w:rPr>
        <w:t xml:space="preserve"> have adopted effective policies, regulations and standards incentivising the use of renewable energy and energy efficiency solutions. Only three countries (Angola, Cameroon, Rwanda) have set concrete targets of achieving 100% electricity access by 2030. </w:t>
      </w:r>
    </w:p>
    <w:p w14:paraId="042BC4BE" w14:textId="2759A5E2" w:rsidR="00744D32" w:rsidRPr="00316837" w:rsidRDefault="00744D32" w:rsidP="00744D32">
      <w:pPr>
        <w:pStyle w:val="Heading2"/>
        <w:rPr>
          <w:rFonts w:eastAsia="Calibri"/>
        </w:rPr>
      </w:pPr>
      <w:bookmarkStart w:id="126" w:name="_Toc77260301"/>
      <w:r w:rsidRPr="00C632F6">
        <w:rPr>
          <w:rFonts w:eastAsia="Calibri"/>
        </w:rPr>
        <w:t>COMELEC</w:t>
      </w:r>
      <w:bookmarkEnd w:id="126"/>
    </w:p>
    <w:p w14:paraId="09B11BF0" w14:textId="6A679E60" w:rsidR="00E74A28" w:rsidRPr="00316837" w:rsidRDefault="00F260DE" w:rsidP="00E74A28">
      <w:pPr>
        <w:rPr>
          <w:rFonts w:eastAsia="Calibri"/>
        </w:rPr>
      </w:pPr>
      <w:r w:rsidRPr="00316837">
        <w:rPr>
          <w:rFonts w:eastAsia="Calibri"/>
        </w:rPr>
        <w:t>COMELEC</w:t>
      </w:r>
      <w:r w:rsidR="00E74A28" w:rsidRPr="00316837">
        <w:rPr>
          <w:rFonts w:eastAsia="Calibri"/>
        </w:rPr>
        <w:t>, which</w:t>
      </w:r>
      <w:r w:rsidRPr="00316837">
        <w:rPr>
          <w:rFonts w:eastAsia="Calibri"/>
        </w:rPr>
        <w:t xml:space="preserve"> </w:t>
      </w:r>
      <w:r w:rsidR="00E74A28" w:rsidRPr="00316837">
        <w:rPr>
          <w:rFonts w:eastAsia="Calibri"/>
        </w:rPr>
        <w:t xml:space="preserve">was initially created in 1974 and later enlarged in 1975 and 1989, </w:t>
      </w:r>
      <w:r w:rsidR="00436B92" w:rsidRPr="00316837">
        <w:rPr>
          <w:rFonts w:eastAsia="Calibri"/>
        </w:rPr>
        <w:t xml:space="preserve">currently </w:t>
      </w:r>
      <w:r w:rsidR="00E74A28" w:rsidRPr="00316837">
        <w:rPr>
          <w:rFonts w:eastAsia="Calibri"/>
        </w:rPr>
        <w:t xml:space="preserve">acts as a supranational committee of the electricity utilities of the Northern African countries belonging to the AMU. Its permanent nature was confirmed in 1990 by decision of the Ministers responsible for energy of the AMU Member States and its Secretary General. Headquarters of COMELEC are located in Algiers, Algeria (i.e. the General Secretariat of COMELEC is domiciled under the aegis of the Minister responsible for energy of the </w:t>
      </w:r>
      <w:r w:rsidR="00E74A28" w:rsidRPr="00316837">
        <w:rPr>
          <w:rFonts w:eastAsia="Calibri"/>
        </w:rPr>
        <w:lastRenderedPageBreak/>
        <w:t>host country, i.e. the Algerian Minister responsible for energy). No regulatory organ has been envisaged so far</w:t>
      </w:r>
      <w:r w:rsidR="00E74A28" w:rsidRPr="00316837">
        <w:t xml:space="preserve"> under the COMELEC’s founding documents and the </w:t>
      </w:r>
      <w:r w:rsidR="00E74A28" w:rsidRPr="00316837">
        <w:rPr>
          <w:rFonts w:eastAsia="Calibri"/>
        </w:rPr>
        <w:t xml:space="preserve">Statute and Internal Rules of Procedure. </w:t>
      </w:r>
    </w:p>
    <w:p w14:paraId="039E9A8A" w14:textId="7419B000" w:rsidR="0078481D" w:rsidRPr="00316837" w:rsidRDefault="00E74A28" w:rsidP="00F260DE">
      <w:pPr>
        <w:rPr>
          <w:rFonts w:eastAsia="Calibri"/>
        </w:rPr>
      </w:pPr>
      <w:r w:rsidRPr="00316837">
        <w:rPr>
          <w:rFonts w:eastAsia="Calibri"/>
        </w:rPr>
        <w:t>COMELEC was established with the aim to create and coordinate energy policy and liberalisation efforts, particularly with regard to the transmission systems of the AMU Member States. Acting as a</w:t>
      </w:r>
      <w:r w:rsidR="00F260DE" w:rsidRPr="00316837">
        <w:rPr>
          <w:rFonts w:eastAsia="Calibri"/>
        </w:rPr>
        <w:t xml:space="preserve"> platform for cooperation</w:t>
      </w:r>
      <w:r w:rsidRPr="00316837">
        <w:rPr>
          <w:rFonts w:eastAsia="Calibri"/>
        </w:rPr>
        <w:t>,</w:t>
      </w:r>
      <w:r w:rsidR="00F260DE" w:rsidRPr="00316837">
        <w:rPr>
          <w:rFonts w:eastAsia="Calibri"/>
        </w:rPr>
        <w:t xml:space="preserve"> rather than a Power Pool</w:t>
      </w:r>
      <w:r w:rsidRPr="00316837">
        <w:rPr>
          <w:rFonts w:eastAsia="Calibri"/>
        </w:rPr>
        <w:t>,</w:t>
      </w:r>
      <w:r w:rsidR="00F260DE" w:rsidRPr="00316837">
        <w:rPr>
          <w:rFonts w:eastAsia="Calibri"/>
        </w:rPr>
        <w:t xml:space="preserve"> </w:t>
      </w:r>
      <w:r w:rsidRPr="00316837">
        <w:rPr>
          <w:rFonts w:eastAsia="Calibri"/>
        </w:rPr>
        <w:t>it</w:t>
      </w:r>
      <w:r w:rsidR="00F260DE" w:rsidRPr="00316837">
        <w:rPr>
          <w:rFonts w:eastAsia="Calibri"/>
        </w:rPr>
        <w:t xml:space="preserve"> aims to maintain the regular exchange of information between its member utilities, coordinate the equipment and professional training, monitor the network interconnection, promote the industrial integration in the Maghreb countries, etc. </w:t>
      </w:r>
      <w:r w:rsidR="0078481D" w:rsidRPr="00316837">
        <w:rPr>
          <w:rFonts w:eastAsia="Calibri"/>
        </w:rPr>
        <w:t xml:space="preserve">Internationally, COMELEC maintains relations with counterparts organisations such as the Association of the Electricity Industry in Europe (EURELECTRIC), the Association of Power Utilities in Africa (APUA), and the </w:t>
      </w:r>
      <w:bookmarkStart w:id="127" w:name="_Hlk77012460"/>
      <w:r w:rsidR="0078481D" w:rsidRPr="00316837">
        <w:rPr>
          <w:rFonts w:eastAsia="Calibri"/>
        </w:rPr>
        <w:t xml:space="preserve">Arab Electricity Union </w:t>
      </w:r>
      <w:bookmarkEnd w:id="127"/>
      <w:r w:rsidR="0078481D" w:rsidRPr="00316837">
        <w:rPr>
          <w:rFonts w:eastAsia="Calibri"/>
        </w:rPr>
        <w:t>(UAE). COMELEC is also an active member of MEDELEC, the “Liaison Committee” between the various associations of electricians from countries bordering the Mediterranean (created in 1992).</w:t>
      </w:r>
      <w:r w:rsidR="001D4932" w:rsidRPr="00316837">
        <w:rPr>
          <w:rFonts w:eastAsia="Calibri"/>
        </w:rPr>
        <w:t xml:space="preserve"> </w:t>
      </w:r>
    </w:p>
    <w:p w14:paraId="2CDB7D6F" w14:textId="77543583" w:rsidR="00F260DE" w:rsidRPr="00316837" w:rsidRDefault="00F260DE" w:rsidP="00F260DE">
      <w:pPr>
        <w:rPr>
          <w:rFonts w:eastAsia="Calibri"/>
        </w:rPr>
      </w:pPr>
      <w:bookmarkStart w:id="128" w:name="_Hlk76560289"/>
      <w:r w:rsidRPr="00316837">
        <w:rPr>
          <w:rFonts w:eastAsia="Calibri"/>
        </w:rPr>
        <w:t xml:space="preserve">Currently, </w:t>
      </w:r>
      <w:r w:rsidR="0078481D" w:rsidRPr="00316837">
        <w:rPr>
          <w:rFonts w:eastAsia="Calibri"/>
        </w:rPr>
        <w:t>COMELEC</w:t>
      </w:r>
      <w:r w:rsidRPr="00316837">
        <w:rPr>
          <w:rFonts w:eastAsia="Calibri"/>
        </w:rPr>
        <w:t xml:space="preserve"> covers 5 AMU Member States and is made up of 5 member utilities</w:t>
      </w:r>
      <w:r w:rsidR="00E74A28" w:rsidRPr="00316837">
        <w:rPr>
          <w:rFonts w:eastAsia="Calibri"/>
        </w:rPr>
        <w:t>. These</w:t>
      </w:r>
      <w:r w:rsidRPr="00316837">
        <w:rPr>
          <w:rFonts w:eastAsia="Calibri"/>
        </w:rPr>
        <w:t xml:space="preserve"> utilities are State-owned </w:t>
      </w:r>
      <w:r w:rsidR="00E74A28" w:rsidRPr="00316837">
        <w:rPr>
          <w:rFonts w:eastAsia="Calibri"/>
        </w:rPr>
        <w:t xml:space="preserve">vertically integrated </w:t>
      </w:r>
      <w:r w:rsidRPr="00316837">
        <w:rPr>
          <w:rFonts w:eastAsia="Calibri"/>
        </w:rPr>
        <w:t xml:space="preserve">electricity utilities </w:t>
      </w:r>
      <w:r w:rsidR="00E74A28" w:rsidRPr="00316837">
        <w:rPr>
          <w:rFonts w:eastAsia="Calibri"/>
        </w:rPr>
        <w:t xml:space="preserve">(whereof two of them also perform gas activities) </w:t>
      </w:r>
      <w:r w:rsidRPr="00316837">
        <w:rPr>
          <w:rFonts w:eastAsia="Calibri"/>
        </w:rPr>
        <w:t>operating in the electricity systems in the Norther</w:t>
      </w:r>
      <w:r w:rsidR="00372286" w:rsidRPr="00316837">
        <w:rPr>
          <w:rFonts w:eastAsia="Calibri"/>
        </w:rPr>
        <w:t>n</w:t>
      </w:r>
      <w:r w:rsidRPr="00316837">
        <w:rPr>
          <w:rFonts w:eastAsia="Calibri"/>
        </w:rPr>
        <w:t xml:space="preserve"> Africa Region to which COMELEC serves as a platform</w:t>
      </w:r>
      <w:r w:rsidR="00372286" w:rsidRPr="00316837">
        <w:rPr>
          <w:rFonts w:eastAsia="Calibri"/>
        </w:rPr>
        <w:t xml:space="preserve"> for exchange and cooperation,</w:t>
      </w:r>
      <w:r w:rsidR="00372286" w:rsidRPr="00316837">
        <w:t xml:space="preserve"> </w:t>
      </w:r>
      <w:r w:rsidR="00372286" w:rsidRPr="00316837">
        <w:rPr>
          <w:rFonts w:eastAsia="Calibri"/>
        </w:rPr>
        <w:t>allowing them to get to know each other, to elaborate problems, to seek solutions together, and above all to work towards coordination of strategic choices</w:t>
      </w:r>
      <w:r w:rsidRPr="00316837">
        <w:rPr>
          <w:rFonts w:eastAsia="Calibri"/>
        </w:rPr>
        <w:t>. Regional integration of the electricity system and market is pursued in the Mediterranean Region</w:t>
      </w:r>
      <w:r w:rsidR="00E74A28" w:rsidRPr="00316837">
        <w:rPr>
          <w:rFonts w:eastAsia="Calibri"/>
        </w:rPr>
        <w:t>, i.e. the integration is sought with Southern Europe rather than the rest of Africa</w:t>
      </w:r>
      <w:r w:rsidRPr="00316837">
        <w:rPr>
          <w:rFonts w:eastAsia="Calibri"/>
        </w:rPr>
        <w:t xml:space="preserve">. </w:t>
      </w:r>
    </w:p>
    <w:bookmarkEnd w:id="128"/>
    <w:p w14:paraId="3DC1C2FE" w14:textId="6F03F4F9" w:rsidR="00F260DE" w:rsidRPr="00316837" w:rsidRDefault="00372286" w:rsidP="00F260DE">
      <w:pPr>
        <w:rPr>
          <w:rFonts w:eastAsia="Calibri"/>
          <w:szCs w:val="20"/>
        </w:rPr>
      </w:pPr>
      <w:r w:rsidRPr="00316837">
        <w:rPr>
          <w:rFonts w:eastAsia="Calibri"/>
          <w:szCs w:val="20"/>
        </w:rPr>
        <w:t xml:space="preserve">COMELEC’s governing structure (see </w:t>
      </w:r>
      <w:r w:rsidRPr="00316837">
        <w:rPr>
          <w:rFonts w:eastAsia="Calibri"/>
          <w:szCs w:val="20"/>
        </w:rPr>
        <w:fldChar w:fldCharType="begin"/>
      </w:r>
      <w:r w:rsidRPr="00316837">
        <w:rPr>
          <w:rFonts w:eastAsia="Calibri"/>
          <w:szCs w:val="20"/>
        </w:rPr>
        <w:instrText xml:space="preserve"> REF _Ref73716527 \h  \* MERGEFORMAT </w:instrText>
      </w:r>
      <w:r w:rsidRPr="00316837">
        <w:rPr>
          <w:rFonts w:eastAsia="Calibri"/>
          <w:szCs w:val="20"/>
        </w:rPr>
      </w:r>
      <w:r w:rsidRPr="00316837">
        <w:rPr>
          <w:rFonts w:eastAsia="Calibri"/>
          <w:szCs w:val="20"/>
        </w:rPr>
        <w:fldChar w:fldCharType="separate"/>
      </w:r>
      <w:r w:rsidR="00507C15" w:rsidRPr="006273BD">
        <w:rPr>
          <w:rFonts w:cs="Arial"/>
          <w:bCs/>
          <w:szCs w:val="20"/>
        </w:rPr>
        <w:t>Table 3</w:t>
      </w:r>
      <w:r w:rsidR="00507C15" w:rsidRPr="006273BD">
        <w:rPr>
          <w:rFonts w:cs="Arial"/>
          <w:bCs/>
          <w:szCs w:val="20"/>
        </w:rPr>
        <w:noBreakHyphen/>
        <w:t>12</w:t>
      </w:r>
      <w:r w:rsidRPr="00316837">
        <w:rPr>
          <w:rFonts w:eastAsia="Calibri"/>
          <w:szCs w:val="20"/>
        </w:rPr>
        <w:fldChar w:fldCharType="end"/>
      </w:r>
      <w:r w:rsidRPr="00C632F6">
        <w:rPr>
          <w:rFonts w:eastAsia="Calibri"/>
          <w:szCs w:val="20"/>
        </w:rPr>
        <w:t xml:space="preserve">) follows the main objectives by undertaking related actions (see </w:t>
      </w:r>
      <w:r w:rsidRPr="00316837">
        <w:rPr>
          <w:rFonts w:eastAsia="Calibri"/>
          <w:szCs w:val="20"/>
        </w:rPr>
        <w:fldChar w:fldCharType="begin"/>
      </w:r>
      <w:r w:rsidRPr="00316837">
        <w:rPr>
          <w:rFonts w:eastAsia="Calibri"/>
          <w:szCs w:val="20"/>
        </w:rPr>
        <w:instrText xml:space="preserve"> REF _Ref73716950 \h  \* MERGEFORMAT </w:instrText>
      </w:r>
      <w:r w:rsidRPr="00316837">
        <w:rPr>
          <w:rFonts w:eastAsia="Calibri"/>
          <w:szCs w:val="20"/>
        </w:rPr>
      </w:r>
      <w:r w:rsidRPr="00316837">
        <w:rPr>
          <w:rFonts w:eastAsia="Calibri"/>
          <w:szCs w:val="20"/>
        </w:rPr>
        <w:fldChar w:fldCharType="separate"/>
      </w:r>
      <w:r w:rsidR="00507C15" w:rsidRPr="006273BD">
        <w:rPr>
          <w:rFonts w:cs="Arial"/>
          <w:bCs/>
          <w:szCs w:val="20"/>
        </w:rPr>
        <w:t>Table 3</w:t>
      </w:r>
      <w:r w:rsidR="00507C15" w:rsidRPr="006273BD">
        <w:rPr>
          <w:rFonts w:cs="Arial"/>
          <w:bCs/>
          <w:szCs w:val="20"/>
        </w:rPr>
        <w:noBreakHyphen/>
        <w:t>13</w:t>
      </w:r>
      <w:r w:rsidRPr="00316837">
        <w:rPr>
          <w:rFonts w:eastAsia="Calibri"/>
          <w:szCs w:val="20"/>
        </w:rPr>
        <w:fldChar w:fldCharType="end"/>
      </w:r>
      <w:r w:rsidRPr="00C632F6">
        <w:rPr>
          <w:rFonts w:eastAsia="Calibri"/>
          <w:szCs w:val="20"/>
        </w:rPr>
        <w:t>).</w:t>
      </w:r>
      <w:r w:rsidR="00E74A28" w:rsidRPr="00316837">
        <w:rPr>
          <w:rFonts w:eastAsia="Calibri"/>
          <w:szCs w:val="20"/>
        </w:rPr>
        <w:t xml:space="preserve"> </w:t>
      </w:r>
    </w:p>
    <w:p w14:paraId="08B3F6ED" w14:textId="05D9EBD2" w:rsidR="00372286" w:rsidRPr="00316837" w:rsidRDefault="00372286" w:rsidP="00372286">
      <w:pPr>
        <w:suppressAutoHyphens w:val="0"/>
        <w:spacing w:before="120"/>
        <w:ind w:left="1134" w:hanging="1134"/>
        <w:rPr>
          <w:rFonts w:cs="Arial"/>
          <w:bCs/>
          <w:sz w:val="18"/>
          <w:szCs w:val="18"/>
        </w:rPr>
      </w:pPr>
      <w:bookmarkStart w:id="129" w:name="_Ref73716527"/>
      <w:bookmarkStart w:id="130" w:name="_Toc77260249"/>
      <w:r w:rsidRPr="00316837">
        <w:rPr>
          <w:rFonts w:cs="Arial"/>
          <w:bCs/>
          <w:sz w:val="18"/>
          <w:szCs w:val="18"/>
        </w:rPr>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507C15">
        <w:rPr>
          <w:rFonts w:cs="Arial"/>
          <w:bCs/>
          <w:noProof/>
          <w:sz w:val="18"/>
          <w:szCs w:val="18"/>
        </w:rPr>
        <w:t>12</w:t>
      </w:r>
      <w:r w:rsidRPr="00316837">
        <w:rPr>
          <w:rFonts w:cs="Arial"/>
          <w:bCs/>
          <w:sz w:val="18"/>
          <w:szCs w:val="18"/>
        </w:rPr>
        <w:fldChar w:fldCharType="end"/>
      </w:r>
      <w:bookmarkEnd w:id="129"/>
      <w:r w:rsidRPr="00C632F6">
        <w:rPr>
          <w:rFonts w:cs="Arial"/>
          <w:bCs/>
          <w:sz w:val="18"/>
          <w:szCs w:val="18"/>
        </w:rPr>
        <w:t>: COMELEC’s governing structures</w:t>
      </w:r>
      <w:bookmarkEnd w:id="130"/>
      <w:r w:rsidRPr="00C632F6">
        <w:rPr>
          <w:rFonts w:cs="Arial"/>
          <w:bCs/>
          <w:sz w:val="18"/>
          <w:szCs w:val="18"/>
        </w:rPr>
        <w:t xml:space="preserve"> </w:t>
      </w:r>
    </w:p>
    <w:tbl>
      <w:tblPr>
        <w:tblStyle w:val="TableGrid"/>
        <w:tblW w:w="5000" w:type="pct"/>
        <w:tblLook w:val="04A0" w:firstRow="1" w:lastRow="0" w:firstColumn="1" w:lastColumn="0" w:noHBand="0" w:noVBand="1"/>
      </w:tblPr>
      <w:tblGrid>
        <w:gridCol w:w="563"/>
        <w:gridCol w:w="1985"/>
        <w:gridCol w:w="7081"/>
      </w:tblGrid>
      <w:tr w:rsidR="00372286" w:rsidRPr="00316837" w14:paraId="50795937" w14:textId="77777777" w:rsidTr="00E16180">
        <w:tc>
          <w:tcPr>
            <w:tcW w:w="292" w:type="pct"/>
            <w:shd w:val="clear" w:color="auto" w:fill="F2F2F2" w:themeFill="background1" w:themeFillShade="F2"/>
          </w:tcPr>
          <w:p w14:paraId="29508448" w14:textId="77777777" w:rsidR="00372286" w:rsidRPr="006273BD" w:rsidRDefault="00372286" w:rsidP="0056640A">
            <w:pPr>
              <w:spacing w:before="120" w:after="120"/>
              <w:jc w:val="left"/>
              <w:rPr>
                <w:rFonts w:eastAsia="Calibri"/>
                <w:b/>
                <w:bCs/>
                <w:sz w:val="18"/>
                <w:szCs w:val="18"/>
              </w:rPr>
            </w:pPr>
            <w:r w:rsidRPr="006273BD">
              <w:rPr>
                <w:rFonts w:eastAsia="Calibri"/>
                <w:b/>
                <w:bCs/>
                <w:sz w:val="18"/>
                <w:szCs w:val="18"/>
              </w:rPr>
              <w:t>No.</w:t>
            </w:r>
          </w:p>
        </w:tc>
        <w:tc>
          <w:tcPr>
            <w:tcW w:w="1031" w:type="pct"/>
            <w:shd w:val="clear" w:color="auto" w:fill="F2F2F2" w:themeFill="background1" w:themeFillShade="F2"/>
          </w:tcPr>
          <w:p w14:paraId="10EF7C80" w14:textId="5EAC717F" w:rsidR="00372286" w:rsidRPr="006273BD" w:rsidRDefault="00372286" w:rsidP="0056640A">
            <w:pPr>
              <w:spacing w:before="120" w:after="120"/>
              <w:jc w:val="left"/>
              <w:rPr>
                <w:rFonts w:eastAsia="Calibri"/>
                <w:b/>
                <w:bCs/>
                <w:sz w:val="18"/>
                <w:szCs w:val="18"/>
              </w:rPr>
            </w:pPr>
            <w:r w:rsidRPr="006273BD">
              <w:rPr>
                <w:rFonts w:eastAsia="Calibri"/>
                <w:b/>
                <w:bCs/>
                <w:sz w:val="18"/>
                <w:szCs w:val="18"/>
              </w:rPr>
              <w:t xml:space="preserve">Organ </w:t>
            </w:r>
          </w:p>
        </w:tc>
        <w:tc>
          <w:tcPr>
            <w:tcW w:w="3677" w:type="pct"/>
            <w:shd w:val="clear" w:color="auto" w:fill="F2F2F2" w:themeFill="background1" w:themeFillShade="F2"/>
          </w:tcPr>
          <w:p w14:paraId="4E87F2C5" w14:textId="6DF7BABE" w:rsidR="00372286" w:rsidRPr="006273BD" w:rsidRDefault="00372286" w:rsidP="0056640A">
            <w:pPr>
              <w:spacing w:before="120" w:after="120"/>
              <w:jc w:val="left"/>
              <w:rPr>
                <w:rFonts w:eastAsia="Calibri"/>
                <w:b/>
                <w:bCs/>
                <w:sz w:val="18"/>
                <w:szCs w:val="18"/>
              </w:rPr>
            </w:pPr>
            <w:r w:rsidRPr="006273BD">
              <w:rPr>
                <w:rFonts w:eastAsia="Calibri"/>
                <w:b/>
                <w:bCs/>
                <w:sz w:val="18"/>
                <w:szCs w:val="18"/>
              </w:rPr>
              <w:t>Description</w:t>
            </w:r>
            <w:r w:rsidR="001D4932" w:rsidRPr="006273BD">
              <w:rPr>
                <w:rFonts w:eastAsia="Calibri"/>
                <w:b/>
                <w:bCs/>
                <w:sz w:val="18"/>
                <w:szCs w:val="18"/>
              </w:rPr>
              <w:t xml:space="preserve"> </w:t>
            </w:r>
          </w:p>
        </w:tc>
      </w:tr>
      <w:tr w:rsidR="00372286" w:rsidRPr="00316837" w14:paraId="37739777" w14:textId="77777777" w:rsidTr="00E16180">
        <w:tc>
          <w:tcPr>
            <w:tcW w:w="292" w:type="pct"/>
          </w:tcPr>
          <w:p w14:paraId="5A60712A" w14:textId="77777777" w:rsidR="00372286" w:rsidRPr="00316837" w:rsidRDefault="00372286" w:rsidP="0056640A">
            <w:pPr>
              <w:spacing w:before="120" w:after="120"/>
              <w:jc w:val="left"/>
              <w:rPr>
                <w:rFonts w:eastAsia="Calibri"/>
                <w:sz w:val="18"/>
                <w:szCs w:val="18"/>
              </w:rPr>
            </w:pPr>
            <w:r w:rsidRPr="00316837">
              <w:rPr>
                <w:rFonts w:eastAsia="Calibri"/>
                <w:sz w:val="18"/>
                <w:szCs w:val="18"/>
              </w:rPr>
              <w:t>1</w:t>
            </w:r>
          </w:p>
        </w:tc>
        <w:tc>
          <w:tcPr>
            <w:tcW w:w="1031" w:type="pct"/>
          </w:tcPr>
          <w:p w14:paraId="40E23E76" w14:textId="4C8125B5" w:rsidR="00372286" w:rsidRPr="00316837" w:rsidRDefault="00372286" w:rsidP="0056640A">
            <w:pPr>
              <w:spacing w:before="120" w:after="120"/>
              <w:jc w:val="left"/>
              <w:rPr>
                <w:rFonts w:eastAsia="Calibri"/>
                <w:sz w:val="18"/>
                <w:szCs w:val="18"/>
              </w:rPr>
            </w:pPr>
            <w:r w:rsidRPr="00316837">
              <w:rPr>
                <w:rFonts w:eastAsia="Calibri"/>
                <w:sz w:val="18"/>
                <w:szCs w:val="18"/>
              </w:rPr>
              <w:t>Management Committee</w:t>
            </w:r>
            <w:r w:rsidR="001D4932" w:rsidRPr="00316837">
              <w:rPr>
                <w:rFonts w:eastAsia="Calibri"/>
                <w:sz w:val="18"/>
                <w:szCs w:val="18"/>
              </w:rPr>
              <w:t xml:space="preserve"> </w:t>
            </w:r>
          </w:p>
        </w:tc>
        <w:tc>
          <w:tcPr>
            <w:tcW w:w="3677" w:type="pct"/>
          </w:tcPr>
          <w:p w14:paraId="4283056A" w14:textId="1881F42D" w:rsidR="00372286" w:rsidRPr="00316837" w:rsidRDefault="00372286" w:rsidP="0056640A">
            <w:pPr>
              <w:spacing w:before="120" w:after="120"/>
              <w:jc w:val="left"/>
              <w:rPr>
                <w:rFonts w:eastAsia="Calibri"/>
                <w:sz w:val="18"/>
                <w:szCs w:val="18"/>
              </w:rPr>
            </w:pPr>
            <w:r w:rsidRPr="00316837">
              <w:rPr>
                <w:rFonts w:eastAsia="Calibri"/>
                <w:sz w:val="18"/>
                <w:szCs w:val="18"/>
              </w:rPr>
              <w:t xml:space="preserve">Decision-making body. </w:t>
            </w:r>
            <w:r w:rsidR="00E74A28" w:rsidRPr="00316837">
              <w:rPr>
                <w:rFonts w:eastAsia="Calibri"/>
                <w:sz w:val="18"/>
                <w:szCs w:val="18"/>
              </w:rPr>
              <w:t xml:space="preserve">Defines the strategic axes of development of COMELEC, and oversees their implementation (its resolutions are taken at unanimously). </w:t>
            </w:r>
            <w:r w:rsidR="00A5245F" w:rsidRPr="00316837">
              <w:rPr>
                <w:rFonts w:eastAsia="Calibri"/>
                <w:sz w:val="18"/>
                <w:szCs w:val="18"/>
              </w:rPr>
              <w:t>Composed of two representatives per national body member of COMELEC (the Chief Executive Officer and one of his/her collaborators as specified by the Internal Rules of Procedure).</w:t>
            </w:r>
            <w:r w:rsidR="001D4932" w:rsidRPr="00316837">
              <w:rPr>
                <w:rFonts w:eastAsia="Calibri"/>
                <w:sz w:val="18"/>
                <w:szCs w:val="18"/>
              </w:rPr>
              <w:t xml:space="preserve"> </w:t>
            </w:r>
          </w:p>
        </w:tc>
      </w:tr>
      <w:tr w:rsidR="00372286" w:rsidRPr="00316837" w14:paraId="688E74C4" w14:textId="77777777" w:rsidTr="00E16180">
        <w:tc>
          <w:tcPr>
            <w:tcW w:w="292" w:type="pct"/>
          </w:tcPr>
          <w:p w14:paraId="68866F8B" w14:textId="77777777" w:rsidR="00372286" w:rsidRPr="00316837" w:rsidRDefault="00372286" w:rsidP="0056640A">
            <w:pPr>
              <w:spacing w:before="120" w:after="120"/>
              <w:jc w:val="left"/>
              <w:rPr>
                <w:rFonts w:eastAsia="Calibri"/>
                <w:sz w:val="18"/>
                <w:szCs w:val="18"/>
              </w:rPr>
            </w:pPr>
            <w:r w:rsidRPr="00316837">
              <w:rPr>
                <w:rFonts w:eastAsia="Calibri"/>
                <w:sz w:val="18"/>
                <w:szCs w:val="18"/>
              </w:rPr>
              <w:t>2</w:t>
            </w:r>
          </w:p>
        </w:tc>
        <w:tc>
          <w:tcPr>
            <w:tcW w:w="1031" w:type="pct"/>
          </w:tcPr>
          <w:p w14:paraId="087213FF" w14:textId="119075E9" w:rsidR="00372286" w:rsidRPr="00316837" w:rsidRDefault="00372286" w:rsidP="0056640A">
            <w:pPr>
              <w:spacing w:before="120" w:after="120"/>
              <w:jc w:val="left"/>
              <w:rPr>
                <w:rFonts w:eastAsia="Calibri"/>
                <w:sz w:val="18"/>
                <w:szCs w:val="18"/>
              </w:rPr>
            </w:pPr>
            <w:r w:rsidRPr="00316837">
              <w:rPr>
                <w:rFonts w:eastAsia="Calibri"/>
                <w:sz w:val="18"/>
                <w:szCs w:val="18"/>
              </w:rPr>
              <w:t>General Secretariat</w:t>
            </w:r>
            <w:r w:rsidR="001D4932" w:rsidRPr="00316837">
              <w:rPr>
                <w:rFonts w:eastAsia="Calibri"/>
                <w:sz w:val="18"/>
                <w:szCs w:val="18"/>
              </w:rPr>
              <w:t xml:space="preserve"> </w:t>
            </w:r>
          </w:p>
        </w:tc>
        <w:tc>
          <w:tcPr>
            <w:tcW w:w="3677" w:type="pct"/>
          </w:tcPr>
          <w:p w14:paraId="11FB162D" w14:textId="4318B92B" w:rsidR="00E74A28" w:rsidRPr="00316837" w:rsidRDefault="00372286" w:rsidP="0056640A">
            <w:pPr>
              <w:spacing w:before="120" w:after="120"/>
              <w:jc w:val="left"/>
              <w:rPr>
                <w:rFonts w:eastAsia="Calibri"/>
                <w:sz w:val="18"/>
                <w:szCs w:val="18"/>
              </w:rPr>
            </w:pPr>
            <w:r w:rsidRPr="00316837">
              <w:rPr>
                <w:rFonts w:eastAsia="Calibri"/>
                <w:sz w:val="18"/>
                <w:szCs w:val="18"/>
              </w:rPr>
              <w:t>Supporting and implementing body</w:t>
            </w:r>
            <w:r w:rsidR="00E74A28" w:rsidRPr="00316837">
              <w:rPr>
                <w:rFonts w:eastAsia="Calibri"/>
                <w:sz w:val="18"/>
                <w:szCs w:val="18"/>
              </w:rPr>
              <w:t>, provided by the COMELEC headquarters country (Sonelgaz/Algeria)</w:t>
            </w:r>
            <w:r w:rsidRPr="00316837">
              <w:rPr>
                <w:rFonts w:eastAsia="Calibri"/>
                <w:sz w:val="18"/>
                <w:szCs w:val="18"/>
              </w:rPr>
              <w:t xml:space="preserve">. </w:t>
            </w:r>
            <w:r w:rsidR="00E74A28" w:rsidRPr="00316837">
              <w:rPr>
                <w:rFonts w:eastAsia="Calibri"/>
                <w:sz w:val="18"/>
                <w:szCs w:val="18"/>
              </w:rPr>
              <w:t xml:space="preserve">Prepares the work of the Management Committee, disseminates its decisions and recommendations, represents COMELEC to international organisations, and ensures the implementation of work programmes. </w:t>
            </w:r>
          </w:p>
        </w:tc>
      </w:tr>
      <w:tr w:rsidR="00372286" w:rsidRPr="00316837" w14:paraId="021FAF2C" w14:textId="77777777" w:rsidTr="00E16180">
        <w:tc>
          <w:tcPr>
            <w:tcW w:w="292" w:type="pct"/>
          </w:tcPr>
          <w:p w14:paraId="3C227ACA" w14:textId="77777777" w:rsidR="00372286" w:rsidRPr="00316837" w:rsidRDefault="00372286" w:rsidP="0056640A">
            <w:pPr>
              <w:spacing w:before="120" w:after="120"/>
              <w:jc w:val="left"/>
              <w:rPr>
                <w:rFonts w:eastAsia="Calibri"/>
                <w:sz w:val="18"/>
                <w:szCs w:val="18"/>
              </w:rPr>
            </w:pPr>
            <w:r w:rsidRPr="00316837">
              <w:rPr>
                <w:rFonts w:eastAsia="Calibri"/>
                <w:sz w:val="18"/>
                <w:szCs w:val="18"/>
              </w:rPr>
              <w:t>3</w:t>
            </w:r>
          </w:p>
        </w:tc>
        <w:tc>
          <w:tcPr>
            <w:tcW w:w="1031" w:type="pct"/>
          </w:tcPr>
          <w:p w14:paraId="11CD6D54" w14:textId="6E08275C" w:rsidR="00372286" w:rsidRPr="00316837" w:rsidRDefault="00372286" w:rsidP="0056640A">
            <w:pPr>
              <w:spacing w:before="120" w:after="120"/>
              <w:jc w:val="left"/>
              <w:rPr>
                <w:rFonts w:eastAsia="Calibri"/>
                <w:sz w:val="18"/>
                <w:szCs w:val="18"/>
              </w:rPr>
            </w:pPr>
            <w:r w:rsidRPr="00316837">
              <w:rPr>
                <w:rFonts w:eastAsia="Calibri"/>
                <w:sz w:val="18"/>
                <w:szCs w:val="18"/>
              </w:rPr>
              <w:t>Commissions</w:t>
            </w:r>
            <w:r w:rsidR="001D4932" w:rsidRPr="00316837">
              <w:rPr>
                <w:rFonts w:eastAsia="Calibri"/>
                <w:sz w:val="18"/>
                <w:szCs w:val="18"/>
              </w:rPr>
              <w:t xml:space="preserve"> </w:t>
            </w:r>
          </w:p>
        </w:tc>
        <w:tc>
          <w:tcPr>
            <w:tcW w:w="3677" w:type="pct"/>
          </w:tcPr>
          <w:p w14:paraId="3C52543B" w14:textId="77777777" w:rsidR="00372286" w:rsidRPr="00316837" w:rsidRDefault="00372286" w:rsidP="0056640A">
            <w:pPr>
              <w:spacing w:before="120" w:after="120"/>
              <w:jc w:val="left"/>
              <w:rPr>
                <w:rFonts w:eastAsia="Calibri"/>
                <w:sz w:val="18"/>
                <w:szCs w:val="18"/>
              </w:rPr>
            </w:pPr>
            <w:r w:rsidRPr="00316837">
              <w:rPr>
                <w:rFonts w:eastAsia="Calibri"/>
                <w:sz w:val="18"/>
                <w:szCs w:val="18"/>
              </w:rPr>
              <w:t xml:space="preserve">Facilitating implementation of the work programme: </w:t>
            </w:r>
          </w:p>
          <w:p w14:paraId="0105A27D" w14:textId="77777777" w:rsidR="00372286" w:rsidRPr="00316837" w:rsidRDefault="00372286" w:rsidP="00AB7DB1">
            <w:pPr>
              <w:numPr>
                <w:ilvl w:val="0"/>
                <w:numId w:val="40"/>
              </w:numPr>
              <w:spacing w:before="120" w:after="120"/>
              <w:jc w:val="left"/>
              <w:rPr>
                <w:rFonts w:eastAsia="Calibri"/>
                <w:sz w:val="18"/>
                <w:szCs w:val="18"/>
              </w:rPr>
            </w:pPr>
            <w:r w:rsidRPr="00316837">
              <w:rPr>
                <w:rFonts w:eastAsia="Calibri"/>
                <w:sz w:val="18"/>
                <w:szCs w:val="18"/>
              </w:rPr>
              <w:t xml:space="preserve">Planning and Studies Commission, </w:t>
            </w:r>
          </w:p>
          <w:p w14:paraId="32A6730E" w14:textId="77777777" w:rsidR="00372286" w:rsidRPr="00316837" w:rsidRDefault="00372286" w:rsidP="00AB7DB1">
            <w:pPr>
              <w:numPr>
                <w:ilvl w:val="0"/>
                <w:numId w:val="40"/>
              </w:numPr>
              <w:spacing w:before="120" w:after="120"/>
              <w:jc w:val="left"/>
              <w:rPr>
                <w:rFonts w:eastAsia="Calibri"/>
                <w:sz w:val="18"/>
                <w:szCs w:val="18"/>
              </w:rPr>
            </w:pPr>
            <w:r w:rsidRPr="00316837">
              <w:rPr>
                <w:rFonts w:eastAsia="Calibri"/>
                <w:sz w:val="18"/>
                <w:szCs w:val="18"/>
              </w:rPr>
              <w:t xml:space="preserve">Technical Commission, </w:t>
            </w:r>
          </w:p>
          <w:p w14:paraId="33637F6A" w14:textId="77777777" w:rsidR="00372286" w:rsidRPr="00316837" w:rsidRDefault="00372286" w:rsidP="00AB7DB1">
            <w:pPr>
              <w:numPr>
                <w:ilvl w:val="0"/>
                <w:numId w:val="40"/>
              </w:numPr>
              <w:spacing w:before="120" w:after="120"/>
              <w:jc w:val="left"/>
              <w:rPr>
                <w:rFonts w:eastAsia="Calibri"/>
                <w:sz w:val="18"/>
                <w:szCs w:val="18"/>
              </w:rPr>
            </w:pPr>
            <w:r w:rsidRPr="00316837">
              <w:rPr>
                <w:rFonts w:eastAsia="Calibri"/>
                <w:sz w:val="18"/>
                <w:szCs w:val="18"/>
              </w:rPr>
              <w:t xml:space="preserve">Human Resources and Management Commission, </w:t>
            </w:r>
          </w:p>
          <w:p w14:paraId="43CE5873" w14:textId="77777777" w:rsidR="00372286" w:rsidRPr="00316837" w:rsidRDefault="00372286" w:rsidP="00AB7DB1">
            <w:pPr>
              <w:numPr>
                <w:ilvl w:val="0"/>
                <w:numId w:val="40"/>
              </w:numPr>
              <w:spacing w:before="120" w:after="120"/>
              <w:jc w:val="left"/>
              <w:rPr>
                <w:rFonts w:eastAsia="Calibri"/>
                <w:sz w:val="18"/>
                <w:szCs w:val="18"/>
              </w:rPr>
            </w:pPr>
            <w:r w:rsidRPr="00316837">
              <w:rPr>
                <w:rFonts w:eastAsia="Calibri"/>
                <w:sz w:val="18"/>
                <w:szCs w:val="18"/>
              </w:rPr>
              <w:t xml:space="preserve">Commission des Interconnections Maghrébines, </w:t>
            </w:r>
          </w:p>
          <w:p w14:paraId="68BE2E8F" w14:textId="77777777" w:rsidR="00372286" w:rsidRPr="00316837" w:rsidRDefault="00372286" w:rsidP="00AB7DB1">
            <w:pPr>
              <w:numPr>
                <w:ilvl w:val="0"/>
                <w:numId w:val="40"/>
              </w:numPr>
              <w:spacing w:before="120" w:after="120"/>
              <w:jc w:val="left"/>
              <w:rPr>
                <w:rFonts w:eastAsia="Calibri"/>
                <w:sz w:val="18"/>
                <w:szCs w:val="18"/>
              </w:rPr>
            </w:pPr>
            <w:r w:rsidRPr="00316837">
              <w:rPr>
                <w:rFonts w:eastAsia="Calibri"/>
                <w:sz w:val="18"/>
                <w:szCs w:val="18"/>
              </w:rPr>
              <w:t xml:space="preserve">Commission for New and Renewable Energies, and </w:t>
            </w:r>
          </w:p>
          <w:p w14:paraId="2BA6A2BE" w14:textId="77777777" w:rsidR="00372286" w:rsidRPr="00316837" w:rsidRDefault="00372286" w:rsidP="00AB7DB1">
            <w:pPr>
              <w:numPr>
                <w:ilvl w:val="0"/>
                <w:numId w:val="40"/>
              </w:numPr>
              <w:spacing w:before="120" w:after="120"/>
              <w:jc w:val="left"/>
              <w:rPr>
                <w:rFonts w:eastAsia="Calibri"/>
                <w:sz w:val="18"/>
                <w:szCs w:val="18"/>
              </w:rPr>
            </w:pPr>
            <w:r w:rsidRPr="00316837">
              <w:rPr>
                <w:rFonts w:eastAsia="Calibri"/>
                <w:sz w:val="18"/>
                <w:szCs w:val="18"/>
              </w:rPr>
              <w:t xml:space="preserve">Commercial Commission. </w:t>
            </w:r>
          </w:p>
          <w:p w14:paraId="4A8D5D50" w14:textId="49DAEBB5" w:rsidR="00372286" w:rsidRPr="00316837" w:rsidRDefault="00372286" w:rsidP="0056640A">
            <w:pPr>
              <w:spacing w:before="120" w:after="120"/>
              <w:jc w:val="left"/>
              <w:rPr>
                <w:rFonts w:eastAsia="Calibri"/>
                <w:sz w:val="18"/>
                <w:szCs w:val="18"/>
              </w:rPr>
            </w:pPr>
            <w:r w:rsidRPr="00316837">
              <w:rPr>
                <w:rFonts w:eastAsia="Calibri"/>
                <w:sz w:val="18"/>
                <w:szCs w:val="18"/>
              </w:rPr>
              <w:t>The Planning and Studies Commission deals with interconnection studies and development plans for Maghreb networks, establishment of a tariff system for electrical energy at Maghreb scale, as well as the control of electrical consumption.</w:t>
            </w:r>
            <w:r w:rsidR="001D4932" w:rsidRPr="00316837">
              <w:rPr>
                <w:rFonts w:eastAsia="Calibri"/>
                <w:sz w:val="18"/>
                <w:szCs w:val="18"/>
              </w:rPr>
              <w:t xml:space="preserve"> </w:t>
            </w:r>
          </w:p>
          <w:p w14:paraId="06C011AD" w14:textId="77777777" w:rsidR="00372286" w:rsidRPr="00316837" w:rsidRDefault="00372286" w:rsidP="0056640A">
            <w:pPr>
              <w:spacing w:before="120" w:after="120"/>
              <w:jc w:val="left"/>
              <w:rPr>
                <w:rFonts w:eastAsia="Calibri"/>
                <w:sz w:val="18"/>
                <w:szCs w:val="18"/>
              </w:rPr>
            </w:pPr>
            <w:r w:rsidRPr="00316837">
              <w:rPr>
                <w:rFonts w:eastAsia="Calibri"/>
                <w:sz w:val="18"/>
                <w:szCs w:val="18"/>
              </w:rPr>
              <w:t xml:space="preserve">The Technical Commission steers working groups on generation, transmission and distribution, focusing on aspects such as the possibilities of reducing the costs of structures, the cross-border electrification of villages, the studies of Maghrebian normalisation and integration, etc. </w:t>
            </w:r>
          </w:p>
          <w:p w14:paraId="2CF30551" w14:textId="2314C95B" w:rsidR="00372286" w:rsidRPr="00316837" w:rsidRDefault="00372286" w:rsidP="0056640A">
            <w:pPr>
              <w:spacing w:before="120" w:after="120"/>
              <w:jc w:val="left"/>
              <w:rPr>
                <w:rFonts w:eastAsia="Calibri"/>
                <w:sz w:val="18"/>
                <w:szCs w:val="18"/>
              </w:rPr>
            </w:pPr>
            <w:r w:rsidRPr="00316837">
              <w:rPr>
                <w:rFonts w:eastAsia="Calibri"/>
                <w:sz w:val="18"/>
                <w:szCs w:val="18"/>
              </w:rPr>
              <w:lastRenderedPageBreak/>
              <w:t>The Commission des Interconnections Maghrébines supervises the operation of the Maghreb interconnections, coordinates the operation of interconnected Maghreb networks, ensures the compliance of future Maghreb interconnections with the rules in force, and participates in the promotion of inter-Maghreb exchanges with a view to form a Maghreb market for electricity.</w:t>
            </w:r>
            <w:r w:rsidR="00E74A28" w:rsidRPr="00316837">
              <w:rPr>
                <w:rFonts w:eastAsia="Calibri"/>
                <w:sz w:val="18"/>
                <w:szCs w:val="18"/>
              </w:rPr>
              <w:t xml:space="preserve"> More specifically, it studies and defines the operating conditions, and coordinates the development of cross-border electricity exchanges between Tunisia, Algeria and Morocco, taking into account of the Maghreb-Europe interconnection via Spain. </w:t>
            </w:r>
          </w:p>
        </w:tc>
      </w:tr>
    </w:tbl>
    <w:p w14:paraId="170BE4FC" w14:textId="188AFB7E" w:rsidR="00372286" w:rsidRPr="00316837" w:rsidRDefault="00372286" w:rsidP="00372286">
      <w:pPr>
        <w:suppressAutoHyphens w:val="0"/>
        <w:spacing w:before="120"/>
        <w:ind w:left="1134" w:hanging="1134"/>
        <w:rPr>
          <w:rFonts w:cs="Arial"/>
          <w:bCs/>
          <w:sz w:val="18"/>
          <w:szCs w:val="18"/>
        </w:rPr>
      </w:pPr>
      <w:bookmarkStart w:id="131" w:name="_Ref73716950"/>
      <w:bookmarkStart w:id="132" w:name="_Toc77260250"/>
      <w:r w:rsidRPr="00316837">
        <w:rPr>
          <w:rFonts w:cs="Arial"/>
          <w:bCs/>
          <w:sz w:val="18"/>
          <w:szCs w:val="18"/>
        </w:rPr>
        <w:lastRenderedPageBreak/>
        <w:t xml:space="preserve">Table </w:t>
      </w:r>
      <w:r w:rsidRPr="00316837">
        <w:rPr>
          <w:rFonts w:cs="Arial"/>
          <w:bCs/>
          <w:sz w:val="18"/>
          <w:szCs w:val="18"/>
        </w:rPr>
        <w:fldChar w:fldCharType="begin"/>
      </w:r>
      <w:r w:rsidRPr="00316837">
        <w:rPr>
          <w:rFonts w:cs="Arial"/>
          <w:bCs/>
          <w:sz w:val="18"/>
          <w:szCs w:val="18"/>
        </w:rPr>
        <w:instrText xml:space="preserve"> STYLEREF 1 \s </w:instrText>
      </w:r>
      <w:r w:rsidRPr="00316837">
        <w:rPr>
          <w:rFonts w:cs="Arial"/>
          <w:bCs/>
          <w:sz w:val="18"/>
          <w:szCs w:val="18"/>
        </w:rPr>
        <w:fldChar w:fldCharType="separate"/>
      </w:r>
      <w:r w:rsidR="00703397" w:rsidRPr="00316837">
        <w:rPr>
          <w:rFonts w:cs="Arial"/>
          <w:bCs/>
          <w:sz w:val="18"/>
          <w:szCs w:val="18"/>
        </w:rPr>
        <w:t>3</w:t>
      </w:r>
      <w:r w:rsidRPr="00316837">
        <w:rPr>
          <w:rFonts w:cs="Arial"/>
          <w:bCs/>
          <w:sz w:val="18"/>
          <w:szCs w:val="18"/>
        </w:rPr>
        <w:fldChar w:fldCharType="end"/>
      </w:r>
      <w:r w:rsidRPr="00C632F6">
        <w:rPr>
          <w:rFonts w:cs="Arial"/>
          <w:bCs/>
          <w:sz w:val="18"/>
          <w:szCs w:val="18"/>
        </w:rPr>
        <w:noBreakHyphen/>
      </w:r>
      <w:r w:rsidRPr="00316837">
        <w:rPr>
          <w:rFonts w:cs="Arial"/>
          <w:bCs/>
          <w:sz w:val="18"/>
          <w:szCs w:val="18"/>
        </w:rPr>
        <w:fldChar w:fldCharType="begin"/>
      </w:r>
      <w:r w:rsidRPr="00316837">
        <w:rPr>
          <w:rFonts w:cs="Arial"/>
          <w:bCs/>
          <w:sz w:val="18"/>
          <w:szCs w:val="18"/>
        </w:rPr>
        <w:instrText xml:space="preserve"> SEQ Table \* ARABIC \s 1 </w:instrText>
      </w:r>
      <w:r w:rsidRPr="00316837">
        <w:rPr>
          <w:rFonts w:cs="Arial"/>
          <w:bCs/>
          <w:sz w:val="18"/>
          <w:szCs w:val="18"/>
        </w:rPr>
        <w:fldChar w:fldCharType="separate"/>
      </w:r>
      <w:r w:rsidR="00507C15">
        <w:rPr>
          <w:rFonts w:cs="Arial"/>
          <w:bCs/>
          <w:noProof/>
          <w:sz w:val="18"/>
          <w:szCs w:val="18"/>
        </w:rPr>
        <w:t>13</w:t>
      </w:r>
      <w:r w:rsidRPr="00316837">
        <w:rPr>
          <w:rFonts w:cs="Arial"/>
          <w:bCs/>
          <w:sz w:val="18"/>
          <w:szCs w:val="18"/>
        </w:rPr>
        <w:fldChar w:fldCharType="end"/>
      </w:r>
      <w:bookmarkEnd w:id="131"/>
      <w:r w:rsidRPr="00C632F6">
        <w:rPr>
          <w:rFonts w:cs="Arial"/>
          <w:bCs/>
          <w:sz w:val="18"/>
          <w:szCs w:val="18"/>
        </w:rPr>
        <w:t>: COMELEC’s main objectives</w:t>
      </w:r>
      <w:bookmarkEnd w:id="132"/>
      <w:r w:rsidRPr="00C632F6">
        <w:rPr>
          <w:rFonts w:cs="Arial"/>
          <w:bCs/>
          <w:sz w:val="18"/>
          <w:szCs w:val="18"/>
        </w:rPr>
        <w:t xml:space="preserve"> </w:t>
      </w:r>
    </w:p>
    <w:tbl>
      <w:tblPr>
        <w:tblStyle w:val="TableGrid"/>
        <w:tblW w:w="0" w:type="auto"/>
        <w:tblLook w:val="04A0" w:firstRow="1" w:lastRow="0" w:firstColumn="1" w:lastColumn="0" w:noHBand="0" w:noVBand="1"/>
      </w:tblPr>
      <w:tblGrid>
        <w:gridCol w:w="562"/>
        <w:gridCol w:w="9067"/>
      </w:tblGrid>
      <w:tr w:rsidR="00372286" w:rsidRPr="00316837" w14:paraId="2D3C1853" w14:textId="77777777" w:rsidTr="00E16180">
        <w:tc>
          <w:tcPr>
            <w:tcW w:w="562" w:type="dxa"/>
            <w:shd w:val="clear" w:color="auto" w:fill="F2F2F2" w:themeFill="background1" w:themeFillShade="F2"/>
          </w:tcPr>
          <w:p w14:paraId="3E5C5ECE" w14:textId="77777777" w:rsidR="00372286" w:rsidRPr="006273BD" w:rsidRDefault="00372286" w:rsidP="00E16180">
            <w:pPr>
              <w:spacing w:before="120" w:after="120"/>
              <w:rPr>
                <w:rFonts w:eastAsia="Calibri"/>
                <w:b/>
                <w:bCs/>
                <w:sz w:val="18"/>
                <w:szCs w:val="18"/>
              </w:rPr>
            </w:pPr>
            <w:r w:rsidRPr="006273BD">
              <w:rPr>
                <w:rFonts w:eastAsia="Calibri"/>
                <w:b/>
                <w:bCs/>
                <w:sz w:val="18"/>
                <w:szCs w:val="18"/>
              </w:rPr>
              <w:t>No.</w:t>
            </w:r>
          </w:p>
        </w:tc>
        <w:tc>
          <w:tcPr>
            <w:tcW w:w="9067" w:type="dxa"/>
            <w:shd w:val="clear" w:color="auto" w:fill="F2F2F2" w:themeFill="background1" w:themeFillShade="F2"/>
          </w:tcPr>
          <w:p w14:paraId="3FC615B8" w14:textId="6E915F2F" w:rsidR="00372286" w:rsidRPr="006273BD" w:rsidRDefault="00372286" w:rsidP="00E16180">
            <w:pPr>
              <w:spacing w:before="120" w:after="120"/>
              <w:jc w:val="left"/>
              <w:rPr>
                <w:rFonts w:eastAsia="Calibri"/>
                <w:b/>
                <w:bCs/>
                <w:sz w:val="18"/>
                <w:szCs w:val="18"/>
              </w:rPr>
            </w:pPr>
            <w:r w:rsidRPr="006273BD">
              <w:rPr>
                <w:rFonts w:eastAsia="Calibri"/>
                <w:b/>
                <w:bCs/>
                <w:sz w:val="18"/>
                <w:szCs w:val="18"/>
              </w:rPr>
              <w:t>Objective</w:t>
            </w:r>
            <w:r w:rsidR="001D4932" w:rsidRPr="006273BD">
              <w:rPr>
                <w:rFonts w:eastAsia="Calibri"/>
                <w:b/>
                <w:bCs/>
                <w:sz w:val="18"/>
                <w:szCs w:val="18"/>
              </w:rPr>
              <w:t xml:space="preserve"> </w:t>
            </w:r>
          </w:p>
        </w:tc>
      </w:tr>
      <w:tr w:rsidR="00372286" w:rsidRPr="00316837" w14:paraId="5A7739E9" w14:textId="77777777" w:rsidTr="00E16180">
        <w:tc>
          <w:tcPr>
            <w:tcW w:w="562" w:type="dxa"/>
          </w:tcPr>
          <w:p w14:paraId="757DF1E1" w14:textId="77777777" w:rsidR="00372286" w:rsidRPr="00316837" w:rsidRDefault="00372286" w:rsidP="00E16180">
            <w:pPr>
              <w:spacing w:before="120" w:after="120"/>
              <w:rPr>
                <w:rFonts w:eastAsia="Calibri"/>
                <w:sz w:val="18"/>
                <w:szCs w:val="18"/>
              </w:rPr>
            </w:pPr>
            <w:r w:rsidRPr="00316837">
              <w:rPr>
                <w:rFonts w:eastAsia="Calibri"/>
                <w:sz w:val="18"/>
                <w:szCs w:val="18"/>
              </w:rPr>
              <w:t>1</w:t>
            </w:r>
          </w:p>
        </w:tc>
        <w:tc>
          <w:tcPr>
            <w:tcW w:w="9067" w:type="dxa"/>
          </w:tcPr>
          <w:p w14:paraId="729BB4E2" w14:textId="0AD66A1D" w:rsidR="00372286" w:rsidRPr="00316837" w:rsidRDefault="00372286" w:rsidP="00E16180">
            <w:pPr>
              <w:spacing w:before="120" w:after="120"/>
              <w:jc w:val="left"/>
              <w:rPr>
                <w:rFonts w:eastAsia="Calibri"/>
                <w:sz w:val="18"/>
                <w:szCs w:val="18"/>
              </w:rPr>
            </w:pPr>
            <w:r w:rsidRPr="00316837">
              <w:rPr>
                <w:rFonts w:eastAsia="Calibri"/>
                <w:sz w:val="18"/>
                <w:szCs w:val="18"/>
              </w:rPr>
              <w:t xml:space="preserve">Reinforce interconnection lines and develop exchanges in electricity, with the aim of ensuring network solidarity while avoiding the risk of the spread of serious incidents. </w:t>
            </w:r>
          </w:p>
        </w:tc>
      </w:tr>
      <w:tr w:rsidR="00372286" w:rsidRPr="00316837" w14:paraId="41EF5877" w14:textId="77777777" w:rsidTr="00E16180">
        <w:tc>
          <w:tcPr>
            <w:tcW w:w="562" w:type="dxa"/>
          </w:tcPr>
          <w:p w14:paraId="355A6208" w14:textId="16219444" w:rsidR="00372286" w:rsidRPr="00316837" w:rsidRDefault="00372286" w:rsidP="00E16180">
            <w:pPr>
              <w:spacing w:before="120" w:after="120"/>
              <w:rPr>
                <w:rFonts w:eastAsia="Calibri"/>
                <w:sz w:val="18"/>
                <w:szCs w:val="18"/>
              </w:rPr>
            </w:pPr>
            <w:r w:rsidRPr="00316837">
              <w:rPr>
                <w:rFonts w:eastAsia="Calibri"/>
                <w:sz w:val="18"/>
                <w:szCs w:val="18"/>
              </w:rPr>
              <w:t>2</w:t>
            </w:r>
          </w:p>
        </w:tc>
        <w:tc>
          <w:tcPr>
            <w:tcW w:w="9067" w:type="dxa"/>
          </w:tcPr>
          <w:p w14:paraId="676FAA91" w14:textId="5031E5CA" w:rsidR="00372286" w:rsidRPr="00316837" w:rsidRDefault="00372286" w:rsidP="00E16180">
            <w:pPr>
              <w:spacing w:before="120" w:after="120"/>
              <w:jc w:val="left"/>
              <w:rPr>
                <w:rFonts w:eastAsia="Calibri"/>
                <w:sz w:val="18"/>
                <w:szCs w:val="18"/>
              </w:rPr>
            </w:pPr>
            <w:r w:rsidRPr="00316837">
              <w:rPr>
                <w:rFonts w:eastAsia="Calibri"/>
                <w:sz w:val="18"/>
                <w:szCs w:val="18"/>
              </w:rPr>
              <w:t>Elaborate equipment programmes and joint project studies, disseminate a long-term master plan for the Maghreb network, plan development of pumping station projects, etc.</w:t>
            </w:r>
          </w:p>
        </w:tc>
      </w:tr>
      <w:tr w:rsidR="00372286" w:rsidRPr="00316837" w14:paraId="6744FA31" w14:textId="77777777" w:rsidTr="00E16180">
        <w:tc>
          <w:tcPr>
            <w:tcW w:w="562" w:type="dxa"/>
          </w:tcPr>
          <w:p w14:paraId="575C981F" w14:textId="5C3F080F" w:rsidR="00372286" w:rsidRPr="00316837" w:rsidRDefault="00372286" w:rsidP="00E16180">
            <w:pPr>
              <w:spacing w:before="120" w:after="120"/>
              <w:rPr>
                <w:rFonts w:eastAsia="Calibri"/>
                <w:sz w:val="18"/>
                <w:szCs w:val="18"/>
              </w:rPr>
            </w:pPr>
            <w:r w:rsidRPr="00316837">
              <w:rPr>
                <w:rFonts w:eastAsia="Calibri"/>
                <w:sz w:val="18"/>
                <w:szCs w:val="18"/>
              </w:rPr>
              <w:t>3</w:t>
            </w:r>
          </w:p>
        </w:tc>
        <w:tc>
          <w:tcPr>
            <w:tcW w:w="9067" w:type="dxa"/>
          </w:tcPr>
          <w:p w14:paraId="1644C4F7" w14:textId="4BADA5E7" w:rsidR="00372286" w:rsidRPr="00316837" w:rsidRDefault="00372286" w:rsidP="00E16180">
            <w:pPr>
              <w:spacing w:before="120" w:after="120"/>
              <w:jc w:val="left"/>
              <w:rPr>
                <w:rFonts w:eastAsia="Calibri"/>
                <w:sz w:val="18"/>
                <w:szCs w:val="18"/>
              </w:rPr>
            </w:pPr>
            <w:r w:rsidRPr="00316837">
              <w:rPr>
                <w:rFonts w:eastAsia="Calibri"/>
                <w:sz w:val="18"/>
                <w:szCs w:val="18"/>
              </w:rPr>
              <w:t xml:space="preserve">Elaborate and permanently update a map of the Maghrebian electricity network, including distribution network involving the supply of border villages from the nearest network and under the most favourable technical and economic conditions. </w:t>
            </w:r>
          </w:p>
        </w:tc>
      </w:tr>
      <w:tr w:rsidR="00372286" w:rsidRPr="00316837" w14:paraId="79899152" w14:textId="77777777" w:rsidTr="00E16180">
        <w:tc>
          <w:tcPr>
            <w:tcW w:w="562" w:type="dxa"/>
          </w:tcPr>
          <w:p w14:paraId="1572BCC1" w14:textId="2D990049" w:rsidR="00372286" w:rsidRPr="00316837" w:rsidRDefault="00372286" w:rsidP="00E16180">
            <w:pPr>
              <w:spacing w:before="120" w:after="120"/>
              <w:rPr>
                <w:rFonts w:eastAsia="Calibri"/>
                <w:sz w:val="18"/>
                <w:szCs w:val="18"/>
              </w:rPr>
            </w:pPr>
            <w:r w:rsidRPr="00316837">
              <w:rPr>
                <w:rFonts w:eastAsia="Calibri"/>
                <w:sz w:val="18"/>
                <w:szCs w:val="18"/>
              </w:rPr>
              <w:t>4</w:t>
            </w:r>
          </w:p>
        </w:tc>
        <w:tc>
          <w:tcPr>
            <w:tcW w:w="9067" w:type="dxa"/>
          </w:tcPr>
          <w:p w14:paraId="6DBFFE3E" w14:textId="2E3D9B8E" w:rsidR="00372286" w:rsidRPr="00316837" w:rsidRDefault="00372286" w:rsidP="00E16180">
            <w:pPr>
              <w:spacing w:before="120" w:after="120"/>
              <w:jc w:val="left"/>
              <w:rPr>
                <w:rFonts w:eastAsia="Calibri"/>
                <w:sz w:val="18"/>
                <w:szCs w:val="18"/>
              </w:rPr>
            </w:pPr>
            <w:r w:rsidRPr="00316837">
              <w:rPr>
                <w:rFonts w:eastAsia="Calibri"/>
                <w:sz w:val="18"/>
                <w:szCs w:val="18"/>
              </w:rPr>
              <w:t xml:space="preserve">Organise feeding of cross-border villages (for </w:t>
            </w:r>
            <w:r w:rsidR="00184DCE" w:rsidRPr="00316837">
              <w:rPr>
                <w:rFonts w:eastAsia="Calibri"/>
                <w:sz w:val="18"/>
                <w:szCs w:val="18"/>
              </w:rPr>
              <w:t>example</w:t>
            </w:r>
            <w:r w:rsidRPr="00316837">
              <w:rPr>
                <w:rFonts w:eastAsia="Calibri"/>
                <w:sz w:val="18"/>
                <w:szCs w:val="18"/>
              </w:rPr>
              <w:t xml:space="preserve">, feeding the Tunisian village of Sakiet Sidi Youcef from the Algerian network or the Moroccan village of Figuig from the Algerian network in Beni Ounif). </w:t>
            </w:r>
          </w:p>
        </w:tc>
      </w:tr>
      <w:tr w:rsidR="00372286" w:rsidRPr="00316837" w14:paraId="76F5EF7A" w14:textId="77777777" w:rsidTr="00E16180">
        <w:tc>
          <w:tcPr>
            <w:tcW w:w="562" w:type="dxa"/>
          </w:tcPr>
          <w:p w14:paraId="34888B27" w14:textId="53F11A06" w:rsidR="00372286" w:rsidRPr="00316837" w:rsidRDefault="00372286" w:rsidP="00E16180">
            <w:pPr>
              <w:spacing w:before="120" w:after="120"/>
              <w:rPr>
                <w:rFonts w:eastAsia="Calibri"/>
                <w:sz w:val="18"/>
                <w:szCs w:val="18"/>
              </w:rPr>
            </w:pPr>
            <w:r w:rsidRPr="00316837">
              <w:rPr>
                <w:rFonts w:eastAsia="Calibri"/>
                <w:sz w:val="18"/>
                <w:szCs w:val="18"/>
              </w:rPr>
              <w:t>5</w:t>
            </w:r>
          </w:p>
        </w:tc>
        <w:tc>
          <w:tcPr>
            <w:tcW w:w="9067" w:type="dxa"/>
          </w:tcPr>
          <w:p w14:paraId="754F1C19" w14:textId="3676CAE7" w:rsidR="00372286" w:rsidRPr="00316837" w:rsidRDefault="00372286" w:rsidP="00E16180">
            <w:pPr>
              <w:spacing w:before="120" w:after="120"/>
              <w:jc w:val="left"/>
              <w:rPr>
                <w:rFonts w:eastAsia="Calibri"/>
                <w:sz w:val="18"/>
                <w:szCs w:val="18"/>
              </w:rPr>
            </w:pPr>
            <w:r w:rsidRPr="00316837">
              <w:rPr>
                <w:rFonts w:eastAsia="Calibri"/>
                <w:sz w:val="18"/>
                <w:szCs w:val="18"/>
              </w:rPr>
              <w:t xml:space="preserve">Plan common use of electricity-related training structures. </w:t>
            </w:r>
          </w:p>
        </w:tc>
      </w:tr>
      <w:tr w:rsidR="00372286" w:rsidRPr="00316837" w14:paraId="21FBE703" w14:textId="77777777" w:rsidTr="00E16180">
        <w:tc>
          <w:tcPr>
            <w:tcW w:w="562" w:type="dxa"/>
          </w:tcPr>
          <w:p w14:paraId="4D235779" w14:textId="57DA2E69" w:rsidR="00372286" w:rsidRPr="00316837" w:rsidRDefault="00372286" w:rsidP="00E16180">
            <w:pPr>
              <w:spacing w:before="120" w:after="120"/>
              <w:rPr>
                <w:rFonts w:eastAsia="Calibri"/>
                <w:sz w:val="18"/>
                <w:szCs w:val="18"/>
              </w:rPr>
            </w:pPr>
            <w:r w:rsidRPr="00316837">
              <w:rPr>
                <w:rFonts w:eastAsia="Calibri"/>
                <w:sz w:val="18"/>
                <w:szCs w:val="18"/>
              </w:rPr>
              <w:t>6</w:t>
            </w:r>
          </w:p>
        </w:tc>
        <w:tc>
          <w:tcPr>
            <w:tcW w:w="9067" w:type="dxa"/>
          </w:tcPr>
          <w:p w14:paraId="5FDFA64E" w14:textId="4565EB94" w:rsidR="00372286" w:rsidRPr="00316837" w:rsidRDefault="00372286" w:rsidP="00E16180">
            <w:pPr>
              <w:spacing w:before="120" w:after="120"/>
              <w:jc w:val="left"/>
              <w:rPr>
                <w:rFonts w:eastAsia="Calibri"/>
                <w:sz w:val="18"/>
                <w:szCs w:val="18"/>
              </w:rPr>
            </w:pPr>
            <w:r w:rsidRPr="00316837">
              <w:rPr>
                <w:rFonts w:eastAsia="Calibri"/>
                <w:sz w:val="18"/>
                <w:szCs w:val="18"/>
              </w:rPr>
              <w:t>Promote the Maghreb industrial integration, the intervention of design offices and works and manufacturing companies of electrical equipment in the Maghreb, through the strengthening of engineering function.</w:t>
            </w:r>
          </w:p>
        </w:tc>
      </w:tr>
    </w:tbl>
    <w:p w14:paraId="244331AA" w14:textId="7A349769" w:rsidR="00E74A28" w:rsidRPr="00316837" w:rsidRDefault="00F20C29" w:rsidP="00F260DE">
      <w:pPr>
        <w:rPr>
          <w:rFonts w:eastAsia="Calibri"/>
        </w:rPr>
      </w:pPr>
      <w:r w:rsidRPr="00316837">
        <w:rPr>
          <w:rFonts w:eastAsia="Calibri"/>
        </w:rPr>
        <w:t xml:space="preserve">In the above set-up, </w:t>
      </w:r>
      <w:r w:rsidR="00F260DE" w:rsidRPr="00316837">
        <w:rPr>
          <w:rFonts w:eastAsia="Calibri"/>
        </w:rPr>
        <w:t xml:space="preserve">the COMELEC </w:t>
      </w:r>
      <w:r w:rsidRPr="00316837">
        <w:rPr>
          <w:rFonts w:eastAsia="Calibri"/>
        </w:rPr>
        <w:t xml:space="preserve">Commissions retain the technical expertise required for </w:t>
      </w:r>
      <w:r w:rsidR="00F260DE" w:rsidRPr="00316837">
        <w:rPr>
          <w:rFonts w:eastAsia="Calibri"/>
        </w:rPr>
        <w:t xml:space="preserve">development </w:t>
      </w:r>
      <w:r w:rsidR="00436B92" w:rsidRPr="00316837">
        <w:rPr>
          <w:rFonts w:eastAsia="Calibri"/>
        </w:rPr>
        <w:t xml:space="preserve">of </w:t>
      </w:r>
      <w:r w:rsidR="00E74A28" w:rsidRPr="00316837">
        <w:rPr>
          <w:rFonts w:eastAsia="Calibri"/>
        </w:rPr>
        <w:t xml:space="preserve">joint </w:t>
      </w:r>
      <w:r w:rsidR="00F260DE" w:rsidRPr="00316837">
        <w:rPr>
          <w:rFonts w:eastAsia="Calibri"/>
        </w:rPr>
        <w:t>studies o</w:t>
      </w:r>
      <w:r w:rsidRPr="00316837">
        <w:rPr>
          <w:rFonts w:eastAsia="Calibri"/>
        </w:rPr>
        <w:t>f</w:t>
      </w:r>
      <w:r w:rsidR="00F260DE" w:rsidRPr="00316837">
        <w:rPr>
          <w:rFonts w:eastAsia="Calibri"/>
        </w:rPr>
        <w:t xml:space="preserve"> a regional </w:t>
      </w:r>
      <w:r w:rsidRPr="00316837">
        <w:rPr>
          <w:rFonts w:eastAsia="Calibri"/>
        </w:rPr>
        <w:t xml:space="preserve">significance and </w:t>
      </w:r>
      <w:r w:rsidR="00F260DE" w:rsidRPr="00316837">
        <w:rPr>
          <w:rFonts w:eastAsia="Calibri"/>
        </w:rPr>
        <w:t>scale</w:t>
      </w:r>
      <w:r w:rsidR="00E74A28" w:rsidRPr="00316837">
        <w:rPr>
          <w:rFonts w:eastAsia="Calibri"/>
        </w:rPr>
        <w:t xml:space="preserve">, the results of which are integrated into the development of member utilities’ activities and concern several areas. For </w:t>
      </w:r>
      <w:r w:rsidR="00184DCE" w:rsidRPr="00316837">
        <w:rPr>
          <w:rFonts w:eastAsia="Calibri"/>
        </w:rPr>
        <w:t>example</w:t>
      </w:r>
      <w:r w:rsidR="00E74A28" w:rsidRPr="00316837">
        <w:rPr>
          <w:rFonts w:eastAsia="Calibri"/>
        </w:rPr>
        <w:t xml:space="preserve">, they participated in the ELTAM study (Egypt-Libya-Tunisia-Algeria-Morocco interconnection) which enabled the signing of a project implementation agreement between the 5 countries. Moreover, they contributed to the MEDRING study for the joint exploitation of the interconnected loop network between the countries of the Mediterranean Region. Furthermore, they contributed to the realisation of the SYSTMED study relating to the development of electricity networks of countries bordering the Mediterranean. </w:t>
      </w:r>
    </w:p>
    <w:p w14:paraId="76563E78" w14:textId="5F5E6359" w:rsidR="00E74A28" w:rsidRPr="00316837" w:rsidRDefault="00E74A28" w:rsidP="00E74A28">
      <w:pPr>
        <w:rPr>
          <w:rFonts w:eastAsia="Calibri"/>
        </w:rPr>
      </w:pPr>
      <w:r w:rsidRPr="00316837">
        <w:rPr>
          <w:rFonts w:eastAsia="Calibri"/>
        </w:rPr>
        <w:t xml:space="preserve">Through the above studies as well as the other ones, COMELEC has </w:t>
      </w:r>
      <w:r w:rsidR="00A02238" w:rsidRPr="00316837">
        <w:rPr>
          <w:rFonts w:eastAsia="Calibri"/>
        </w:rPr>
        <w:t xml:space="preserve">so far </w:t>
      </w:r>
      <w:r w:rsidRPr="00316837">
        <w:rPr>
          <w:rFonts w:eastAsia="Calibri"/>
        </w:rPr>
        <w:t xml:space="preserve">worked on: </w:t>
      </w:r>
    </w:p>
    <w:p w14:paraId="0E8F1600" w14:textId="7801C101" w:rsidR="00E74A28" w:rsidRPr="00316837" w:rsidRDefault="00E74A28" w:rsidP="00AB7DB1">
      <w:pPr>
        <w:pStyle w:val="ListParagraph"/>
        <w:numPr>
          <w:ilvl w:val="0"/>
          <w:numId w:val="4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harmonisation of planning and forecasting methodologies, </w:t>
      </w:r>
    </w:p>
    <w:p w14:paraId="224BB7B2" w14:textId="01392E63" w:rsidR="00E74A28" w:rsidRPr="00316837" w:rsidRDefault="00E74A28" w:rsidP="00AB7DB1">
      <w:pPr>
        <w:pStyle w:val="ListParagraph"/>
        <w:numPr>
          <w:ilvl w:val="0"/>
          <w:numId w:val="4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knowledge of customers and their management (tools, methodologies and results), </w:t>
      </w:r>
    </w:p>
    <w:p w14:paraId="16EE1CEE" w14:textId="2F3ED44B" w:rsidR="00E74A28" w:rsidRPr="00316837" w:rsidRDefault="00E74A28" w:rsidP="00AB7DB1">
      <w:pPr>
        <w:pStyle w:val="ListParagraph"/>
        <w:numPr>
          <w:ilvl w:val="0"/>
          <w:numId w:val="4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systematic monitoring of technological, institutional and economic aspects, </w:t>
      </w:r>
    </w:p>
    <w:p w14:paraId="5F069AD0" w14:textId="6B46B711" w:rsidR="00E74A28" w:rsidRPr="00316837" w:rsidRDefault="00E74A28" w:rsidP="00AB7DB1">
      <w:pPr>
        <w:pStyle w:val="ListParagraph"/>
        <w:numPr>
          <w:ilvl w:val="0"/>
          <w:numId w:val="4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coordination of operations in the exploitation of the interconnected Maghreb system, etc. </w:t>
      </w:r>
    </w:p>
    <w:p w14:paraId="77D0455E" w14:textId="3F8206F4" w:rsidR="00F260DE" w:rsidRPr="00316837" w:rsidRDefault="00E74A28" w:rsidP="00060C79">
      <w:pPr>
        <w:rPr>
          <w:rFonts w:eastAsia="Calibri"/>
        </w:rPr>
      </w:pPr>
      <w:r w:rsidRPr="00316837">
        <w:rPr>
          <w:rFonts w:eastAsia="Calibri"/>
        </w:rPr>
        <w:t xml:space="preserve">COMELEC also prepares and disseminate annual statistics of electricity activity in the Maghreb, </w:t>
      </w:r>
      <w:r w:rsidR="00F260DE" w:rsidRPr="00316837">
        <w:rPr>
          <w:rFonts w:eastAsia="Calibri"/>
        </w:rPr>
        <w:t>giv</w:t>
      </w:r>
      <w:r w:rsidRPr="00316837">
        <w:rPr>
          <w:rFonts w:eastAsia="Calibri"/>
        </w:rPr>
        <w:t>ing</w:t>
      </w:r>
      <w:r w:rsidR="00F260DE" w:rsidRPr="00316837">
        <w:rPr>
          <w:rFonts w:eastAsia="Calibri"/>
        </w:rPr>
        <w:t xml:space="preserve"> the main management parameters for each of the electricity utilities (the latest publicly available for 2015). The electricity network losses are not part of a statistics bulletin. </w:t>
      </w:r>
      <w:r w:rsidR="00060C79" w:rsidRPr="00316837">
        <w:rPr>
          <w:rFonts w:eastAsia="Calibri"/>
        </w:rPr>
        <w:t xml:space="preserve">In the period from 2000 till 2014, total installed generation capacity was increased from 17,875 MW to 38,451 MW due to the introduction of combined cycle gas turbines and the introduction of renewable energies, mainly wind power. In the same period, total generation was increased from 61,095 GWh to 145,533 GWh. A progressive evolution towards the energy mix wherein renewable energies will constitute a base in the long-term, is noticeable in electricity generation. </w:t>
      </w:r>
    </w:p>
    <w:p w14:paraId="514F2222" w14:textId="7B65AD66" w:rsidR="00060C79" w:rsidRPr="00316837" w:rsidRDefault="00060C79" w:rsidP="00060C79">
      <w:pPr>
        <w:rPr>
          <w:rFonts w:eastAsia="Calibri"/>
        </w:rPr>
      </w:pPr>
      <w:bookmarkStart w:id="133" w:name="_Hlk76560359"/>
      <w:r w:rsidRPr="00316837">
        <w:rPr>
          <w:rFonts w:eastAsia="Calibri"/>
          <w:szCs w:val="20"/>
        </w:rPr>
        <w:lastRenderedPageBreak/>
        <w:t>The existing interconnections (intra-Maghreb and Euro-Maghreb, see</w:t>
      </w:r>
      <w:r w:rsidR="00203845" w:rsidRPr="00316837">
        <w:rPr>
          <w:rFonts w:eastAsia="Calibri"/>
          <w:szCs w:val="20"/>
        </w:rPr>
        <w:t xml:space="preserve"> </w:t>
      </w:r>
      <w:r w:rsidR="00832235" w:rsidRPr="00316837">
        <w:rPr>
          <w:rFonts w:eastAsia="Calibri"/>
          <w:szCs w:val="20"/>
        </w:rPr>
        <w:fldChar w:fldCharType="begin"/>
      </w:r>
      <w:r w:rsidR="00832235" w:rsidRPr="00316837">
        <w:rPr>
          <w:rFonts w:eastAsia="Calibri"/>
          <w:szCs w:val="20"/>
        </w:rPr>
        <w:instrText xml:space="preserve"> REF _Ref73969354 \h  \* MERGEFORMAT </w:instrText>
      </w:r>
      <w:r w:rsidR="00832235" w:rsidRPr="00316837">
        <w:rPr>
          <w:rFonts w:eastAsia="Calibri"/>
          <w:szCs w:val="20"/>
        </w:rPr>
      </w:r>
      <w:r w:rsidR="00832235" w:rsidRPr="00316837">
        <w:rPr>
          <w:rFonts w:eastAsia="Calibri"/>
          <w:szCs w:val="20"/>
        </w:rPr>
        <w:fldChar w:fldCharType="separate"/>
      </w:r>
      <w:r w:rsidR="00507C15" w:rsidRPr="006273BD">
        <w:rPr>
          <w:rFonts w:eastAsia="Calibri"/>
          <w:bCs/>
          <w:szCs w:val="20"/>
        </w:rPr>
        <w:t>Figure 3</w:t>
      </w:r>
      <w:r w:rsidR="00507C15" w:rsidRPr="006273BD">
        <w:rPr>
          <w:rFonts w:eastAsia="Calibri"/>
          <w:bCs/>
          <w:szCs w:val="20"/>
        </w:rPr>
        <w:noBreakHyphen/>
        <w:t>11</w:t>
      </w:r>
      <w:r w:rsidR="00832235" w:rsidRPr="00316837">
        <w:rPr>
          <w:rFonts w:eastAsia="Calibri"/>
          <w:szCs w:val="20"/>
        </w:rPr>
        <w:fldChar w:fldCharType="end"/>
      </w:r>
      <w:r w:rsidR="00832235" w:rsidRPr="00C632F6">
        <w:rPr>
          <w:rFonts w:eastAsia="Calibri"/>
          <w:szCs w:val="20"/>
        </w:rPr>
        <w:t xml:space="preserve"> </w:t>
      </w:r>
      <w:r w:rsidR="00203845" w:rsidRPr="00316837">
        <w:rPr>
          <w:rFonts w:eastAsia="Calibri"/>
          <w:szCs w:val="20"/>
        </w:rPr>
        <w:t xml:space="preserve">and </w:t>
      </w:r>
      <w:r w:rsidR="00203845" w:rsidRPr="00316837">
        <w:rPr>
          <w:rFonts w:eastAsia="Calibri"/>
          <w:szCs w:val="20"/>
        </w:rPr>
        <w:fldChar w:fldCharType="begin"/>
      </w:r>
      <w:r w:rsidR="00203845" w:rsidRPr="00316837">
        <w:rPr>
          <w:rFonts w:eastAsia="Calibri"/>
          <w:szCs w:val="20"/>
        </w:rPr>
        <w:instrText xml:space="preserve"> REF _Ref73969664 \h </w:instrText>
      </w:r>
      <w:r w:rsidR="00832235" w:rsidRPr="00316837">
        <w:rPr>
          <w:rFonts w:eastAsia="Calibri"/>
          <w:szCs w:val="20"/>
        </w:rPr>
        <w:instrText xml:space="preserve"> \* MERGEFORMAT </w:instrText>
      </w:r>
      <w:r w:rsidR="00203845" w:rsidRPr="00316837">
        <w:rPr>
          <w:rFonts w:eastAsia="Calibri"/>
          <w:szCs w:val="20"/>
        </w:rPr>
      </w:r>
      <w:r w:rsidR="00203845" w:rsidRPr="00316837">
        <w:rPr>
          <w:rFonts w:eastAsia="Calibri"/>
          <w:szCs w:val="20"/>
        </w:rPr>
        <w:fldChar w:fldCharType="separate"/>
      </w:r>
      <w:r w:rsidR="00507C15" w:rsidRPr="006273BD">
        <w:rPr>
          <w:rFonts w:eastAsia="Calibri"/>
          <w:bCs/>
          <w:szCs w:val="20"/>
        </w:rPr>
        <w:t>Figure 3</w:t>
      </w:r>
      <w:r w:rsidR="00507C15" w:rsidRPr="006273BD">
        <w:rPr>
          <w:rFonts w:eastAsia="Calibri"/>
          <w:bCs/>
          <w:szCs w:val="20"/>
        </w:rPr>
        <w:noBreakHyphen/>
        <w:t>12</w:t>
      </w:r>
      <w:r w:rsidR="00203845" w:rsidRPr="00316837">
        <w:rPr>
          <w:rFonts w:eastAsia="Calibri"/>
          <w:szCs w:val="20"/>
        </w:rPr>
        <w:fldChar w:fldCharType="end"/>
      </w:r>
      <w:r w:rsidRPr="00C632F6">
        <w:rPr>
          <w:rFonts w:eastAsia="Calibri"/>
          <w:szCs w:val="20"/>
        </w:rPr>
        <w:t>) make it possible to facilitate</w:t>
      </w:r>
      <w:r w:rsidRPr="00316837">
        <w:rPr>
          <w:rFonts w:eastAsia="Calibri"/>
        </w:rPr>
        <w:t xml:space="preserve"> electricity exchanges by securing both the electricity systems and the energy supply. Traditional links have existed in the Maghreb for a long time due to previously established cooperation in the electricity sector (between Algeria and Tunisia since 1953; between Algeria and Morocco since 1988; and between Tunisia and Libya</w:t>
      </w:r>
      <w:r w:rsidRPr="00316837">
        <w:t xml:space="preserve"> which is </w:t>
      </w:r>
      <w:r w:rsidRPr="00316837">
        <w:rPr>
          <w:rFonts w:eastAsia="Calibri"/>
        </w:rPr>
        <w:t>still not activated for technical reasons linked with network stability).</w:t>
      </w:r>
      <w:r w:rsidRPr="00316837">
        <w:t xml:space="preserve"> Today, t</w:t>
      </w:r>
      <w:r w:rsidRPr="00316837">
        <w:rPr>
          <w:rFonts w:eastAsia="Calibri"/>
        </w:rPr>
        <w:t xml:space="preserve">he intra-Maghreb interconnection </w:t>
      </w:r>
      <w:r w:rsidR="00316837">
        <w:rPr>
          <w:rFonts w:eastAsia="Calibri"/>
        </w:rPr>
        <w:t xml:space="preserve">which </w:t>
      </w:r>
      <w:r w:rsidRPr="00316837">
        <w:rPr>
          <w:rFonts w:eastAsia="Calibri"/>
        </w:rPr>
        <w:t>functions between Morocco, Algeria and Tunisia</w:t>
      </w:r>
      <w:r w:rsidR="00316837">
        <w:rPr>
          <w:rFonts w:eastAsia="Calibri"/>
        </w:rPr>
        <w:t>,</w:t>
      </w:r>
      <w:r w:rsidRPr="00316837">
        <w:rPr>
          <w:rFonts w:eastAsia="Calibri"/>
        </w:rPr>
        <w:t xml:space="preserve"> allows electricity exchanges (commercial and non-commercial) between the electricity systems of the three countries. </w:t>
      </w:r>
      <w:r w:rsidR="0078481D" w:rsidRPr="00316837">
        <w:rPr>
          <w:rFonts w:eastAsia="Calibri"/>
        </w:rPr>
        <w:t xml:space="preserve">Despite the potential of existing intra-Maghreb interconnection, exchange of electricity between </w:t>
      </w:r>
      <w:r w:rsidR="0078481D" w:rsidRPr="00316837">
        <w:rPr>
          <w:rFonts w:eastAsia="Calibri"/>
          <w:szCs w:val="20"/>
        </w:rPr>
        <w:t xml:space="preserve">the Maghreb countries is still at a rather limited level (see </w:t>
      </w:r>
      <w:r w:rsidR="0078481D" w:rsidRPr="00316837">
        <w:rPr>
          <w:rFonts w:eastAsia="Calibri"/>
          <w:szCs w:val="20"/>
        </w:rPr>
        <w:fldChar w:fldCharType="begin"/>
      </w:r>
      <w:r w:rsidR="0078481D" w:rsidRPr="00316837">
        <w:rPr>
          <w:rFonts w:eastAsia="Calibri"/>
          <w:szCs w:val="20"/>
        </w:rPr>
        <w:instrText xml:space="preserve"> REF _Ref73970055 \h  \* MERGEFORMAT </w:instrText>
      </w:r>
      <w:r w:rsidR="0078481D" w:rsidRPr="00316837">
        <w:rPr>
          <w:rFonts w:eastAsia="Calibri"/>
          <w:szCs w:val="20"/>
        </w:rPr>
      </w:r>
      <w:r w:rsidR="0078481D" w:rsidRPr="00316837">
        <w:rPr>
          <w:rFonts w:eastAsia="Calibri"/>
          <w:szCs w:val="20"/>
        </w:rPr>
        <w:fldChar w:fldCharType="separate"/>
      </w:r>
      <w:r w:rsidR="00507C15" w:rsidRPr="006273BD">
        <w:rPr>
          <w:rFonts w:eastAsia="Calibri"/>
          <w:bCs/>
          <w:szCs w:val="20"/>
        </w:rPr>
        <w:t>Figure 3</w:t>
      </w:r>
      <w:r w:rsidR="00507C15" w:rsidRPr="006273BD">
        <w:rPr>
          <w:rFonts w:eastAsia="Calibri"/>
          <w:bCs/>
          <w:szCs w:val="20"/>
        </w:rPr>
        <w:noBreakHyphen/>
        <w:t>13</w:t>
      </w:r>
      <w:r w:rsidR="0078481D" w:rsidRPr="00316837">
        <w:rPr>
          <w:rFonts w:eastAsia="Calibri"/>
          <w:szCs w:val="20"/>
        </w:rPr>
        <w:fldChar w:fldCharType="end"/>
      </w:r>
      <w:r w:rsidR="0078481D" w:rsidRPr="00C632F6">
        <w:rPr>
          <w:rFonts w:eastAsia="Calibri"/>
          <w:szCs w:val="20"/>
        </w:rPr>
        <w:t xml:space="preserve">). </w:t>
      </w:r>
      <w:r w:rsidRPr="00316837">
        <w:rPr>
          <w:rFonts w:eastAsia="Calibri"/>
        </w:rPr>
        <w:t xml:space="preserve">The Euro-Maghreb interconnection consists of two 400 kV </w:t>
      </w:r>
      <w:r w:rsidR="001D4932" w:rsidRPr="00316837">
        <w:rPr>
          <w:rFonts w:eastAsia="Calibri"/>
        </w:rPr>
        <w:t>HV</w:t>
      </w:r>
      <w:r w:rsidRPr="00316837">
        <w:rPr>
          <w:rFonts w:eastAsia="Calibri"/>
        </w:rPr>
        <w:t xml:space="preserve">AC submarine links of 1400 MW capacity between Morocco and Spain, commissioned in 1997 and 2006. </w:t>
      </w:r>
    </w:p>
    <w:bookmarkEnd w:id="133"/>
    <w:p w14:paraId="0595371C" w14:textId="47AE595B" w:rsidR="00E83528" w:rsidRPr="00C632F6" w:rsidRDefault="00E83528" w:rsidP="00507C15">
      <w:pPr>
        <w:rPr>
          <w:rFonts w:eastAsia="Calibri"/>
          <w:szCs w:val="20"/>
        </w:rPr>
      </w:pPr>
      <w:r w:rsidRPr="006273BD">
        <w:rPr>
          <w:rFonts w:eastAsia="Calibri"/>
          <w:noProof/>
          <w:szCs w:val="20"/>
          <w:lang w:eastAsia="en-GB"/>
        </w:rPr>
        <w:drawing>
          <wp:inline distT="0" distB="0" distL="0" distR="0" wp14:anchorId="2717C885" wp14:editId="73A1DAB7">
            <wp:extent cx="6096677" cy="26572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2476" cy="2668476"/>
                    </a:xfrm>
                    <a:prstGeom prst="rect">
                      <a:avLst/>
                    </a:prstGeom>
                    <a:noFill/>
                  </pic:spPr>
                </pic:pic>
              </a:graphicData>
            </a:graphic>
          </wp:inline>
        </w:drawing>
      </w:r>
    </w:p>
    <w:p w14:paraId="3AE4F57A" w14:textId="4A52C395" w:rsidR="00060C79" w:rsidRPr="00316837" w:rsidRDefault="00060C79" w:rsidP="00060C79">
      <w:pPr>
        <w:rPr>
          <w:rFonts w:eastAsia="Calibri"/>
          <w:bCs/>
          <w:sz w:val="18"/>
          <w:szCs w:val="18"/>
        </w:rPr>
      </w:pPr>
      <w:bookmarkStart w:id="134" w:name="_Ref73969354"/>
      <w:bookmarkStart w:id="135" w:name="_Toc77260273"/>
      <w:r w:rsidRPr="00316837">
        <w:rPr>
          <w:rFonts w:eastAsia="Calibri"/>
          <w:bCs/>
          <w:sz w:val="18"/>
          <w:szCs w:val="18"/>
        </w:rPr>
        <w:t xml:space="preserve">Figure </w:t>
      </w:r>
      <w:r w:rsidRPr="00316837">
        <w:rPr>
          <w:rFonts w:eastAsia="Calibri"/>
          <w:bCs/>
          <w:sz w:val="18"/>
          <w:szCs w:val="18"/>
        </w:rPr>
        <w:fldChar w:fldCharType="begin"/>
      </w:r>
      <w:r w:rsidRPr="00316837">
        <w:rPr>
          <w:rFonts w:eastAsia="Calibri"/>
          <w:bCs/>
          <w:sz w:val="18"/>
          <w:szCs w:val="18"/>
        </w:rPr>
        <w:instrText xml:space="preserve"> STYLEREF 1 \s </w:instrText>
      </w:r>
      <w:r w:rsidRPr="00316837">
        <w:rPr>
          <w:rFonts w:eastAsia="Calibri"/>
          <w:bCs/>
          <w:sz w:val="18"/>
          <w:szCs w:val="18"/>
        </w:rPr>
        <w:fldChar w:fldCharType="separate"/>
      </w:r>
      <w:r w:rsidR="00203845" w:rsidRPr="00316837">
        <w:rPr>
          <w:rFonts w:eastAsia="Calibri"/>
          <w:bCs/>
          <w:sz w:val="18"/>
          <w:szCs w:val="18"/>
        </w:rPr>
        <w:t>3</w:t>
      </w:r>
      <w:r w:rsidRPr="00316837">
        <w:rPr>
          <w:rFonts w:eastAsia="Calibri"/>
          <w:sz w:val="18"/>
          <w:szCs w:val="18"/>
        </w:rPr>
        <w:fldChar w:fldCharType="end"/>
      </w:r>
      <w:r w:rsidRPr="00C632F6">
        <w:rPr>
          <w:rFonts w:eastAsia="Calibri"/>
          <w:bCs/>
          <w:sz w:val="18"/>
          <w:szCs w:val="18"/>
        </w:rPr>
        <w:noBreakHyphen/>
      </w:r>
      <w:r w:rsidRPr="00316837">
        <w:rPr>
          <w:rFonts w:eastAsia="Calibri"/>
          <w:bCs/>
          <w:sz w:val="18"/>
          <w:szCs w:val="18"/>
        </w:rPr>
        <w:fldChar w:fldCharType="begin"/>
      </w:r>
      <w:r w:rsidRPr="00316837">
        <w:rPr>
          <w:rFonts w:eastAsia="Calibri"/>
          <w:bCs/>
          <w:sz w:val="18"/>
          <w:szCs w:val="18"/>
        </w:rPr>
        <w:instrText xml:space="preserve"> SEQ Figure \* ARABIC \s 1 </w:instrText>
      </w:r>
      <w:r w:rsidRPr="00316837">
        <w:rPr>
          <w:rFonts w:eastAsia="Calibri"/>
          <w:bCs/>
          <w:sz w:val="18"/>
          <w:szCs w:val="18"/>
        </w:rPr>
        <w:fldChar w:fldCharType="separate"/>
      </w:r>
      <w:r w:rsidR="00507C15">
        <w:rPr>
          <w:rFonts w:eastAsia="Calibri"/>
          <w:bCs/>
          <w:noProof/>
          <w:sz w:val="18"/>
          <w:szCs w:val="18"/>
        </w:rPr>
        <w:t>11</w:t>
      </w:r>
      <w:r w:rsidRPr="00316837">
        <w:rPr>
          <w:rFonts w:eastAsia="Calibri"/>
          <w:sz w:val="18"/>
          <w:szCs w:val="18"/>
        </w:rPr>
        <w:fldChar w:fldCharType="end"/>
      </w:r>
      <w:bookmarkEnd w:id="134"/>
      <w:r w:rsidRPr="00C632F6">
        <w:rPr>
          <w:rFonts w:eastAsia="Calibri"/>
          <w:bCs/>
          <w:sz w:val="18"/>
          <w:szCs w:val="18"/>
        </w:rPr>
        <w:t>: Existing intra-Maghreb and Euro-Maghreb interconnections (source: COMELEC)</w:t>
      </w:r>
      <w:bookmarkEnd w:id="135"/>
      <w:r w:rsidRPr="00C632F6">
        <w:rPr>
          <w:rFonts w:eastAsia="Calibri"/>
          <w:bCs/>
          <w:sz w:val="18"/>
          <w:szCs w:val="18"/>
        </w:rPr>
        <w:t xml:space="preserve"> </w:t>
      </w:r>
    </w:p>
    <w:p w14:paraId="69E55899" w14:textId="4F7091C2" w:rsidR="00060C79" w:rsidRPr="00C632F6" w:rsidRDefault="00060C79" w:rsidP="00507C15">
      <w:pPr>
        <w:rPr>
          <w:rFonts w:eastAsia="Calibri"/>
        </w:rPr>
      </w:pPr>
      <w:r w:rsidRPr="006273BD">
        <w:rPr>
          <w:rFonts w:eastAsia="Calibri"/>
          <w:noProof/>
          <w:lang w:eastAsia="en-GB"/>
        </w:rPr>
        <w:drawing>
          <wp:inline distT="0" distB="0" distL="0" distR="0" wp14:anchorId="7C345D85" wp14:editId="19886195">
            <wp:extent cx="6110235" cy="2665046"/>
            <wp:effectExtent l="0" t="0" r="508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722" b="3161"/>
                    <a:stretch/>
                  </pic:blipFill>
                  <pic:spPr bwMode="auto">
                    <a:xfrm>
                      <a:off x="0" y="0"/>
                      <a:ext cx="6168137" cy="2690301"/>
                    </a:xfrm>
                    <a:prstGeom prst="rect">
                      <a:avLst/>
                    </a:prstGeom>
                    <a:noFill/>
                    <a:ln>
                      <a:noFill/>
                    </a:ln>
                    <a:extLst>
                      <a:ext uri="{53640926-AAD7-44D8-BBD7-CCE9431645EC}">
                        <a14:shadowObscured xmlns:a14="http://schemas.microsoft.com/office/drawing/2010/main"/>
                      </a:ext>
                    </a:extLst>
                  </pic:spPr>
                </pic:pic>
              </a:graphicData>
            </a:graphic>
          </wp:inline>
        </w:drawing>
      </w:r>
    </w:p>
    <w:p w14:paraId="28D226BE" w14:textId="44682BB5" w:rsidR="00060C79" w:rsidRPr="00316837" w:rsidRDefault="00060C79" w:rsidP="00060C79">
      <w:pPr>
        <w:rPr>
          <w:rFonts w:eastAsia="Calibri"/>
          <w:bCs/>
          <w:sz w:val="18"/>
          <w:szCs w:val="18"/>
        </w:rPr>
      </w:pPr>
      <w:bookmarkStart w:id="136" w:name="_Ref73969664"/>
      <w:bookmarkStart w:id="137" w:name="_Toc77260274"/>
      <w:r w:rsidRPr="00316837">
        <w:rPr>
          <w:rFonts w:eastAsia="Calibri"/>
          <w:bCs/>
          <w:sz w:val="18"/>
          <w:szCs w:val="18"/>
        </w:rPr>
        <w:t xml:space="preserve">Figure </w:t>
      </w:r>
      <w:r w:rsidRPr="00316837">
        <w:rPr>
          <w:rFonts w:eastAsia="Calibri"/>
          <w:bCs/>
          <w:sz w:val="18"/>
          <w:szCs w:val="18"/>
        </w:rPr>
        <w:fldChar w:fldCharType="begin"/>
      </w:r>
      <w:r w:rsidRPr="00316837">
        <w:rPr>
          <w:rFonts w:eastAsia="Calibri"/>
          <w:bCs/>
          <w:sz w:val="18"/>
          <w:szCs w:val="18"/>
        </w:rPr>
        <w:instrText xml:space="preserve"> STYLEREF 1 \s </w:instrText>
      </w:r>
      <w:r w:rsidRPr="00316837">
        <w:rPr>
          <w:rFonts w:eastAsia="Calibri"/>
          <w:bCs/>
          <w:sz w:val="18"/>
          <w:szCs w:val="18"/>
        </w:rPr>
        <w:fldChar w:fldCharType="separate"/>
      </w:r>
      <w:r w:rsidR="00203845" w:rsidRPr="00316837">
        <w:rPr>
          <w:rFonts w:eastAsia="Calibri"/>
          <w:bCs/>
          <w:sz w:val="18"/>
          <w:szCs w:val="18"/>
        </w:rPr>
        <w:t>3</w:t>
      </w:r>
      <w:r w:rsidRPr="00316837">
        <w:rPr>
          <w:rFonts w:eastAsia="Calibri"/>
          <w:sz w:val="18"/>
          <w:szCs w:val="18"/>
        </w:rPr>
        <w:fldChar w:fldCharType="end"/>
      </w:r>
      <w:r w:rsidRPr="00C632F6">
        <w:rPr>
          <w:rFonts w:eastAsia="Calibri"/>
          <w:bCs/>
          <w:sz w:val="18"/>
          <w:szCs w:val="18"/>
        </w:rPr>
        <w:noBreakHyphen/>
      </w:r>
      <w:r w:rsidRPr="00316837">
        <w:rPr>
          <w:rFonts w:eastAsia="Calibri"/>
          <w:bCs/>
          <w:sz w:val="18"/>
          <w:szCs w:val="18"/>
        </w:rPr>
        <w:fldChar w:fldCharType="begin"/>
      </w:r>
      <w:r w:rsidRPr="00316837">
        <w:rPr>
          <w:rFonts w:eastAsia="Calibri"/>
          <w:bCs/>
          <w:sz w:val="18"/>
          <w:szCs w:val="18"/>
        </w:rPr>
        <w:instrText xml:space="preserve"> SEQ Figure \* ARABIC \s 1 </w:instrText>
      </w:r>
      <w:r w:rsidRPr="00316837">
        <w:rPr>
          <w:rFonts w:eastAsia="Calibri"/>
          <w:bCs/>
          <w:sz w:val="18"/>
          <w:szCs w:val="18"/>
        </w:rPr>
        <w:fldChar w:fldCharType="separate"/>
      </w:r>
      <w:r w:rsidR="00507C15">
        <w:rPr>
          <w:rFonts w:eastAsia="Calibri"/>
          <w:bCs/>
          <w:noProof/>
          <w:sz w:val="18"/>
          <w:szCs w:val="18"/>
        </w:rPr>
        <w:t>12</w:t>
      </w:r>
      <w:r w:rsidRPr="00316837">
        <w:rPr>
          <w:rFonts w:eastAsia="Calibri"/>
          <w:sz w:val="18"/>
          <w:szCs w:val="18"/>
        </w:rPr>
        <w:fldChar w:fldCharType="end"/>
      </w:r>
      <w:bookmarkEnd w:id="136"/>
      <w:r w:rsidRPr="00C632F6">
        <w:rPr>
          <w:rFonts w:eastAsia="Calibri"/>
          <w:bCs/>
          <w:sz w:val="18"/>
          <w:szCs w:val="18"/>
        </w:rPr>
        <w:t>: Transit capacity of the existing intra-Maghreb and Euro-Maghreb interconnections (source: COMELEC)</w:t>
      </w:r>
      <w:bookmarkEnd w:id="137"/>
      <w:r w:rsidRPr="00C632F6">
        <w:rPr>
          <w:rFonts w:eastAsia="Calibri"/>
          <w:bCs/>
          <w:sz w:val="18"/>
          <w:szCs w:val="18"/>
        </w:rPr>
        <w:t xml:space="preserve"> </w:t>
      </w:r>
    </w:p>
    <w:p w14:paraId="77317CD5" w14:textId="77777777" w:rsidR="0078481D" w:rsidRPr="00C632F6" w:rsidRDefault="0078481D" w:rsidP="006273BD">
      <w:pPr>
        <w:jc w:val="center"/>
        <w:rPr>
          <w:rFonts w:eastAsia="Calibri"/>
          <w:szCs w:val="20"/>
        </w:rPr>
      </w:pPr>
      <w:r w:rsidRPr="006273BD">
        <w:rPr>
          <w:rFonts w:eastAsia="Calibri"/>
          <w:noProof/>
          <w:szCs w:val="20"/>
          <w:lang w:eastAsia="en-GB"/>
        </w:rPr>
        <w:lastRenderedPageBreak/>
        <w:drawing>
          <wp:inline distT="0" distB="0" distL="0" distR="0" wp14:anchorId="570B33D9" wp14:editId="19D39E62">
            <wp:extent cx="5600700" cy="2537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2537460"/>
                    </a:xfrm>
                    <a:prstGeom prst="rect">
                      <a:avLst/>
                    </a:prstGeom>
                    <a:noFill/>
                    <a:ln>
                      <a:noFill/>
                    </a:ln>
                  </pic:spPr>
                </pic:pic>
              </a:graphicData>
            </a:graphic>
          </wp:inline>
        </w:drawing>
      </w:r>
    </w:p>
    <w:p w14:paraId="408EFE1A" w14:textId="040A5D74" w:rsidR="0078481D" w:rsidRPr="00316837" w:rsidRDefault="0078481D" w:rsidP="0078481D">
      <w:pPr>
        <w:rPr>
          <w:rFonts w:eastAsia="Calibri"/>
          <w:bCs/>
          <w:sz w:val="18"/>
          <w:szCs w:val="18"/>
        </w:rPr>
      </w:pPr>
      <w:bookmarkStart w:id="138" w:name="_Ref73970055"/>
      <w:bookmarkStart w:id="139" w:name="_Toc77260275"/>
      <w:r w:rsidRPr="00681DAA">
        <w:rPr>
          <w:rFonts w:eastAsia="Calibri"/>
          <w:bCs/>
          <w:sz w:val="18"/>
          <w:szCs w:val="18"/>
        </w:rPr>
        <w:t xml:space="preserve">Figure </w:t>
      </w:r>
      <w:r w:rsidRPr="00681DAA">
        <w:rPr>
          <w:rFonts w:eastAsia="Calibri"/>
          <w:bCs/>
          <w:sz w:val="18"/>
          <w:szCs w:val="18"/>
        </w:rPr>
        <w:fldChar w:fldCharType="begin"/>
      </w:r>
      <w:r w:rsidRPr="00316837">
        <w:rPr>
          <w:rFonts w:eastAsia="Calibri"/>
          <w:bCs/>
          <w:sz w:val="18"/>
          <w:szCs w:val="18"/>
        </w:rPr>
        <w:instrText xml:space="preserve"> STYLEREF 1 \s </w:instrText>
      </w:r>
      <w:r w:rsidRPr="00681DAA">
        <w:rPr>
          <w:rFonts w:eastAsia="Calibri"/>
          <w:bCs/>
          <w:sz w:val="18"/>
          <w:szCs w:val="18"/>
        </w:rPr>
        <w:fldChar w:fldCharType="separate"/>
      </w:r>
      <w:r w:rsidR="00703397" w:rsidRPr="00681DAA">
        <w:rPr>
          <w:rFonts w:eastAsia="Calibri"/>
          <w:bCs/>
          <w:sz w:val="18"/>
          <w:szCs w:val="18"/>
        </w:rPr>
        <w:t>3</w:t>
      </w:r>
      <w:r w:rsidRPr="00681DAA">
        <w:rPr>
          <w:rFonts w:eastAsia="Calibri"/>
          <w:sz w:val="18"/>
          <w:szCs w:val="18"/>
        </w:rPr>
        <w:fldChar w:fldCharType="end"/>
      </w:r>
      <w:r w:rsidRPr="00C632F6">
        <w:rPr>
          <w:rFonts w:eastAsia="Calibri"/>
          <w:bCs/>
          <w:sz w:val="18"/>
          <w:szCs w:val="18"/>
        </w:rPr>
        <w:noBreakHyphen/>
      </w:r>
      <w:r w:rsidRPr="00681DAA">
        <w:rPr>
          <w:rFonts w:eastAsia="Calibri"/>
          <w:bCs/>
          <w:sz w:val="18"/>
          <w:szCs w:val="18"/>
        </w:rPr>
        <w:fldChar w:fldCharType="begin"/>
      </w:r>
      <w:r w:rsidRPr="00316837">
        <w:rPr>
          <w:rFonts w:eastAsia="Calibri"/>
          <w:bCs/>
          <w:sz w:val="18"/>
          <w:szCs w:val="18"/>
        </w:rPr>
        <w:instrText xml:space="preserve"> SEQ Figure \* ARABIC \s 1 </w:instrText>
      </w:r>
      <w:r w:rsidRPr="00681DAA">
        <w:rPr>
          <w:rFonts w:eastAsia="Calibri"/>
          <w:bCs/>
          <w:sz w:val="18"/>
          <w:szCs w:val="18"/>
        </w:rPr>
        <w:fldChar w:fldCharType="separate"/>
      </w:r>
      <w:r w:rsidR="00507C15">
        <w:rPr>
          <w:rFonts w:eastAsia="Calibri"/>
          <w:bCs/>
          <w:noProof/>
          <w:sz w:val="18"/>
          <w:szCs w:val="18"/>
        </w:rPr>
        <w:t>13</w:t>
      </w:r>
      <w:r w:rsidRPr="00681DAA">
        <w:rPr>
          <w:rFonts w:eastAsia="Calibri"/>
          <w:sz w:val="18"/>
          <w:szCs w:val="18"/>
        </w:rPr>
        <w:fldChar w:fldCharType="end"/>
      </w:r>
      <w:bookmarkEnd w:id="138"/>
      <w:r w:rsidRPr="00C632F6">
        <w:rPr>
          <w:rFonts w:eastAsia="Calibri"/>
          <w:bCs/>
          <w:sz w:val="18"/>
          <w:szCs w:val="18"/>
        </w:rPr>
        <w:t xml:space="preserve">: Development of cross-border trade over the </w:t>
      </w:r>
      <w:r w:rsidRPr="00681DAA">
        <w:rPr>
          <w:rFonts w:eastAsia="Calibri"/>
          <w:bCs/>
          <w:sz w:val="18"/>
          <w:szCs w:val="18"/>
        </w:rPr>
        <w:t>intra-Maghreb interconnection (source: COMELEC)</w:t>
      </w:r>
      <w:bookmarkEnd w:id="139"/>
      <w:r w:rsidRPr="00681DAA">
        <w:rPr>
          <w:rFonts w:eastAsia="Calibri"/>
          <w:bCs/>
          <w:sz w:val="18"/>
          <w:szCs w:val="18"/>
        </w:rPr>
        <w:t xml:space="preserve"> </w:t>
      </w:r>
    </w:p>
    <w:p w14:paraId="43164657" w14:textId="18C684D3" w:rsidR="00A02238" w:rsidRPr="00316837" w:rsidRDefault="00A02238" w:rsidP="00A02238">
      <w:pPr>
        <w:rPr>
          <w:rFonts w:eastAsia="Calibri"/>
          <w:szCs w:val="20"/>
        </w:rPr>
      </w:pPr>
      <w:bookmarkStart w:id="140" w:name="_Hlk76559793"/>
      <w:r w:rsidRPr="00316837">
        <w:rPr>
          <w:rFonts w:eastAsia="Calibri"/>
        </w:rPr>
        <w:t xml:space="preserve">Depending on the success in mobilisation of funding sources, COMELEC will </w:t>
      </w:r>
      <w:r w:rsidR="00436B92" w:rsidRPr="00316837">
        <w:rPr>
          <w:rFonts w:eastAsia="Calibri"/>
        </w:rPr>
        <w:t xml:space="preserve">going forward, </w:t>
      </w:r>
      <w:r w:rsidRPr="00316837">
        <w:rPr>
          <w:rFonts w:eastAsia="Calibri"/>
        </w:rPr>
        <w:t>work on</w:t>
      </w:r>
      <w:r w:rsidR="0044231B" w:rsidRPr="00316837">
        <w:rPr>
          <w:rFonts w:eastAsia="Calibri"/>
        </w:rPr>
        <w:t xml:space="preserve"> the regional </w:t>
      </w:r>
      <w:r w:rsidR="0044231B" w:rsidRPr="00316837">
        <w:rPr>
          <w:rFonts w:eastAsia="Calibri"/>
          <w:szCs w:val="20"/>
        </w:rPr>
        <w:t xml:space="preserve">integration (see </w:t>
      </w:r>
      <w:r w:rsidR="0044231B" w:rsidRPr="00681DAA">
        <w:rPr>
          <w:rFonts w:eastAsia="Calibri"/>
          <w:szCs w:val="20"/>
        </w:rPr>
        <w:fldChar w:fldCharType="begin"/>
      </w:r>
      <w:r w:rsidR="0044231B" w:rsidRPr="00316837">
        <w:rPr>
          <w:rFonts w:eastAsia="Calibri"/>
          <w:szCs w:val="20"/>
        </w:rPr>
        <w:instrText xml:space="preserve"> REF _Ref73971695 \h  \* MERGEFORMAT </w:instrText>
      </w:r>
      <w:r w:rsidR="0044231B" w:rsidRPr="00681DAA">
        <w:rPr>
          <w:rFonts w:eastAsia="Calibri"/>
          <w:szCs w:val="20"/>
        </w:rPr>
      </w:r>
      <w:r w:rsidR="0044231B" w:rsidRPr="00681DAA">
        <w:rPr>
          <w:rFonts w:eastAsia="Calibri"/>
          <w:szCs w:val="20"/>
        </w:rPr>
        <w:fldChar w:fldCharType="separate"/>
      </w:r>
      <w:r w:rsidR="00507C15" w:rsidRPr="006273BD">
        <w:rPr>
          <w:rFonts w:eastAsia="Calibri"/>
          <w:bCs/>
          <w:szCs w:val="20"/>
        </w:rPr>
        <w:t>Figure 3</w:t>
      </w:r>
      <w:r w:rsidR="00507C15" w:rsidRPr="006273BD">
        <w:rPr>
          <w:rFonts w:eastAsia="Calibri"/>
          <w:bCs/>
          <w:szCs w:val="20"/>
        </w:rPr>
        <w:noBreakHyphen/>
        <w:t>14</w:t>
      </w:r>
      <w:r w:rsidR="0044231B" w:rsidRPr="00681DAA">
        <w:rPr>
          <w:rFonts w:eastAsia="Calibri"/>
          <w:szCs w:val="20"/>
        </w:rPr>
        <w:fldChar w:fldCharType="end"/>
      </w:r>
      <w:r w:rsidR="0044231B" w:rsidRPr="00C632F6">
        <w:rPr>
          <w:rFonts w:eastAsia="Calibri"/>
          <w:szCs w:val="20"/>
        </w:rPr>
        <w:t>), through</w:t>
      </w:r>
      <w:r w:rsidRPr="00681DAA">
        <w:rPr>
          <w:rFonts w:eastAsia="Calibri"/>
          <w:szCs w:val="20"/>
        </w:rPr>
        <w:t xml:space="preserve">: </w:t>
      </w:r>
    </w:p>
    <w:p w14:paraId="48955EDB" w14:textId="77777777" w:rsidR="00A02238" w:rsidRPr="00316837" w:rsidRDefault="00A02238" w:rsidP="00AB7DB1">
      <w:pPr>
        <w:pStyle w:val="ListParagraph"/>
        <w:numPr>
          <w:ilvl w:val="0"/>
          <w:numId w:val="43"/>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preparation for the reliable synchronous operation of the interconnected electricity system of the ELTAM countries (as a part of the extension of the intra-Maghreb interconnection), </w:t>
      </w:r>
    </w:p>
    <w:p w14:paraId="2564DCF0" w14:textId="3DD9B27E" w:rsidR="00A02238" w:rsidRPr="00316837" w:rsidRDefault="00A02238" w:rsidP="00AB7DB1">
      <w:pPr>
        <w:pStyle w:val="ListParagraph"/>
        <w:numPr>
          <w:ilvl w:val="0"/>
          <w:numId w:val="43"/>
        </w:numPr>
        <w:spacing w:before="160" w:after="0" w:line="288" w:lineRule="auto"/>
        <w:rPr>
          <w:rFonts w:ascii="Arial" w:hAnsi="Arial" w:cs="Arial"/>
          <w:sz w:val="20"/>
          <w:szCs w:val="20"/>
          <w:lang w:val="en-GB"/>
        </w:rPr>
      </w:pPr>
      <w:r w:rsidRPr="00316837">
        <w:rPr>
          <w:rFonts w:ascii="Arial" w:hAnsi="Arial" w:cs="Arial"/>
          <w:sz w:val="20"/>
          <w:szCs w:val="20"/>
          <w:lang w:val="en-GB"/>
        </w:rPr>
        <w:t>the development of regional interconnections (COMELEC-WAPP</w:t>
      </w:r>
      <w:r w:rsidR="0044231B" w:rsidRPr="00316837">
        <w:rPr>
          <w:rFonts w:ascii="Arial" w:hAnsi="Arial" w:cs="Arial"/>
          <w:sz w:val="20"/>
          <w:szCs w:val="20"/>
          <w:lang w:val="en-GB"/>
        </w:rPr>
        <w:t xml:space="preserve"> and COMELEC-Europe</w:t>
      </w:r>
      <w:r w:rsidRPr="00316837">
        <w:rPr>
          <w:rFonts w:ascii="Arial" w:hAnsi="Arial" w:cs="Arial"/>
          <w:sz w:val="20"/>
          <w:szCs w:val="20"/>
          <w:lang w:val="en-GB"/>
        </w:rPr>
        <w:t xml:space="preserve">), and </w:t>
      </w:r>
    </w:p>
    <w:p w14:paraId="297CB3D0" w14:textId="77777777" w:rsidR="00A02238" w:rsidRPr="00316837" w:rsidRDefault="00A02238" w:rsidP="00AB7DB1">
      <w:pPr>
        <w:pStyle w:val="ListParagraph"/>
        <w:numPr>
          <w:ilvl w:val="0"/>
          <w:numId w:val="43"/>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development of the Maghreb electricity market (implementation, following the work carried out as part of the IMME study). </w:t>
      </w:r>
    </w:p>
    <w:bookmarkEnd w:id="140"/>
    <w:p w14:paraId="1633566D" w14:textId="359A7EE1" w:rsidR="0044231B" w:rsidRPr="00C632F6" w:rsidRDefault="0044231B" w:rsidP="00507C15">
      <w:pPr>
        <w:rPr>
          <w:rFonts w:eastAsia="Calibri"/>
        </w:rPr>
      </w:pPr>
      <w:r w:rsidRPr="006273BD">
        <w:rPr>
          <w:rFonts w:eastAsia="Calibri"/>
          <w:noProof/>
          <w:lang w:eastAsia="en-GB"/>
        </w:rPr>
        <w:drawing>
          <wp:inline distT="0" distB="0" distL="0" distR="0" wp14:anchorId="0138E479" wp14:editId="209C9C8C">
            <wp:extent cx="6104966" cy="29385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7217" cy="2949295"/>
                    </a:xfrm>
                    <a:prstGeom prst="rect">
                      <a:avLst/>
                    </a:prstGeom>
                    <a:noFill/>
                    <a:ln>
                      <a:noFill/>
                    </a:ln>
                  </pic:spPr>
                </pic:pic>
              </a:graphicData>
            </a:graphic>
          </wp:inline>
        </w:drawing>
      </w:r>
    </w:p>
    <w:p w14:paraId="122A3D5E" w14:textId="7424DBCA" w:rsidR="0044231B" w:rsidRPr="00681DAA" w:rsidRDefault="0044231B" w:rsidP="0044231B">
      <w:pPr>
        <w:rPr>
          <w:rFonts w:eastAsia="Calibri"/>
          <w:bCs/>
          <w:sz w:val="18"/>
          <w:szCs w:val="18"/>
        </w:rPr>
      </w:pPr>
      <w:bookmarkStart w:id="141" w:name="_Ref73971695"/>
      <w:bookmarkStart w:id="142" w:name="_Toc77260276"/>
      <w:r w:rsidRPr="00681DAA">
        <w:rPr>
          <w:rFonts w:eastAsia="Calibri"/>
          <w:bCs/>
          <w:sz w:val="18"/>
          <w:szCs w:val="18"/>
        </w:rPr>
        <w:t xml:space="preserve">Figure </w:t>
      </w:r>
      <w:r w:rsidRPr="00681DAA">
        <w:rPr>
          <w:rFonts w:eastAsia="Calibri"/>
          <w:bCs/>
          <w:sz w:val="18"/>
          <w:szCs w:val="18"/>
        </w:rPr>
        <w:fldChar w:fldCharType="begin"/>
      </w:r>
      <w:r w:rsidRPr="00316837">
        <w:rPr>
          <w:rFonts w:eastAsia="Calibri"/>
          <w:bCs/>
          <w:sz w:val="18"/>
          <w:szCs w:val="18"/>
        </w:rPr>
        <w:instrText xml:space="preserve"> STYLEREF 1 \s </w:instrText>
      </w:r>
      <w:r w:rsidRPr="00681DAA">
        <w:rPr>
          <w:rFonts w:eastAsia="Calibri"/>
          <w:bCs/>
          <w:sz w:val="18"/>
          <w:szCs w:val="18"/>
        </w:rPr>
        <w:fldChar w:fldCharType="separate"/>
      </w:r>
      <w:r w:rsidR="00703397" w:rsidRPr="00681DAA">
        <w:rPr>
          <w:rFonts w:eastAsia="Calibri"/>
          <w:bCs/>
          <w:sz w:val="18"/>
          <w:szCs w:val="18"/>
        </w:rPr>
        <w:t>3</w:t>
      </w:r>
      <w:r w:rsidRPr="00681DAA">
        <w:rPr>
          <w:rFonts w:eastAsia="Calibri"/>
          <w:sz w:val="18"/>
          <w:szCs w:val="18"/>
        </w:rPr>
        <w:fldChar w:fldCharType="end"/>
      </w:r>
      <w:r w:rsidRPr="00C632F6">
        <w:rPr>
          <w:rFonts w:eastAsia="Calibri"/>
          <w:bCs/>
          <w:sz w:val="18"/>
          <w:szCs w:val="18"/>
        </w:rPr>
        <w:noBreakHyphen/>
      </w:r>
      <w:r w:rsidRPr="00681DAA">
        <w:rPr>
          <w:rFonts w:eastAsia="Calibri"/>
          <w:bCs/>
          <w:sz w:val="18"/>
          <w:szCs w:val="18"/>
        </w:rPr>
        <w:fldChar w:fldCharType="begin"/>
      </w:r>
      <w:r w:rsidRPr="00316837">
        <w:rPr>
          <w:rFonts w:eastAsia="Calibri"/>
          <w:bCs/>
          <w:sz w:val="18"/>
          <w:szCs w:val="18"/>
        </w:rPr>
        <w:instrText xml:space="preserve"> SEQ Figure \* ARABIC \s 1 </w:instrText>
      </w:r>
      <w:r w:rsidRPr="00681DAA">
        <w:rPr>
          <w:rFonts w:eastAsia="Calibri"/>
          <w:bCs/>
          <w:sz w:val="18"/>
          <w:szCs w:val="18"/>
        </w:rPr>
        <w:fldChar w:fldCharType="separate"/>
      </w:r>
      <w:r w:rsidR="00507C15">
        <w:rPr>
          <w:rFonts w:eastAsia="Calibri"/>
          <w:bCs/>
          <w:noProof/>
          <w:sz w:val="18"/>
          <w:szCs w:val="18"/>
        </w:rPr>
        <w:t>14</w:t>
      </w:r>
      <w:r w:rsidRPr="00681DAA">
        <w:rPr>
          <w:rFonts w:eastAsia="Calibri"/>
          <w:sz w:val="18"/>
          <w:szCs w:val="18"/>
        </w:rPr>
        <w:fldChar w:fldCharType="end"/>
      </w:r>
      <w:bookmarkEnd w:id="141"/>
      <w:r w:rsidRPr="00C632F6">
        <w:rPr>
          <w:rFonts w:eastAsia="Calibri"/>
          <w:bCs/>
          <w:sz w:val="18"/>
          <w:szCs w:val="18"/>
        </w:rPr>
        <w:t>: Future development of the intra-Maghreb and Euro-Maghreb interconnections (source: COMELEC)</w:t>
      </w:r>
      <w:bookmarkEnd w:id="142"/>
      <w:r w:rsidRPr="00C632F6">
        <w:rPr>
          <w:rFonts w:eastAsia="Calibri"/>
          <w:bCs/>
          <w:sz w:val="18"/>
          <w:szCs w:val="18"/>
        </w:rPr>
        <w:t xml:space="preserve"> </w:t>
      </w:r>
    </w:p>
    <w:p w14:paraId="31464E7B" w14:textId="3370F913" w:rsidR="00F20C29" w:rsidRPr="00316837" w:rsidRDefault="00F20C29" w:rsidP="00F20C29">
      <w:pPr>
        <w:rPr>
          <w:rFonts w:eastAsia="Calibri"/>
        </w:rPr>
      </w:pPr>
      <w:r w:rsidRPr="00316837">
        <w:rPr>
          <w:rFonts w:eastAsia="Calibri"/>
        </w:rPr>
        <w:t xml:space="preserve">Since COMELEC only coordinates and facilitates cooperation between its member utilities on aspects of cross-border exchange and trade in electricity, it does not function as a Power Pool in the sense of SAPP, WAPP, EAPP, and CAPP. Also, it does not have an information and control centre as pertains in the other Power Pools; hence, no regional SCADA/EMS/MMS/WAMS Systems of COMELEC to support system and market operation of the regional electricity market. If COMELEC is to be transformed into a Power Pool, it should become responsible for both the implementation of energy policy, monitoring studies and construction of regional economic community infrastructure and the organisation of exchanges of electricity and related services in the Northern Africa Region. </w:t>
      </w:r>
    </w:p>
    <w:p w14:paraId="4091D5A9" w14:textId="3434E11D" w:rsidR="00F20C29" w:rsidRPr="00316837" w:rsidRDefault="00F20C29" w:rsidP="00F20C29">
      <w:pPr>
        <w:rPr>
          <w:rFonts w:eastAsia="Calibri"/>
        </w:rPr>
      </w:pPr>
      <w:r w:rsidRPr="00316837">
        <w:rPr>
          <w:rFonts w:eastAsia="Calibri"/>
        </w:rPr>
        <w:lastRenderedPageBreak/>
        <w:t xml:space="preserve">COMELEC has developed a Technical Grid Code, which is used by system operators to manage operation in the interconnection and share common power/capacity reserves. Procedures in case of system restoration are also made common. </w:t>
      </w:r>
      <w:r w:rsidR="00A5245F" w:rsidRPr="00316837">
        <w:rPr>
          <w:rFonts w:eastAsia="Calibri"/>
        </w:rPr>
        <w:t xml:space="preserve">In late 2020, Med-TSO held the webinar “Mediterranean Grid Code and its application to the Maghreb Pilot Project”, which showcased the work carried out by Med-TSO in the last Mediterranean Project 1 and 2 for developing a shared set of technical rules and procedures that constitute the building blocks for the elaboration of the Mediterranean Grid Codes Guidelines. From 2021, Med-TSO implements the TEASIMED Project where one of the objectives is to consolidate the Common Target Regulatory Framework to let it become a real Mediterranean Grid Code (for that purpose it already developed the Guidelines for the Mediterranean Grid Code). </w:t>
      </w:r>
    </w:p>
    <w:p w14:paraId="4E5894F5" w14:textId="340DF700" w:rsidR="00F20C29" w:rsidRPr="00316837" w:rsidRDefault="00F20C29" w:rsidP="00F20C29">
      <w:pPr>
        <w:rPr>
          <w:rFonts w:eastAsia="Calibri"/>
        </w:rPr>
      </w:pPr>
      <w:r w:rsidRPr="00316837">
        <w:rPr>
          <w:rFonts w:eastAsia="Calibri"/>
        </w:rPr>
        <w:t xml:space="preserve">Currently, there are </w:t>
      </w:r>
      <w:r w:rsidR="00087C83" w:rsidRPr="00316837">
        <w:rPr>
          <w:rFonts w:eastAsia="Calibri"/>
        </w:rPr>
        <w:t xml:space="preserve">only </w:t>
      </w:r>
      <w:r w:rsidRPr="00316837">
        <w:rPr>
          <w:rFonts w:eastAsia="Calibri"/>
        </w:rPr>
        <w:t xml:space="preserve">two types of </w:t>
      </w:r>
      <w:r w:rsidR="00087C83" w:rsidRPr="00316837">
        <w:rPr>
          <w:rFonts w:eastAsia="Calibri"/>
        </w:rPr>
        <w:t xml:space="preserve">electricity </w:t>
      </w:r>
      <w:r w:rsidRPr="00316837">
        <w:rPr>
          <w:rFonts w:eastAsia="Calibri"/>
        </w:rPr>
        <w:t>exchange in COMELEC</w:t>
      </w:r>
      <w:r w:rsidR="00087C83" w:rsidRPr="00316837">
        <w:rPr>
          <w:rFonts w:eastAsia="Calibri"/>
        </w:rPr>
        <w:t>, and that for</w:t>
      </w:r>
      <w:r w:rsidRPr="00316837">
        <w:rPr>
          <w:rFonts w:eastAsia="Calibri"/>
        </w:rPr>
        <w:t xml:space="preserve">: </w:t>
      </w:r>
    </w:p>
    <w:p w14:paraId="37574ABA" w14:textId="297215CD" w:rsidR="00F20C29" w:rsidRPr="00316837" w:rsidRDefault="00087C83" w:rsidP="006A5033">
      <w:pPr>
        <w:numPr>
          <w:ilvl w:val="0"/>
          <w:numId w:val="52"/>
        </w:numPr>
        <w:rPr>
          <w:rFonts w:eastAsia="Calibri"/>
        </w:rPr>
      </w:pPr>
      <w:r w:rsidRPr="00316837">
        <w:rPr>
          <w:rFonts w:eastAsia="Calibri"/>
        </w:rPr>
        <w:t xml:space="preserve">provision of </w:t>
      </w:r>
      <w:r w:rsidR="00F20C29" w:rsidRPr="00316837">
        <w:rPr>
          <w:rFonts w:eastAsia="Calibri"/>
        </w:rPr>
        <w:t>support</w:t>
      </w:r>
      <w:r w:rsidRPr="00316837">
        <w:rPr>
          <w:rFonts w:eastAsia="Calibri"/>
        </w:rPr>
        <w:t xml:space="preserve"> to </w:t>
      </w:r>
      <w:r w:rsidR="00F20C29" w:rsidRPr="00316837">
        <w:rPr>
          <w:rFonts w:eastAsia="Calibri"/>
        </w:rPr>
        <w:t xml:space="preserve">secure operation of the electricity systems in the interconnection, and </w:t>
      </w:r>
    </w:p>
    <w:p w14:paraId="2ADAA59A" w14:textId="3C9C0111" w:rsidR="00F20C29" w:rsidRPr="00316837" w:rsidRDefault="00087C83" w:rsidP="006A5033">
      <w:pPr>
        <w:numPr>
          <w:ilvl w:val="0"/>
          <w:numId w:val="52"/>
        </w:numPr>
        <w:rPr>
          <w:rFonts w:eastAsia="Calibri"/>
        </w:rPr>
      </w:pPr>
      <w:r w:rsidRPr="00316837">
        <w:rPr>
          <w:rFonts w:eastAsia="Calibri"/>
        </w:rPr>
        <w:t xml:space="preserve">trade in </w:t>
      </w:r>
      <w:r w:rsidR="00F20C29" w:rsidRPr="00316837">
        <w:rPr>
          <w:rFonts w:eastAsia="Calibri"/>
        </w:rPr>
        <w:t xml:space="preserve">electricity across borders of the countries in the AMU Region. </w:t>
      </w:r>
    </w:p>
    <w:p w14:paraId="751951F5" w14:textId="25B71050" w:rsidR="0078481D" w:rsidRPr="00316837" w:rsidRDefault="00F260DE" w:rsidP="0078481D">
      <w:pPr>
        <w:rPr>
          <w:rFonts w:eastAsia="Calibri"/>
        </w:rPr>
      </w:pPr>
      <w:r w:rsidRPr="00316837">
        <w:rPr>
          <w:rFonts w:eastAsia="Calibri"/>
        </w:rPr>
        <w:t xml:space="preserve">Cross-border electricity trade in the </w:t>
      </w:r>
      <w:r w:rsidR="00087C83" w:rsidRPr="00316837">
        <w:rPr>
          <w:rFonts w:eastAsia="Calibri"/>
        </w:rPr>
        <w:t>AMU</w:t>
      </w:r>
      <w:r w:rsidRPr="00316837">
        <w:rPr>
          <w:rFonts w:eastAsia="Calibri"/>
        </w:rPr>
        <w:t xml:space="preserve"> Region is enabled by the complementarities of the </w:t>
      </w:r>
      <w:r w:rsidR="00087C83" w:rsidRPr="00316837">
        <w:rPr>
          <w:rFonts w:eastAsia="Calibri"/>
        </w:rPr>
        <w:t>national</w:t>
      </w:r>
      <w:r w:rsidRPr="00316837">
        <w:rPr>
          <w:rFonts w:eastAsia="Calibri"/>
        </w:rPr>
        <w:t xml:space="preserve"> electricity systems (</w:t>
      </w:r>
      <w:r w:rsidR="00087C83" w:rsidRPr="00316837">
        <w:rPr>
          <w:rFonts w:eastAsia="Calibri"/>
        </w:rPr>
        <w:t xml:space="preserve">i.e. by complementary generation portfolios </w:t>
      </w:r>
      <w:r w:rsidRPr="00316837">
        <w:rPr>
          <w:rFonts w:eastAsia="Calibri"/>
        </w:rPr>
        <w:t>on the supply side</w:t>
      </w:r>
      <w:r w:rsidR="00087C83" w:rsidRPr="00316837">
        <w:rPr>
          <w:rFonts w:eastAsia="Calibri"/>
        </w:rPr>
        <w:t>,</w:t>
      </w:r>
      <w:r w:rsidRPr="00316837">
        <w:rPr>
          <w:rFonts w:eastAsia="Calibri"/>
        </w:rPr>
        <w:t xml:space="preserve"> and by complementary consumption profiles </w:t>
      </w:r>
      <w:r w:rsidR="00087C83" w:rsidRPr="00316837">
        <w:rPr>
          <w:rFonts w:eastAsia="Calibri"/>
        </w:rPr>
        <w:t xml:space="preserve">on the demand side </w:t>
      </w:r>
      <w:r w:rsidRPr="00316837">
        <w:rPr>
          <w:rFonts w:eastAsia="Calibri"/>
        </w:rPr>
        <w:t>because of different working and non-working days and hours</w:t>
      </w:r>
      <w:r w:rsidR="00087C83" w:rsidRPr="00316837">
        <w:rPr>
          <w:rFonts w:eastAsia="Calibri"/>
        </w:rPr>
        <w:t xml:space="preserve"> and time zones</w:t>
      </w:r>
      <w:r w:rsidRPr="00316837">
        <w:rPr>
          <w:rFonts w:eastAsia="Calibri"/>
        </w:rPr>
        <w:t>)</w:t>
      </w:r>
      <w:r w:rsidR="00087C83" w:rsidRPr="00316837">
        <w:rPr>
          <w:rFonts w:eastAsia="Calibri"/>
        </w:rPr>
        <w:t>,</w:t>
      </w:r>
      <w:r w:rsidRPr="00316837">
        <w:rPr>
          <w:rFonts w:eastAsia="Calibri"/>
        </w:rPr>
        <w:t xml:space="preserve"> and the constructed 400 kV transmission network backbone (from Morocco over Algeria to Tunisia, with the existing connection to Spain). </w:t>
      </w:r>
    </w:p>
    <w:p w14:paraId="4B422FD1" w14:textId="0E634C58" w:rsidR="00F260DE" w:rsidRPr="00316837" w:rsidRDefault="00087C83" w:rsidP="00F260DE">
      <w:pPr>
        <w:rPr>
          <w:rFonts w:eastAsia="Calibri"/>
        </w:rPr>
      </w:pPr>
      <w:r w:rsidRPr="00316837">
        <w:rPr>
          <w:rFonts w:eastAsia="Calibri"/>
        </w:rPr>
        <w:t xml:space="preserve">Since COMELEC does not have an operational regional electricity market platform for trade, cross-border electricity trade is realised between the member utilities from each side of a border </w:t>
      </w:r>
      <w:r w:rsidR="00F260DE" w:rsidRPr="00316837">
        <w:rPr>
          <w:rFonts w:eastAsia="Calibri"/>
        </w:rPr>
        <w:t xml:space="preserve">(i.e. their holding companies which are in charge for international electricity trade) based on 5-year framework contracts under which the actual delivery of electricity is agreed in shorter periods between minimum and maximum quantities. </w:t>
      </w:r>
      <w:r w:rsidRPr="00316837">
        <w:rPr>
          <w:rFonts w:eastAsia="Calibri"/>
        </w:rPr>
        <w:t xml:space="preserve">A contracted quantity at a contracted price also comprises losses which are caused by a cross-border transaction, and transit fees are applied in case of wheeling or transmission of electricity (probably including OPEX, CAPEX and losses for infrastructure used in a transaction). </w:t>
      </w:r>
      <w:r w:rsidR="00F260DE" w:rsidRPr="00316837">
        <w:rPr>
          <w:rFonts w:eastAsia="Calibri"/>
        </w:rPr>
        <w:t xml:space="preserve">Only in Algeria, final customers have a possibility to become eligible customers, hence the trade is practically only between the electricity utilities. COMELEC is not involved in exchange and/or trade – it only receives information from system operators of the electricity systems between which a cross-border electricity trade is realised. </w:t>
      </w:r>
    </w:p>
    <w:p w14:paraId="0D9AD2DF" w14:textId="52E3DC59" w:rsidR="00F260DE" w:rsidRPr="00316837" w:rsidRDefault="00F260DE" w:rsidP="00F260DE">
      <w:pPr>
        <w:rPr>
          <w:rFonts w:eastAsia="Calibri"/>
        </w:rPr>
      </w:pPr>
      <w:r w:rsidRPr="00316837">
        <w:rPr>
          <w:rFonts w:eastAsia="Calibri"/>
        </w:rPr>
        <w:t>The 400 kV transmission network backbone is subject to some trading limitations (mostly due to loop flows in internal transmission networks) on the borders between Morocco and Algeria on the one side (TTC=2500 MW and NTC=1000 MW</w:t>
      </w:r>
      <w:r w:rsidR="00087C83" w:rsidRPr="00316837">
        <w:rPr>
          <w:rFonts w:eastAsia="Calibri"/>
        </w:rPr>
        <w:t>;</w:t>
      </w:r>
      <w:r w:rsidRPr="00316837">
        <w:rPr>
          <w:rFonts w:eastAsia="Calibri"/>
        </w:rPr>
        <w:t xml:space="preserve"> however</w:t>
      </w:r>
      <w:r w:rsidR="00087C83" w:rsidRPr="00316837">
        <w:rPr>
          <w:rFonts w:eastAsia="Calibri"/>
        </w:rPr>
        <w:t>,</w:t>
      </w:r>
      <w:r w:rsidRPr="00316837">
        <w:rPr>
          <w:rFonts w:eastAsia="Calibri"/>
        </w:rPr>
        <w:t xml:space="preserve"> current limit is 400 MW from Morocco to Algeria and 600 MW from Algeria to Morocco), and Algeria and Tunisia on the other. Since Tunisia does not have a very strong 400 kV network, cross-border transmission capacities are rather low. </w:t>
      </w:r>
    </w:p>
    <w:p w14:paraId="35488127" w14:textId="3AA2AA38" w:rsidR="00744D32" w:rsidRPr="00316837" w:rsidRDefault="00087C83" w:rsidP="00744D32">
      <w:pPr>
        <w:rPr>
          <w:rFonts w:eastAsia="Calibri"/>
        </w:rPr>
      </w:pPr>
      <w:r w:rsidRPr="00316837">
        <w:rPr>
          <w:rFonts w:eastAsia="Calibri"/>
        </w:rPr>
        <w:t xml:space="preserve">COMELEC is well positioned to serve as a link between European and African transmission systems across the Mediterranean. Its members (i.e. the member utilities’ system operators) participate in the work of Med-TSO, whereas individual </w:t>
      </w:r>
      <w:r w:rsidR="00533C25" w:rsidRPr="00316837">
        <w:rPr>
          <w:rFonts w:eastAsia="Calibri"/>
        </w:rPr>
        <w:t>national regulatory authorities</w:t>
      </w:r>
      <w:r w:rsidRPr="00316837">
        <w:rPr>
          <w:rFonts w:eastAsia="Calibri"/>
        </w:rPr>
        <w:t xml:space="preserve"> in these regulatory jurisdictions cooperate within MEDREG (currently only Algeria and Morocco have </w:t>
      </w:r>
      <w:r w:rsidR="00533C25" w:rsidRPr="00316837">
        <w:rPr>
          <w:rFonts w:eastAsia="Calibri"/>
        </w:rPr>
        <w:t>the national regulatory authoritie</w:t>
      </w:r>
      <w:r w:rsidRPr="00316837">
        <w:rPr>
          <w:rFonts w:eastAsia="Calibri"/>
        </w:rPr>
        <w:t xml:space="preserve">s). Both Med-TSO and MEDREG offer COMELEC platforms for discussion, analysis, and information sharing for matters concerning the development of the electricity sector in the Mediterranean Region. Since this Region is of importance for both Europe and Africa, COMELEC is in a position to encourage and facilitate dialogue between the two sides and strengthen the interconnection between Europe and Africa (through WAPP </w:t>
      </w:r>
      <w:r w:rsidR="005C5E4E" w:rsidRPr="00316837">
        <w:rPr>
          <w:rFonts w:eastAsia="Calibri"/>
        </w:rPr>
        <w:t xml:space="preserve">in the west </w:t>
      </w:r>
      <w:r w:rsidRPr="00316837">
        <w:rPr>
          <w:rFonts w:eastAsia="Calibri"/>
        </w:rPr>
        <w:t xml:space="preserve">and </w:t>
      </w:r>
      <w:r w:rsidR="005C5E4E" w:rsidRPr="00316837">
        <w:rPr>
          <w:rFonts w:eastAsia="Calibri"/>
        </w:rPr>
        <w:t xml:space="preserve">even </w:t>
      </w:r>
      <w:r w:rsidRPr="00316837">
        <w:rPr>
          <w:rFonts w:eastAsia="Calibri"/>
        </w:rPr>
        <w:t>EAPP</w:t>
      </w:r>
      <w:r w:rsidR="005C5E4E" w:rsidRPr="00316837">
        <w:rPr>
          <w:rFonts w:eastAsia="Calibri"/>
        </w:rPr>
        <w:t xml:space="preserve"> over Egypt in the east</w:t>
      </w:r>
      <w:r w:rsidRPr="00316837">
        <w:rPr>
          <w:rFonts w:eastAsia="Calibri"/>
        </w:rPr>
        <w:t xml:space="preserve">) in order to establish wider electricity markets, including at the continental level. </w:t>
      </w:r>
    </w:p>
    <w:p w14:paraId="73A86D38" w14:textId="1F72FDFF" w:rsidR="00A21496" w:rsidRPr="00316837" w:rsidRDefault="00A21496" w:rsidP="00F65FDD">
      <w:pPr>
        <w:rPr>
          <w:rFonts w:eastAsia="Calibri"/>
          <w:szCs w:val="22"/>
        </w:rPr>
      </w:pPr>
    </w:p>
    <w:p w14:paraId="74712D68" w14:textId="77777777" w:rsidR="00744D32" w:rsidRPr="00316837" w:rsidRDefault="00744D32" w:rsidP="00F65FDD">
      <w:pPr>
        <w:rPr>
          <w:rFonts w:eastAsia="Calibri"/>
          <w:szCs w:val="22"/>
        </w:rPr>
        <w:sectPr w:rsidR="00744D32" w:rsidRPr="00316837" w:rsidSect="00A3058D">
          <w:pgSz w:w="11907" w:h="16839" w:code="9"/>
          <w:pgMar w:top="510" w:right="1134" w:bottom="964" w:left="1134" w:header="720" w:footer="567" w:gutter="0"/>
          <w:cols w:space="720"/>
          <w:formProt w:val="0"/>
          <w:docGrid w:linePitch="286"/>
        </w:sectPr>
      </w:pPr>
    </w:p>
    <w:p w14:paraId="398F9407" w14:textId="3640AC2A" w:rsidR="00744D32" w:rsidRPr="00316837" w:rsidRDefault="00744D32" w:rsidP="00744D32">
      <w:pPr>
        <w:pStyle w:val="Heading1"/>
      </w:pPr>
      <w:bookmarkStart w:id="143" w:name="_Toc77260302"/>
      <w:r w:rsidRPr="00C632F6">
        <w:lastRenderedPageBreak/>
        <w:t>REVIEW AND ASSESSMENT OF CURRENT FRAMEWOR</w:t>
      </w:r>
      <w:r w:rsidRPr="00316837">
        <w:t>KS FOR THE INTERCONNECTION OF OFF-GRID MINI-GRIDS</w:t>
      </w:r>
      <w:bookmarkEnd w:id="143"/>
      <w:r w:rsidRPr="00316837">
        <w:t xml:space="preserve"> </w:t>
      </w:r>
    </w:p>
    <w:p w14:paraId="542EA8BC" w14:textId="4C52DB59" w:rsidR="00744D32" w:rsidRPr="00316837" w:rsidRDefault="00744D32" w:rsidP="00744D32">
      <w:pPr>
        <w:pStyle w:val="Heading2"/>
      </w:pPr>
      <w:bookmarkStart w:id="144" w:name="_Toc77260303"/>
      <w:r w:rsidRPr="00316837">
        <w:t>Importance of Interconnecting Off-Grid Systems to the Main Grid and Role Under AfSEM</w:t>
      </w:r>
      <w:bookmarkEnd w:id="144"/>
    </w:p>
    <w:p w14:paraId="1D0C061F" w14:textId="5649C449" w:rsidR="00744D32" w:rsidRPr="00316837" w:rsidRDefault="000D52F1" w:rsidP="000D52F1">
      <w:pPr>
        <w:pStyle w:val="Heading3"/>
      </w:pPr>
      <w:bookmarkStart w:id="145" w:name="_Toc77260304"/>
      <w:r w:rsidRPr="00316837">
        <w:t>Overview</w:t>
      </w:r>
      <w:bookmarkEnd w:id="145"/>
      <w:r w:rsidRPr="00316837">
        <w:t xml:space="preserve"> </w:t>
      </w:r>
    </w:p>
    <w:p w14:paraId="347FC621" w14:textId="53C40827" w:rsidR="000D52F1" w:rsidRPr="00316837" w:rsidRDefault="000D52F1" w:rsidP="000D52F1">
      <w:r w:rsidRPr="00316837">
        <w:t>Off-grid systems for rural electrification play a crucial role in new access creation; 579 million people still do not have access to electricity in sub-Saharan Africa. Depending on the local characteristics of each area and the distance from the main grid, grid extension can be a costly option and off-grid solutions are the most cost-effective approaches. Population density is one of the key factors in the investigation of cost-effectiveness of mini-grids versus Solar Home Systems. Where the population density is such that the investment in a distribution grid makes economic sense, mini-grids are the preferred solution. Mini-grids can provide all tiers of electricity access, and from the technical perspective there is the option to be deployed according to microgrid standards, allowing technically the effective operation also in connection with the main grid.</w:t>
      </w:r>
      <w:r w:rsidR="001D4932" w:rsidRPr="00316837">
        <w:t xml:space="preserve"> </w:t>
      </w:r>
    </w:p>
    <w:p w14:paraId="24E0B69B" w14:textId="6A5F5A32" w:rsidR="000D52F1" w:rsidRPr="00316837" w:rsidRDefault="000D52F1" w:rsidP="000D52F1">
      <w:r w:rsidRPr="00316837">
        <w:t xml:space="preserve">Rural mini-grids are autonomous when first deployed. Many times after 10-15-20 years of operation, these mini-grids are encompassed by the main grid. This is perceived as a risk by the investors and at the same time if no proper provisions are made, valuable equipment like power lines and solar PV arrays are discarded. This is simply an unacceptable situation and sustainability of any investment needs to be actively pursued. </w:t>
      </w:r>
    </w:p>
    <w:p w14:paraId="5BCA313F" w14:textId="4D0D84D3" w:rsidR="000D52F1" w:rsidRPr="00316837" w:rsidRDefault="000D52F1" w:rsidP="000D52F1">
      <w:r w:rsidRPr="00316837">
        <w:t>In this direction, the AUC has developed the following guidelines documents:</w:t>
      </w:r>
    </w:p>
    <w:p w14:paraId="76D02F07" w14:textId="300FF9A3" w:rsidR="000D52F1" w:rsidRPr="00316837" w:rsidRDefault="000D52F1" w:rsidP="006A5033">
      <w:pPr>
        <w:numPr>
          <w:ilvl w:val="0"/>
          <w:numId w:val="53"/>
        </w:numPr>
      </w:pPr>
      <w:bookmarkStart w:id="146" w:name="_Hlk61472913"/>
      <w:r w:rsidRPr="00316837">
        <w:t>Guidelines for institutional and policy model for micro- / mini-grids</w:t>
      </w:r>
      <w:r w:rsidR="001D4932" w:rsidRPr="00316837">
        <w:t>;</w:t>
      </w:r>
      <w:r w:rsidRPr="00316837">
        <w:t xml:space="preserve"> </w:t>
      </w:r>
    </w:p>
    <w:p w14:paraId="2BA90406" w14:textId="4EFBF153" w:rsidR="000D52F1" w:rsidRPr="00316837" w:rsidRDefault="000D52F1" w:rsidP="006A5033">
      <w:pPr>
        <w:numPr>
          <w:ilvl w:val="0"/>
          <w:numId w:val="53"/>
        </w:numPr>
      </w:pPr>
      <w:r w:rsidRPr="00316837">
        <w:t>Unlocking Africa’s Mini-Grid Market</w:t>
      </w:r>
      <w:r w:rsidR="001D4932" w:rsidRPr="00316837">
        <w:t>;</w:t>
      </w:r>
      <w:r w:rsidRPr="00316837">
        <w:t xml:space="preserve"> and </w:t>
      </w:r>
    </w:p>
    <w:p w14:paraId="0E0C23FD" w14:textId="189FF938" w:rsidR="000D52F1" w:rsidRPr="00316837" w:rsidRDefault="000D52F1" w:rsidP="006A5033">
      <w:pPr>
        <w:numPr>
          <w:ilvl w:val="0"/>
          <w:numId w:val="53"/>
        </w:numPr>
      </w:pPr>
      <w:r w:rsidRPr="00316837">
        <w:t xml:space="preserve">Exploring Africa’s Mini-Grid Tariff Methodologies. </w:t>
      </w:r>
    </w:p>
    <w:bookmarkEnd w:id="146"/>
    <w:p w14:paraId="02CD512B" w14:textId="1FEAE4E6" w:rsidR="000D52F1" w:rsidRPr="00316837" w:rsidRDefault="000D52F1" w:rsidP="000D52F1">
      <w:r w:rsidRPr="00316837">
        <w:t xml:space="preserve">The second document above details the issues relating to mini-grid connection and the third one further details tariff setting issues. </w:t>
      </w:r>
    </w:p>
    <w:p w14:paraId="48591992" w14:textId="03C4F9C8" w:rsidR="000D52F1" w:rsidRPr="00316837" w:rsidRDefault="000D52F1" w:rsidP="000D52F1">
      <w:pPr>
        <w:pStyle w:val="Heading3"/>
      </w:pPr>
      <w:bookmarkStart w:id="147" w:name="_Ref75335209"/>
      <w:bookmarkStart w:id="148" w:name="_Toc77260305"/>
      <w:r w:rsidRPr="00316837">
        <w:t>Regulatory Framework Overview for Rural Mini-Grids Encompassed by the Main Grid</w:t>
      </w:r>
      <w:bookmarkEnd w:id="147"/>
      <w:bookmarkEnd w:id="148"/>
    </w:p>
    <w:p w14:paraId="1D36DC65" w14:textId="325DF962" w:rsidR="000D52F1" w:rsidRPr="00316837" w:rsidRDefault="000D52F1" w:rsidP="000D52F1">
      <w:r w:rsidRPr="00316837">
        <w:t xml:space="preserve">Four primary issues ought to be addressed by the national regulatory authorities at the stage when the mini-grid is deployed autonomously in a rural area: </w:t>
      </w:r>
    </w:p>
    <w:p w14:paraId="5CB1C6D0" w14:textId="77777777" w:rsidR="000D52F1" w:rsidRPr="00316837" w:rsidRDefault="000D52F1" w:rsidP="006A5033">
      <w:pPr>
        <w:pStyle w:val="ListParagraph"/>
        <w:numPr>
          <w:ilvl w:val="0"/>
          <w:numId w:val="5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It is not economically viable for mini-grid developers to comply with the same standards as large-scale, interconnected generators; </w:t>
      </w:r>
    </w:p>
    <w:p w14:paraId="2B24F547" w14:textId="78C78BF3" w:rsidR="000D52F1" w:rsidRPr="00316837" w:rsidRDefault="000D52F1" w:rsidP="006A5033">
      <w:pPr>
        <w:pStyle w:val="ListParagraph"/>
        <w:numPr>
          <w:ilvl w:val="0"/>
          <w:numId w:val="5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Mini-grid developers are extremely cost sensitive and requiring compliance with the Grid Code at mini-grid commissioning can add significant CAPEX and slow the pace of mini-grid deployment; </w:t>
      </w:r>
    </w:p>
    <w:p w14:paraId="43E264DB" w14:textId="77777777" w:rsidR="000D52F1" w:rsidRPr="00316837" w:rsidRDefault="000D52F1" w:rsidP="006A5033">
      <w:pPr>
        <w:pStyle w:val="ListParagraph"/>
        <w:numPr>
          <w:ilvl w:val="0"/>
          <w:numId w:val="5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Mini-grid developers cannot absorb the same costs or delays that are tolerated by large-scale generation developers; and </w:t>
      </w:r>
    </w:p>
    <w:p w14:paraId="5F440B03" w14:textId="77777777" w:rsidR="000D52F1" w:rsidRPr="00316837" w:rsidRDefault="000D52F1" w:rsidP="006A5033">
      <w:pPr>
        <w:pStyle w:val="ListParagraph"/>
        <w:numPr>
          <w:ilvl w:val="0"/>
          <w:numId w:val="5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cost of applying for connection can be difficult for mini-grid developers to control or predict, adding uncertainty to their cost-benefit analysis. </w:t>
      </w:r>
    </w:p>
    <w:p w14:paraId="506749AE" w14:textId="5F777F9A" w:rsidR="000D52F1" w:rsidRPr="00681DAA" w:rsidRDefault="000D52F1" w:rsidP="000D52F1">
      <w:r w:rsidRPr="00316837">
        <w:t xml:space="preserve">There are three regulatory options in relation to technical standards for network </w:t>
      </w:r>
      <w:r w:rsidRPr="00316837">
        <w:rPr>
          <w:szCs w:val="20"/>
        </w:rPr>
        <w:t xml:space="preserve">connection (see </w:t>
      </w:r>
      <w:r w:rsidRPr="00681DAA">
        <w:rPr>
          <w:szCs w:val="20"/>
        </w:rPr>
        <w:fldChar w:fldCharType="begin"/>
      </w:r>
      <w:r w:rsidRPr="00316837">
        <w:rPr>
          <w:szCs w:val="20"/>
        </w:rPr>
        <w:instrText xml:space="preserve"> REF _Ref75968952 \h  \* MERGEFORMAT </w:instrText>
      </w:r>
      <w:r w:rsidRPr="00681DAA">
        <w:rPr>
          <w:szCs w:val="20"/>
        </w:rPr>
      </w:r>
      <w:r w:rsidRPr="00681DAA">
        <w:rPr>
          <w:szCs w:val="20"/>
        </w:rPr>
        <w:fldChar w:fldCharType="separate"/>
      </w:r>
      <w:r w:rsidRPr="00681DAA">
        <w:rPr>
          <w:szCs w:val="20"/>
        </w:rPr>
        <w:t>Table 4</w:t>
      </w:r>
      <w:r w:rsidRPr="00681DAA">
        <w:rPr>
          <w:szCs w:val="20"/>
        </w:rPr>
        <w:noBreakHyphen/>
        <w:t>1</w:t>
      </w:r>
      <w:r w:rsidRPr="00681DAA">
        <w:rPr>
          <w:szCs w:val="20"/>
        </w:rPr>
        <w:fldChar w:fldCharType="end"/>
      </w:r>
      <w:r w:rsidRPr="00C632F6">
        <w:rPr>
          <w:szCs w:val="20"/>
        </w:rPr>
        <w:t>).</w:t>
      </w:r>
      <w:r w:rsidRPr="00681DAA">
        <w:t xml:space="preserve"> </w:t>
      </w:r>
    </w:p>
    <w:p w14:paraId="06670E64" w14:textId="77777777" w:rsidR="000D52F1" w:rsidRPr="00316837" w:rsidRDefault="000D52F1" w:rsidP="000D52F1"/>
    <w:p w14:paraId="6377A3C3" w14:textId="77777777" w:rsidR="000D52F1" w:rsidRPr="00316837" w:rsidRDefault="000D52F1" w:rsidP="000D52F1">
      <w:pPr>
        <w:sectPr w:rsidR="000D52F1" w:rsidRPr="00316837" w:rsidSect="00A3058D">
          <w:pgSz w:w="11907" w:h="16839" w:code="9"/>
          <w:pgMar w:top="510" w:right="1134" w:bottom="964" w:left="1134" w:header="720" w:footer="567" w:gutter="0"/>
          <w:cols w:space="720"/>
          <w:formProt w:val="0"/>
          <w:docGrid w:linePitch="286"/>
        </w:sectPr>
      </w:pPr>
    </w:p>
    <w:p w14:paraId="25827F04" w14:textId="325D0FE9" w:rsidR="000D52F1" w:rsidRPr="00681DAA" w:rsidRDefault="000D52F1" w:rsidP="000D52F1">
      <w:pPr>
        <w:rPr>
          <w:iCs/>
          <w:sz w:val="18"/>
          <w:szCs w:val="18"/>
        </w:rPr>
      </w:pPr>
      <w:bookmarkStart w:id="149" w:name="_Ref75968952"/>
      <w:bookmarkStart w:id="150" w:name="_Ref58252945"/>
      <w:bookmarkStart w:id="151" w:name="_Toc58255759"/>
      <w:bookmarkStart w:id="152" w:name="_Toc74569885"/>
      <w:bookmarkStart w:id="153" w:name="_Ref75968675"/>
      <w:bookmarkStart w:id="154" w:name="_Toc77260251"/>
      <w:r w:rsidRPr="00C632F6">
        <w:rPr>
          <w:sz w:val="18"/>
          <w:szCs w:val="18"/>
        </w:rPr>
        <w:lastRenderedPageBreak/>
        <w:t xml:space="preserve">Table </w:t>
      </w:r>
      <w:r w:rsidRPr="00681DAA">
        <w:rPr>
          <w:sz w:val="18"/>
          <w:szCs w:val="18"/>
        </w:rPr>
        <w:fldChar w:fldCharType="begin"/>
      </w:r>
      <w:r w:rsidRPr="00316837">
        <w:rPr>
          <w:sz w:val="18"/>
          <w:szCs w:val="18"/>
        </w:rPr>
        <w:instrText xml:space="preserve"> STYLEREF 1 \s </w:instrText>
      </w:r>
      <w:r w:rsidRPr="00681DAA">
        <w:rPr>
          <w:sz w:val="18"/>
          <w:szCs w:val="18"/>
        </w:rPr>
        <w:fldChar w:fldCharType="separate"/>
      </w:r>
      <w:r w:rsidRPr="00681DAA">
        <w:rPr>
          <w:sz w:val="18"/>
          <w:szCs w:val="18"/>
        </w:rPr>
        <w:t>4</w:t>
      </w:r>
      <w:r w:rsidRPr="00681DAA">
        <w:rPr>
          <w:sz w:val="18"/>
          <w:szCs w:val="18"/>
        </w:rPr>
        <w:fldChar w:fldCharType="end"/>
      </w:r>
      <w:r w:rsidRPr="00C632F6">
        <w:rPr>
          <w:sz w:val="18"/>
          <w:szCs w:val="18"/>
        </w:rPr>
        <w:noBreakHyphen/>
      </w:r>
      <w:r w:rsidRPr="00681DAA">
        <w:rPr>
          <w:sz w:val="18"/>
          <w:szCs w:val="18"/>
        </w:rPr>
        <w:fldChar w:fldCharType="begin"/>
      </w:r>
      <w:r w:rsidRPr="00316837">
        <w:rPr>
          <w:sz w:val="18"/>
          <w:szCs w:val="18"/>
        </w:rPr>
        <w:instrText xml:space="preserve"> SEQ Table \* ARABIC \s 1 </w:instrText>
      </w:r>
      <w:r w:rsidRPr="00681DAA">
        <w:rPr>
          <w:sz w:val="18"/>
          <w:szCs w:val="18"/>
        </w:rPr>
        <w:fldChar w:fldCharType="separate"/>
      </w:r>
      <w:r w:rsidRPr="00681DAA">
        <w:rPr>
          <w:sz w:val="18"/>
          <w:szCs w:val="18"/>
        </w:rPr>
        <w:t>1</w:t>
      </w:r>
      <w:r w:rsidRPr="00681DAA">
        <w:rPr>
          <w:sz w:val="18"/>
          <w:szCs w:val="18"/>
        </w:rPr>
        <w:fldChar w:fldCharType="end"/>
      </w:r>
      <w:bookmarkEnd w:id="149"/>
      <w:r w:rsidRPr="00C632F6">
        <w:rPr>
          <w:sz w:val="18"/>
          <w:szCs w:val="18"/>
        </w:rPr>
        <w:t xml:space="preserve">: </w:t>
      </w:r>
      <w:bookmarkEnd w:id="150"/>
      <w:r w:rsidRPr="00681DAA">
        <w:rPr>
          <w:iCs/>
          <w:sz w:val="18"/>
          <w:szCs w:val="18"/>
        </w:rPr>
        <w:t>Regulatory options and option challenges</w:t>
      </w:r>
      <w:bookmarkEnd w:id="151"/>
      <w:r w:rsidRPr="00681DAA">
        <w:rPr>
          <w:iCs/>
          <w:sz w:val="18"/>
          <w:szCs w:val="18"/>
        </w:rPr>
        <w:t xml:space="preserve"> for network connection</w:t>
      </w:r>
      <w:bookmarkEnd w:id="152"/>
      <w:bookmarkEnd w:id="153"/>
      <w:bookmarkEnd w:id="154"/>
      <w:r w:rsidRPr="00681DAA">
        <w:rPr>
          <w:iCs/>
          <w:sz w:val="18"/>
          <w:szCs w:val="18"/>
        </w:rPr>
        <w:t xml:space="preserve"> </w:t>
      </w:r>
    </w:p>
    <w:tbl>
      <w:tblPr>
        <w:tblStyle w:val="TableGrid"/>
        <w:tblW w:w="5000" w:type="pct"/>
        <w:tblLook w:val="04A0" w:firstRow="1" w:lastRow="0" w:firstColumn="1" w:lastColumn="0" w:noHBand="0" w:noVBand="1"/>
      </w:tblPr>
      <w:tblGrid>
        <w:gridCol w:w="562"/>
        <w:gridCol w:w="2835"/>
        <w:gridCol w:w="6232"/>
      </w:tblGrid>
      <w:tr w:rsidR="000D52F1" w:rsidRPr="00316837" w14:paraId="521CD0EF" w14:textId="77777777" w:rsidTr="000D52F1">
        <w:trPr>
          <w:trHeight w:val="253"/>
        </w:trPr>
        <w:tc>
          <w:tcPr>
            <w:tcW w:w="292" w:type="pct"/>
            <w:tcBorders>
              <w:right w:val="single" w:sz="4" w:space="0" w:color="auto"/>
            </w:tcBorders>
            <w:shd w:val="clear" w:color="auto" w:fill="F2F2F2" w:themeFill="background1" w:themeFillShade="F2"/>
          </w:tcPr>
          <w:p w14:paraId="1B55A41D" w14:textId="562EAFA7" w:rsidR="000D52F1" w:rsidRPr="006273BD" w:rsidRDefault="000D52F1" w:rsidP="000D52F1">
            <w:pPr>
              <w:spacing w:before="120" w:after="120"/>
              <w:jc w:val="left"/>
              <w:rPr>
                <w:b/>
                <w:bCs/>
                <w:sz w:val="18"/>
                <w:szCs w:val="18"/>
              </w:rPr>
            </w:pPr>
            <w:r w:rsidRPr="006273BD">
              <w:rPr>
                <w:b/>
                <w:bCs/>
                <w:sz w:val="18"/>
                <w:szCs w:val="18"/>
              </w:rPr>
              <w:t>No.</w:t>
            </w:r>
          </w:p>
        </w:tc>
        <w:tc>
          <w:tcPr>
            <w:tcW w:w="1472" w:type="pct"/>
            <w:tcBorders>
              <w:right w:val="single" w:sz="4" w:space="0" w:color="auto"/>
            </w:tcBorders>
            <w:shd w:val="clear" w:color="auto" w:fill="F2F2F2" w:themeFill="background1" w:themeFillShade="F2"/>
            <w:vAlign w:val="center"/>
          </w:tcPr>
          <w:p w14:paraId="1A4F7806" w14:textId="3265E946" w:rsidR="000D52F1" w:rsidRPr="006273BD" w:rsidRDefault="000D52F1" w:rsidP="000D52F1">
            <w:pPr>
              <w:spacing w:before="120" w:after="120"/>
              <w:jc w:val="left"/>
              <w:rPr>
                <w:b/>
                <w:bCs/>
                <w:sz w:val="18"/>
                <w:szCs w:val="18"/>
              </w:rPr>
            </w:pPr>
            <w:r w:rsidRPr="006273BD">
              <w:rPr>
                <w:b/>
                <w:bCs/>
                <w:sz w:val="18"/>
                <w:szCs w:val="18"/>
              </w:rPr>
              <w:t>Regulatory option</w:t>
            </w:r>
            <w:r w:rsidR="001D4932" w:rsidRPr="006273BD">
              <w:rPr>
                <w:b/>
                <w:bCs/>
                <w:sz w:val="18"/>
                <w:szCs w:val="18"/>
              </w:rPr>
              <w:t xml:space="preserve"> </w:t>
            </w:r>
          </w:p>
        </w:tc>
        <w:tc>
          <w:tcPr>
            <w:tcW w:w="3236" w:type="pct"/>
            <w:tcBorders>
              <w:left w:val="single" w:sz="4" w:space="0" w:color="auto"/>
            </w:tcBorders>
            <w:shd w:val="clear" w:color="auto" w:fill="F2F2F2" w:themeFill="background1" w:themeFillShade="F2"/>
            <w:vAlign w:val="center"/>
          </w:tcPr>
          <w:p w14:paraId="75BC412A" w14:textId="0AB30065" w:rsidR="000D52F1" w:rsidRPr="006273BD" w:rsidRDefault="000D52F1" w:rsidP="000D52F1">
            <w:pPr>
              <w:spacing w:before="120" w:after="120"/>
              <w:jc w:val="left"/>
              <w:rPr>
                <w:b/>
                <w:bCs/>
                <w:sz w:val="18"/>
                <w:szCs w:val="18"/>
              </w:rPr>
            </w:pPr>
            <w:r w:rsidRPr="006273BD">
              <w:rPr>
                <w:b/>
                <w:bCs/>
                <w:sz w:val="18"/>
                <w:szCs w:val="18"/>
              </w:rPr>
              <w:t>Option challenges</w:t>
            </w:r>
            <w:r w:rsidR="001D4932" w:rsidRPr="006273BD">
              <w:rPr>
                <w:b/>
                <w:bCs/>
                <w:sz w:val="18"/>
                <w:szCs w:val="18"/>
              </w:rPr>
              <w:t xml:space="preserve"> </w:t>
            </w:r>
          </w:p>
        </w:tc>
      </w:tr>
      <w:tr w:rsidR="000D52F1" w:rsidRPr="00316837" w14:paraId="0739B760" w14:textId="77777777" w:rsidTr="000D52F1">
        <w:tc>
          <w:tcPr>
            <w:tcW w:w="292" w:type="pct"/>
          </w:tcPr>
          <w:p w14:paraId="039AAD4D" w14:textId="7FB4A06B" w:rsidR="000D52F1" w:rsidRPr="00316837" w:rsidRDefault="000D52F1" w:rsidP="000D52F1">
            <w:pPr>
              <w:spacing w:before="120" w:after="120"/>
              <w:jc w:val="left"/>
              <w:rPr>
                <w:sz w:val="18"/>
                <w:szCs w:val="18"/>
              </w:rPr>
            </w:pPr>
            <w:r w:rsidRPr="00316837">
              <w:rPr>
                <w:sz w:val="18"/>
                <w:szCs w:val="18"/>
              </w:rPr>
              <w:t>1</w:t>
            </w:r>
          </w:p>
        </w:tc>
        <w:tc>
          <w:tcPr>
            <w:tcW w:w="1472" w:type="pct"/>
            <w:shd w:val="clear" w:color="auto" w:fill="auto"/>
          </w:tcPr>
          <w:p w14:paraId="36883139" w14:textId="1022CDA1" w:rsidR="000D52F1" w:rsidRPr="00316837" w:rsidRDefault="000D52F1" w:rsidP="000D52F1">
            <w:pPr>
              <w:spacing w:before="120" w:after="120"/>
              <w:jc w:val="left"/>
              <w:rPr>
                <w:sz w:val="18"/>
                <w:szCs w:val="18"/>
              </w:rPr>
            </w:pPr>
            <w:r w:rsidRPr="00316837">
              <w:rPr>
                <w:sz w:val="18"/>
                <w:szCs w:val="18"/>
              </w:rPr>
              <w:t>Do not set standards (except minimum safety standards)</w:t>
            </w:r>
            <w:r w:rsidR="001D4932" w:rsidRPr="00316837">
              <w:rPr>
                <w:sz w:val="18"/>
                <w:szCs w:val="18"/>
              </w:rPr>
              <w:t xml:space="preserve"> </w:t>
            </w:r>
          </w:p>
        </w:tc>
        <w:tc>
          <w:tcPr>
            <w:tcW w:w="3236" w:type="pct"/>
            <w:shd w:val="clear" w:color="auto" w:fill="auto"/>
          </w:tcPr>
          <w:p w14:paraId="21D52DBA" w14:textId="6FA24B52" w:rsidR="000D52F1" w:rsidRPr="00316837" w:rsidRDefault="000D52F1" w:rsidP="000D52F1">
            <w:pPr>
              <w:spacing w:before="120" w:after="120"/>
              <w:jc w:val="left"/>
              <w:rPr>
                <w:sz w:val="18"/>
                <w:szCs w:val="18"/>
              </w:rPr>
            </w:pPr>
            <w:r w:rsidRPr="00316837">
              <w:rPr>
                <w:sz w:val="18"/>
                <w:szCs w:val="18"/>
              </w:rPr>
              <w:t>Without technology or equipment standards, low quality equipment can cause system failures, lower service quality, and present health and safety risks. They can also give mini-grid service a bad name.</w:t>
            </w:r>
            <w:r w:rsidR="001D4932" w:rsidRPr="00316837">
              <w:rPr>
                <w:sz w:val="18"/>
                <w:szCs w:val="18"/>
              </w:rPr>
              <w:t xml:space="preserve"> </w:t>
            </w:r>
          </w:p>
          <w:p w14:paraId="0A480021" w14:textId="40308CBD" w:rsidR="000D52F1" w:rsidRPr="00316837" w:rsidRDefault="000D52F1" w:rsidP="000D52F1">
            <w:pPr>
              <w:spacing w:before="120" w:after="120"/>
              <w:jc w:val="left"/>
              <w:rPr>
                <w:sz w:val="18"/>
                <w:szCs w:val="18"/>
              </w:rPr>
            </w:pPr>
            <w:r w:rsidRPr="00316837">
              <w:rPr>
                <w:sz w:val="18"/>
                <w:szCs w:val="18"/>
              </w:rPr>
              <w:t>The lack of power quality standards may damage upstream (utility company) or downstream (end-user) equipment and/or result in low quality services that alienate customers.</w:t>
            </w:r>
            <w:r w:rsidR="001D4932" w:rsidRPr="00316837">
              <w:rPr>
                <w:sz w:val="18"/>
                <w:szCs w:val="18"/>
              </w:rPr>
              <w:t xml:space="preserve"> </w:t>
            </w:r>
          </w:p>
        </w:tc>
      </w:tr>
      <w:tr w:rsidR="000D52F1" w:rsidRPr="00316837" w14:paraId="0CE64F64" w14:textId="77777777" w:rsidTr="000D52F1">
        <w:tc>
          <w:tcPr>
            <w:tcW w:w="292" w:type="pct"/>
          </w:tcPr>
          <w:p w14:paraId="25980647" w14:textId="4F7B2254" w:rsidR="000D52F1" w:rsidRPr="00316837" w:rsidRDefault="000D52F1" w:rsidP="000D52F1">
            <w:pPr>
              <w:spacing w:before="120" w:after="120"/>
              <w:jc w:val="left"/>
              <w:rPr>
                <w:sz w:val="18"/>
                <w:szCs w:val="18"/>
              </w:rPr>
            </w:pPr>
            <w:r w:rsidRPr="00316837">
              <w:rPr>
                <w:sz w:val="18"/>
                <w:szCs w:val="18"/>
              </w:rPr>
              <w:t>2</w:t>
            </w:r>
          </w:p>
        </w:tc>
        <w:tc>
          <w:tcPr>
            <w:tcW w:w="1472" w:type="pct"/>
            <w:shd w:val="clear" w:color="auto" w:fill="auto"/>
          </w:tcPr>
          <w:p w14:paraId="4C3C98FE" w14:textId="2237500A" w:rsidR="000D52F1" w:rsidRPr="00316837" w:rsidRDefault="000D52F1" w:rsidP="000D52F1">
            <w:pPr>
              <w:spacing w:before="120" w:after="120"/>
              <w:jc w:val="left"/>
              <w:rPr>
                <w:sz w:val="18"/>
                <w:szCs w:val="18"/>
              </w:rPr>
            </w:pPr>
            <w:r w:rsidRPr="00316837">
              <w:rPr>
                <w:sz w:val="18"/>
                <w:szCs w:val="18"/>
              </w:rPr>
              <w:t>Require all mini-grids to adhere to utility grid standards</w:t>
            </w:r>
            <w:r w:rsidR="001D4932" w:rsidRPr="00316837">
              <w:rPr>
                <w:sz w:val="18"/>
                <w:szCs w:val="18"/>
              </w:rPr>
              <w:t xml:space="preserve"> </w:t>
            </w:r>
          </w:p>
        </w:tc>
        <w:tc>
          <w:tcPr>
            <w:tcW w:w="3236" w:type="pct"/>
            <w:shd w:val="clear" w:color="auto" w:fill="auto"/>
          </w:tcPr>
          <w:p w14:paraId="2FBDF329" w14:textId="77777777" w:rsidR="000D52F1" w:rsidRPr="00316837" w:rsidRDefault="000D52F1" w:rsidP="000D52F1">
            <w:pPr>
              <w:spacing w:before="120" w:after="120"/>
              <w:jc w:val="left"/>
              <w:rPr>
                <w:sz w:val="18"/>
                <w:szCs w:val="18"/>
              </w:rPr>
            </w:pPr>
            <w:r w:rsidRPr="00316837">
              <w:rPr>
                <w:sz w:val="18"/>
                <w:szCs w:val="18"/>
              </w:rPr>
              <w:t xml:space="preserve">Gaps in national grid standards may not adequately address every mini-grid technology, leading to regulatory grey areas for some mini-grid developers. </w:t>
            </w:r>
          </w:p>
          <w:p w14:paraId="4BC62E2D" w14:textId="2194038E" w:rsidR="000D52F1" w:rsidRPr="00316837" w:rsidRDefault="000D52F1" w:rsidP="000D52F1">
            <w:pPr>
              <w:spacing w:before="120" w:after="120"/>
              <w:jc w:val="left"/>
              <w:rPr>
                <w:sz w:val="18"/>
                <w:szCs w:val="18"/>
              </w:rPr>
            </w:pPr>
            <w:r w:rsidRPr="00316837">
              <w:rPr>
                <w:sz w:val="18"/>
                <w:szCs w:val="18"/>
              </w:rPr>
              <w:t>Complying with national grid standards may be too expensive for some smaller mini-grid projects and may hinder innovation or adaptation to local conditions.</w:t>
            </w:r>
            <w:r w:rsidR="001D4932" w:rsidRPr="00316837">
              <w:rPr>
                <w:sz w:val="18"/>
                <w:szCs w:val="18"/>
              </w:rPr>
              <w:t xml:space="preserve"> </w:t>
            </w:r>
          </w:p>
        </w:tc>
      </w:tr>
      <w:tr w:rsidR="000D52F1" w:rsidRPr="00316837" w14:paraId="6A1745DB" w14:textId="77777777" w:rsidTr="000D52F1">
        <w:tc>
          <w:tcPr>
            <w:tcW w:w="292" w:type="pct"/>
          </w:tcPr>
          <w:p w14:paraId="28400BF5" w14:textId="41E0DB4A" w:rsidR="000D52F1" w:rsidRPr="00316837" w:rsidRDefault="000D52F1" w:rsidP="000D52F1">
            <w:pPr>
              <w:spacing w:before="120" w:after="120"/>
              <w:jc w:val="left"/>
              <w:rPr>
                <w:sz w:val="18"/>
                <w:szCs w:val="18"/>
              </w:rPr>
            </w:pPr>
            <w:r w:rsidRPr="00316837">
              <w:rPr>
                <w:sz w:val="18"/>
                <w:szCs w:val="18"/>
              </w:rPr>
              <w:t>3</w:t>
            </w:r>
          </w:p>
        </w:tc>
        <w:tc>
          <w:tcPr>
            <w:tcW w:w="1472" w:type="pct"/>
            <w:shd w:val="clear" w:color="auto" w:fill="auto"/>
          </w:tcPr>
          <w:p w14:paraId="7A805709" w14:textId="3F064C1A" w:rsidR="000D52F1" w:rsidRPr="00316837" w:rsidRDefault="000D52F1" w:rsidP="000D52F1">
            <w:pPr>
              <w:spacing w:before="120" w:after="120"/>
              <w:jc w:val="left"/>
              <w:rPr>
                <w:sz w:val="18"/>
                <w:szCs w:val="18"/>
              </w:rPr>
            </w:pPr>
            <w:r w:rsidRPr="00316837">
              <w:rPr>
                <w:sz w:val="18"/>
                <w:szCs w:val="18"/>
              </w:rPr>
              <w:t>Develop mini-grid specific standards</w:t>
            </w:r>
            <w:r w:rsidR="001D4932" w:rsidRPr="00316837">
              <w:rPr>
                <w:sz w:val="18"/>
                <w:szCs w:val="18"/>
              </w:rPr>
              <w:t xml:space="preserve"> </w:t>
            </w:r>
          </w:p>
        </w:tc>
        <w:tc>
          <w:tcPr>
            <w:tcW w:w="3236" w:type="pct"/>
            <w:shd w:val="clear" w:color="auto" w:fill="auto"/>
          </w:tcPr>
          <w:p w14:paraId="2897FED0" w14:textId="465930B5" w:rsidR="000D52F1" w:rsidRPr="00316837" w:rsidRDefault="000D52F1" w:rsidP="000D52F1">
            <w:pPr>
              <w:spacing w:before="120" w:after="120"/>
              <w:jc w:val="left"/>
              <w:rPr>
                <w:sz w:val="18"/>
                <w:szCs w:val="18"/>
              </w:rPr>
            </w:pPr>
            <w:r w:rsidRPr="00316837">
              <w:rPr>
                <w:sz w:val="18"/>
                <w:szCs w:val="18"/>
              </w:rPr>
              <w:t>Significant time and effort from the national regulatory authorities are required to develop new mini-grid specific standards.</w:t>
            </w:r>
            <w:r w:rsidR="001D4932" w:rsidRPr="00316837">
              <w:rPr>
                <w:sz w:val="18"/>
                <w:szCs w:val="18"/>
              </w:rPr>
              <w:t xml:space="preserve"> </w:t>
            </w:r>
          </w:p>
        </w:tc>
      </w:tr>
    </w:tbl>
    <w:p w14:paraId="19DFC9AA" w14:textId="66AE6C97" w:rsidR="000D52F1" w:rsidRPr="00316837" w:rsidRDefault="000D52F1" w:rsidP="000D52F1">
      <w:r w:rsidRPr="00316837">
        <w:t>In any case, safety related standards need always to be enforced.</w:t>
      </w:r>
      <w:r w:rsidR="001D4932" w:rsidRPr="00316837">
        <w:t xml:space="preserve"> </w:t>
      </w:r>
    </w:p>
    <w:p w14:paraId="39482FD6" w14:textId="3567E14E" w:rsidR="000D52F1" w:rsidRPr="00681DAA" w:rsidRDefault="000D52F1" w:rsidP="000D52F1">
      <w:pPr>
        <w:rPr>
          <w:szCs w:val="20"/>
        </w:rPr>
      </w:pPr>
      <w:r w:rsidRPr="00316837">
        <w:t xml:space="preserve">Moreover, there are four regulatory options regarding when to require grid-compliance of the mini-grids (see </w:t>
      </w:r>
      <w:r w:rsidRPr="00681DAA">
        <w:rPr>
          <w:szCs w:val="20"/>
        </w:rPr>
        <w:fldChar w:fldCharType="begin"/>
      </w:r>
      <w:r w:rsidRPr="00316837">
        <w:rPr>
          <w:szCs w:val="20"/>
        </w:rPr>
        <w:instrText xml:space="preserve"> REF _Ref75968987 \h  \* MERGEFORMAT </w:instrText>
      </w:r>
      <w:r w:rsidRPr="00681DAA">
        <w:rPr>
          <w:szCs w:val="20"/>
        </w:rPr>
      </w:r>
      <w:r w:rsidRPr="00681DAA">
        <w:rPr>
          <w:szCs w:val="20"/>
        </w:rPr>
        <w:fldChar w:fldCharType="separate"/>
      </w:r>
      <w:r w:rsidRPr="00681DAA">
        <w:rPr>
          <w:szCs w:val="20"/>
        </w:rPr>
        <w:t>Table 4</w:t>
      </w:r>
      <w:r w:rsidRPr="00681DAA">
        <w:rPr>
          <w:szCs w:val="20"/>
        </w:rPr>
        <w:noBreakHyphen/>
        <w:t>2</w:t>
      </w:r>
      <w:r w:rsidRPr="00681DAA">
        <w:rPr>
          <w:szCs w:val="20"/>
        </w:rPr>
        <w:fldChar w:fldCharType="end"/>
      </w:r>
      <w:r w:rsidRPr="00C632F6">
        <w:rPr>
          <w:szCs w:val="20"/>
        </w:rPr>
        <w:t xml:space="preserve">). </w:t>
      </w:r>
    </w:p>
    <w:p w14:paraId="215FFD9C" w14:textId="6F7A442A" w:rsidR="000D52F1" w:rsidRPr="00681DAA" w:rsidRDefault="000D52F1" w:rsidP="000D52F1">
      <w:pPr>
        <w:rPr>
          <w:sz w:val="18"/>
          <w:szCs w:val="18"/>
        </w:rPr>
      </w:pPr>
      <w:bookmarkStart w:id="155" w:name="_Ref75968987"/>
      <w:bookmarkStart w:id="156" w:name="_Ref58253066"/>
      <w:bookmarkStart w:id="157" w:name="_Toc74569886"/>
      <w:bookmarkStart w:id="158" w:name="_Toc58255760"/>
      <w:bookmarkStart w:id="159" w:name="_Toc77260252"/>
      <w:r w:rsidRPr="00681DAA">
        <w:rPr>
          <w:sz w:val="18"/>
          <w:szCs w:val="18"/>
        </w:rPr>
        <w:t xml:space="preserve">Table </w:t>
      </w:r>
      <w:r w:rsidRPr="00681DAA">
        <w:rPr>
          <w:sz w:val="18"/>
          <w:szCs w:val="18"/>
        </w:rPr>
        <w:fldChar w:fldCharType="begin"/>
      </w:r>
      <w:r w:rsidRPr="00316837">
        <w:rPr>
          <w:sz w:val="18"/>
          <w:szCs w:val="18"/>
        </w:rPr>
        <w:instrText xml:space="preserve"> STYLEREF 1 \s </w:instrText>
      </w:r>
      <w:r w:rsidRPr="00681DAA">
        <w:rPr>
          <w:sz w:val="18"/>
          <w:szCs w:val="18"/>
        </w:rPr>
        <w:fldChar w:fldCharType="separate"/>
      </w:r>
      <w:r w:rsidRPr="00681DAA">
        <w:rPr>
          <w:sz w:val="18"/>
          <w:szCs w:val="18"/>
        </w:rPr>
        <w:t>4</w:t>
      </w:r>
      <w:r w:rsidRPr="00681DAA">
        <w:rPr>
          <w:sz w:val="18"/>
          <w:szCs w:val="18"/>
        </w:rPr>
        <w:fldChar w:fldCharType="end"/>
      </w:r>
      <w:r w:rsidRPr="00C632F6">
        <w:rPr>
          <w:sz w:val="18"/>
          <w:szCs w:val="18"/>
        </w:rPr>
        <w:noBreakHyphen/>
      </w:r>
      <w:r w:rsidRPr="00681DAA">
        <w:rPr>
          <w:sz w:val="18"/>
          <w:szCs w:val="18"/>
        </w:rPr>
        <w:fldChar w:fldCharType="begin"/>
      </w:r>
      <w:r w:rsidRPr="00316837">
        <w:rPr>
          <w:sz w:val="18"/>
          <w:szCs w:val="18"/>
        </w:rPr>
        <w:instrText xml:space="preserve"> SEQ Table \* ARABIC \s 1 </w:instrText>
      </w:r>
      <w:r w:rsidRPr="00681DAA">
        <w:rPr>
          <w:sz w:val="18"/>
          <w:szCs w:val="18"/>
        </w:rPr>
        <w:fldChar w:fldCharType="separate"/>
      </w:r>
      <w:r w:rsidRPr="00681DAA">
        <w:rPr>
          <w:sz w:val="18"/>
          <w:szCs w:val="18"/>
        </w:rPr>
        <w:t>2</w:t>
      </w:r>
      <w:r w:rsidRPr="00681DAA">
        <w:rPr>
          <w:sz w:val="18"/>
          <w:szCs w:val="18"/>
        </w:rPr>
        <w:fldChar w:fldCharType="end"/>
      </w:r>
      <w:bookmarkEnd w:id="155"/>
      <w:r w:rsidRPr="00C632F6">
        <w:rPr>
          <w:sz w:val="18"/>
          <w:szCs w:val="18"/>
        </w:rPr>
        <w:t xml:space="preserve">: </w:t>
      </w:r>
      <w:bookmarkEnd w:id="156"/>
      <w:r w:rsidRPr="00681DAA">
        <w:rPr>
          <w:iCs/>
          <w:sz w:val="18"/>
          <w:szCs w:val="18"/>
        </w:rPr>
        <w:t>Regulatory options and option challenges for grid-compliance readiness</w:t>
      </w:r>
      <w:bookmarkEnd w:id="157"/>
      <w:bookmarkEnd w:id="159"/>
      <w:r w:rsidRPr="00681DAA">
        <w:rPr>
          <w:iCs/>
          <w:sz w:val="18"/>
          <w:szCs w:val="18"/>
        </w:rPr>
        <w:t xml:space="preserve"> </w:t>
      </w:r>
      <w:bookmarkEnd w:id="158"/>
    </w:p>
    <w:tbl>
      <w:tblPr>
        <w:tblStyle w:val="TableGrid"/>
        <w:tblW w:w="5000" w:type="pct"/>
        <w:tblLook w:val="04A0" w:firstRow="1" w:lastRow="0" w:firstColumn="1" w:lastColumn="0" w:noHBand="0" w:noVBand="1"/>
      </w:tblPr>
      <w:tblGrid>
        <w:gridCol w:w="506"/>
        <w:gridCol w:w="2895"/>
        <w:gridCol w:w="6228"/>
      </w:tblGrid>
      <w:tr w:rsidR="000D52F1" w:rsidRPr="00316837" w14:paraId="21E089E0" w14:textId="77777777" w:rsidTr="001D4932">
        <w:trPr>
          <w:trHeight w:val="280"/>
        </w:trPr>
        <w:tc>
          <w:tcPr>
            <w:tcW w:w="258" w:type="pct"/>
            <w:shd w:val="clear" w:color="auto" w:fill="F2F2F2" w:themeFill="background1" w:themeFillShade="F2"/>
          </w:tcPr>
          <w:p w14:paraId="27767FA4" w14:textId="29ED0979" w:rsidR="000D52F1" w:rsidRPr="006273BD" w:rsidRDefault="000D52F1" w:rsidP="000D52F1">
            <w:pPr>
              <w:spacing w:before="120" w:after="120"/>
              <w:jc w:val="left"/>
              <w:rPr>
                <w:b/>
                <w:bCs/>
                <w:sz w:val="18"/>
                <w:szCs w:val="18"/>
              </w:rPr>
            </w:pPr>
            <w:bookmarkStart w:id="160" w:name="_Hlk75969652"/>
            <w:r w:rsidRPr="006273BD">
              <w:rPr>
                <w:b/>
                <w:bCs/>
                <w:sz w:val="18"/>
                <w:szCs w:val="18"/>
              </w:rPr>
              <w:t xml:space="preserve">No. </w:t>
            </w:r>
          </w:p>
        </w:tc>
        <w:tc>
          <w:tcPr>
            <w:tcW w:w="1506" w:type="pct"/>
            <w:shd w:val="clear" w:color="auto" w:fill="F2F2F2" w:themeFill="background1" w:themeFillShade="F2"/>
            <w:vAlign w:val="center"/>
          </w:tcPr>
          <w:p w14:paraId="7A910D7B" w14:textId="4C88B8B8" w:rsidR="000D52F1" w:rsidRPr="006273BD" w:rsidRDefault="000D52F1" w:rsidP="000D52F1">
            <w:pPr>
              <w:spacing w:before="120" w:after="120"/>
              <w:jc w:val="left"/>
              <w:rPr>
                <w:b/>
                <w:bCs/>
                <w:sz w:val="18"/>
                <w:szCs w:val="18"/>
              </w:rPr>
            </w:pPr>
            <w:r w:rsidRPr="006273BD">
              <w:rPr>
                <w:b/>
                <w:bCs/>
                <w:sz w:val="18"/>
                <w:szCs w:val="18"/>
              </w:rPr>
              <w:t>Regulatory option</w:t>
            </w:r>
            <w:r w:rsidR="001D4932" w:rsidRPr="006273BD">
              <w:rPr>
                <w:b/>
                <w:bCs/>
                <w:sz w:val="18"/>
                <w:szCs w:val="18"/>
              </w:rPr>
              <w:t xml:space="preserve"> </w:t>
            </w:r>
          </w:p>
        </w:tc>
        <w:tc>
          <w:tcPr>
            <w:tcW w:w="3236" w:type="pct"/>
            <w:shd w:val="clear" w:color="auto" w:fill="F2F2F2" w:themeFill="background1" w:themeFillShade="F2"/>
            <w:vAlign w:val="center"/>
          </w:tcPr>
          <w:p w14:paraId="29BF1049" w14:textId="342338D8" w:rsidR="000D52F1" w:rsidRPr="006273BD" w:rsidRDefault="000D52F1" w:rsidP="000D52F1">
            <w:pPr>
              <w:spacing w:before="120" w:after="120"/>
              <w:jc w:val="left"/>
              <w:rPr>
                <w:b/>
                <w:bCs/>
                <w:sz w:val="18"/>
                <w:szCs w:val="18"/>
              </w:rPr>
            </w:pPr>
            <w:r w:rsidRPr="006273BD">
              <w:rPr>
                <w:b/>
                <w:bCs/>
                <w:sz w:val="18"/>
                <w:szCs w:val="18"/>
              </w:rPr>
              <w:t>Option challenges</w:t>
            </w:r>
            <w:r w:rsidR="001D4932" w:rsidRPr="006273BD">
              <w:rPr>
                <w:b/>
                <w:bCs/>
                <w:sz w:val="18"/>
                <w:szCs w:val="18"/>
              </w:rPr>
              <w:t xml:space="preserve"> </w:t>
            </w:r>
          </w:p>
        </w:tc>
      </w:tr>
      <w:tr w:rsidR="000D52F1" w:rsidRPr="00316837" w14:paraId="2C6732CA" w14:textId="77777777" w:rsidTr="000D52F1">
        <w:trPr>
          <w:trHeight w:val="1358"/>
        </w:trPr>
        <w:tc>
          <w:tcPr>
            <w:tcW w:w="258" w:type="pct"/>
          </w:tcPr>
          <w:p w14:paraId="3A0A2016" w14:textId="433A3855" w:rsidR="000D52F1" w:rsidRPr="00316837" w:rsidRDefault="000D52F1" w:rsidP="000D52F1">
            <w:pPr>
              <w:spacing w:before="120" w:after="120"/>
              <w:jc w:val="left"/>
              <w:rPr>
                <w:sz w:val="18"/>
                <w:szCs w:val="18"/>
              </w:rPr>
            </w:pPr>
            <w:r w:rsidRPr="00316837">
              <w:rPr>
                <w:sz w:val="18"/>
                <w:szCs w:val="18"/>
              </w:rPr>
              <w:t>1</w:t>
            </w:r>
          </w:p>
        </w:tc>
        <w:tc>
          <w:tcPr>
            <w:tcW w:w="1506" w:type="pct"/>
            <w:shd w:val="clear" w:color="auto" w:fill="auto"/>
          </w:tcPr>
          <w:p w14:paraId="3E16298C" w14:textId="464893AE" w:rsidR="000D52F1" w:rsidRPr="00316837" w:rsidRDefault="000D52F1" w:rsidP="000D52F1">
            <w:pPr>
              <w:spacing w:before="120" w:after="120"/>
              <w:jc w:val="left"/>
              <w:rPr>
                <w:sz w:val="18"/>
                <w:szCs w:val="18"/>
              </w:rPr>
            </w:pPr>
            <w:r w:rsidRPr="00316837">
              <w:rPr>
                <w:sz w:val="18"/>
                <w:szCs w:val="18"/>
              </w:rPr>
              <w:t>Do not require the mini-grid to be Grid Code-compliant</w:t>
            </w:r>
            <w:r w:rsidR="001D4932" w:rsidRPr="00316837">
              <w:rPr>
                <w:sz w:val="18"/>
                <w:szCs w:val="18"/>
              </w:rPr>
              <w:t xml:space="preserve"> </w:t>
            </w:r>
          </w:p>
        </w:tc>
        <w:tc>
          <w:tcPr>
            <w:tcW w:w="3236" w:type="pct"/>
            <w:shd w:val="clear" w:color="auto" w:fill="auto"/>
          </w:tcPr>
          <w:p w14:paraId="7344AB29" w14:textId="1FDCDE45" w:rsidR="000D52F1" w:rsidRPr="00316837" w:rsidRDefault="000D52F1" w:rsidP="000D52F1">
            <w:pPr>
              <w:spacing w:before="120" w:after="120"/>
              <w:jc w:val="left"/>
              <w:rPr>
                <w:sz w:val="18"/>
                <w:szCs w:val="18"/>
              </w:rPr>
            </w:pPr>
            <w:r w:rsidRPr="00316837">
              <w:rPr>
                <w:sz w:val="18"/>
                <w:szCs w:val="18"/>
              </w:rPr>
              <w:t>If mini-grids are not required to be Grid Code-compliant, connections between the mini-grid and main grid may be more difficult, more expensive, or less likely to happen. Mini-grid final customers may not get the same electricity availability and power quality as those on the national grid.</w:t>
            </w:r>
            <w:r w:rsidR="001D4932" w:rsidRPr="00316837">
              <w:rPr>
                <w:sz w:val="18"/>
                <w:szCs w:val="18"/>
              </w:rPr>
              <w:t xml:space="preserve"> </w:t>
            </w:r>
          </w:p>
        </w:tc>
      </w:tr>
      <w:bookmarkEnd w:id="160"/>
      <w:tr w:rsidR="000D52F1" w:rsidRPr="00316837" w14:paraId="3423B940" w14:textId="77777777" w:rsidTr="000D52F1">
        <w:tc>
          <w:tcPr>
            <w:tcW w:w="258" w:type="pct"/>
          </w:tcPr>
          <w:p w14:paraId="3E01F1BF" w14:textId="6690E131" w:rsidR="000D52F1" w:rsidRPr="00316837" w:rsidRDefault="000D52F1" w:rsidP="000D52F1">
            <w:pPr>
              <w:spacing w:before="120" w:after="120"/>
              <w:jc w:val="left"/>
              <w:rPr>
                <w:sz w:val="18"/>
                <w:szCs w:val="18"/>
              </w:rPr>
            </w:pPr>
            <w:r w:rsidRPr="00316837">
              <w:rPr>
                <w:sz w:val="18"/>
                <w:szCs w:val="18"/>
              </w:rPr>
              <w:t>2</w:t>
            </w:r>
          </w:p>
        </w:tc>
        <w:tc>
          <w:tcPr>
            <w:tcW w:w="1506" w:type="pct"/>
            <w:shd w:val="clear" w:color="auto" w:fill="auto"/>
          </w:tcPr>
          <w:p w14:paraId="0E1442A2" w14:textId="6956528D" w:rsidR="000D52F1" w:rsidRPr="00316837" w:rsidRDefault="000D52F1" w:rsidP="000D52F1">
            <w:pPr>
              <w:spacing w:before="120" w:after="120"/>
              <w:jc w:val="left"/>
              <w:rPr>
                <w:sz w:val="18"/>
                <w:szCs w:val="18"/>
              </w:rPr>
            </w:pPr>
            <w:r w:rsidRPr="00316837">
              <w:rPr>
                <w:sz w:val="18"/>
                <w:szCs w:val="18"/>
              </w:rPr>
              <w:t>Require the mini-grid to be Grid Code-compliant at project commissioning</w:t>
            </w:r>
            <w:r w:rsidR="001D4932" w:rsidRPr="00316837">
              <w:rPr>
                <w:sz w:val="18"/>
                <w:szCs w:val="18"/>
              </w:rPr>
              <w:t xml:space="preserve"> </w:t>
            </w:r>
          </w:p>
        </w:tc>
        <w:tc>
          <w:tcPr>
            <w:tcW w:w="3236" w:type="pct"/>
            <w:shd w:val="clear" w:color="auto" w:fill="auto"/>
          </w:tcPr>
          <w:p w14:paraId="3A4CECC3" w14:textId="7747C3CC" w:rsidR="000D52F1" w:rsidRPr="00316837" w:rsidRDefault="000D52F1" w:rsidP="000D52F1">
            <w:pPr>
              <w:spacing w:before="120" w:after="120"/>
              <w:jc w:val="left"/>
              <w:rPr>
                <w:sz w:val="18"/>
                <w:szCs w:val="18"/>
              </w:rPr>
            </w:pPr>
            <w:r w:rsidRPr="00316837">
              <w:rPr>
                <w:sz w:val="18"/>
                <w:szCs w:val="18"/>
              </w:rPr>
              <w:t>Requiring all mini-grids to be Grid Code-compliant at commissioning requires larger up-front investments from developers that will be a barrier to small-scale projects. Stringent standards may slow down innovation in a country’s mini-grid sector, resulting in lower/slower penetration of the mini-grid in off-grid areas.</w:t>
            </w:r>
            <w:r w:rsidR="001D4932" w:rsidRPr="00316837">
              <w:rPr>
                <w:sz w:val="18"/>
                <w:szCs w:val="18"/>
              </w:rPr>
              <w:t xml:space="preserve"> </w:t>
            </w:r>
          </w:p>
        </w:tc>
      </w:tr>
      <w:tr w:rsidR="000D52F1" w:rsidRPr="00316837" w14:paraId="26809B02" w14:textId="77777777" w:rsidTr="000D52F1">
        <w:tc>
          <w:tcPr>
            <w:tcW w:w="258" w:type="pct"/>
          </w:tcPr>
          <w:p w14:paraId="0C7908CD" w14:textId="5F1C1022" w:rsidR="000D52F1" w:rsidRPr="00316837" w:rsidRDefault="000D52F1" w:rsidP="000D52F1">
            <w:pPr>
              <w:spacing w:before="120" w:after="120"/>
              <w:jc w:val="left"/>
              <w:rPr>
                <w:bCs/>
                <w:sz w:val="18"/>
                <w:szCs w:val="18"/>
              </w:rPr>
            </w:pPr>
            <w:r w:rsidRPr="00316837">
              <w:rPr>
                <w:bCs/>
                <w:sz w:val="18"/>
                <w:szCs w:val="18"/>
              </w:rPr>
              <w:t>3</w:t>
            </w:r>
          </w:p>
        </w:tc>
        <w:tc>
          <w:tcPr>
            <w:tcW w:w="1506" w:type="pct"/>
            <w:shd w:val="clear" w:color="auto" w:fill="auto"/>
          </w:tcPr>
          <w:p w14:paraId="59869FDE" w14:textId="2FA9CAFB" w:rsidR="000D52F1" w:rsidRPr="00316837" w:rsidRDefault="000D52F1" w:rsidP="000D52F1">
            <w:pPr>
              <w:spacing w:before="120" w:after="120"/>
              <w:jc w:val="left"/>
              <w:rPr>
                <w:sz w:val="18"/>
                <w:szCs w:val="18"/>
              </w:rPr>
            </w:pPr>
            <w:r w:rsidRPr="00316837">
              <w:rPr>
                <w:bCs/>
                <w:sz w:val="18"/>
                <w:szCs w:val="18"/>
              </w:rPr>
              <w:t>Require the mini-grid to be Grid Code-compliant at connection</w:t>
            </w:r>
            <w:r w:rsidR="001D4932" w:rsidRPr="00316837">
              <w:rPr>
                <w:bCs/>
                <w:sz w:val="18"/>
                <w:szCs w:val="18"/>
              </w:rPr>
              <w:t xml:space="preserve"> </w:t>
            </w:r>
          </w:p>
        </w:tc>
        <w:tc>
          <w:tcPr>
            <w:tcW w:w="3236" w:type="pct"/>
            <w:shd w:val="clear" w:color="auto" w:fill="auto"/>
          </w:tcPr>
          <w:p w14:paraId="1CAFFCC4" w14:textId="172F54EF" w:rsidR="000D52F1" w:rsidRPr="00316837" w:rsidRDefault="000D52F1" w:rsidP="000D52F1">
            <w:pPr>
              <w:spacing w:before="120" w:after="120"/>
              <w:jc w:val="left"/>
              <w:rPr>
                <w:sz w:val="18"/>
                <w:szCs w:val="18"/>
              </w:rPr>
            </w:pPr>
            <w:r w:rsidRPr="00316837">
              <w:rPr>
                <w:sz w:val="18"/>
                <w:szCs w:val="18"/>
              </w:rPr>
              <w:t>Requiring all mini-grids to be Grid Code-compliant at the time of connection implies a period of time when mini-grids will not comply with the Grid Code, and can result in different levels of service for mini-grid ratepayers between utility-served ratepayers. Mini-grid owners may never bring their mini-grid into Grid Code-compliance.</w:t>
            </w:r>
            <w:r w:rsidR="001D4932" w:rsidRPr="00316837">
              <w:rPr>
                <w:sz w:val="18"/>
                <w:szCs w:val="18"/>
              </w:rPr>
              <w:t xml:space="preserve"> </w:t>
            </w:r>
          </w:p>
        </w:tc>
      </w:tr>
      <w:tr w:rsidR="000D52F1" w:rsidRPr="00316837" w14:paraId="6276EB10" w14:textId="77777777" w:rsidTr="000D52F1">
        <w:tc>
          <w:tcPr>
            <w:tcW w:w="258" w:type="pct"/>
          </w:tcPr>
          <w:p w14:paraId="099A6506" w14:textId="52A3C171" w:rsidR="000D52F1" w:rsidRPr="00316837" w:rsidRDefault="000D52F1" w:rsidP="000D52F1">
            <w:pPr>
              <w:spacing w:before="120" w:after="120"/>
              <w:jc w:val="left"/>
              <w:rPr>
                <w:sz w:val="18"/>
                <w:szCs w:val="18"/>
              </w:rPr>
            </w:pPr>
            <w:r w:rsidRPr="00316837">
              <w:rPr>
                <w:sz w:val="18"/>
                <w:szCs w:val="18"/>
              </w:rPr>
              <w:t>4</w:t>
            </w:r>
          </w:p>
        </w:tc>
        <w:tc>
          <w:tcPr>
            <w:tcW w:w="1506" w:type="pct"/>
            <w:shd w:val="clear" w:color="auto" w:fill="auto"/>
          </w:tcPr>
          <w:p w14:paraId="2EC77139" w14:textId="3D9922EC" w:rsidR="000D52F1" w:rsidRPr="00316837" w:rsidRDefault="000D52F1" w:rsidP="000D52F1">
            <w:pPr>
              <w:spacing w:before="120" w:after="120"/>
              <w:jc w:val="left"/>
              <w:rPr>
                <w:sz w:val="18"/>
                <w:szCs w:val="18"/>
              </w:rPr>
            </w:pPr>
            <w:r w:rsidRPr="00316837">
              <w:rPr>
                <w:sz w:val="18"/>
                <w:szCs w:val="18"/>
              </w:rPr>
              <w:t xml:space="preserve">Develop different Grid Code-compliance timing requirements based on project classes or categories </w:t>
            </w:r>
          </w:p>
        </w:tc>
        <w:tc>
          <w:tcPr>
            <w:tcW w:w="3236" w:type="pct"/>
            <w:shd w:val="clear" w:color="auto" w:fill="auto"/>
          </w:tcPr>
          <w:p w14:paraId="344F54D9" w14:textId="0DDA16FD" w:rsidR="000D52F1" w:rsidRPr="00316837" w:rsidRDefault="000D52F1" w:rsidP="000D52F1">
            <w:pPr>
              <w:spacing w:before="120" w:after="120"/>
              <w:jc w:val="left"/>
              <w:rPr>
                <w:sz w:val="18"/>
                <w:szCs w:val="18"/>
              </w:rPr>
            </w:pPr>
            <w:r w:rsidRPr="00316837">
              <w:rPr>
                <w:sz w:val="18"/>
                <w:szCs w:val="18"/>
              </w:rPr>
              <w:t>Basing Grid Code-compliance timing requirements on project classes creates a more complicated regulatory environment that can confuse potential developers and slow both project development and connection application processing time.</w:t>
            </w:r>
            <w:r w:rsidR="001D4932" w:rsidRPr="00316837">
              <w:rPr>
                <w:sz w:val="18"/>
                <w:szCs w:val="18"/>
              </w:rPr>
              <w:t xml:space="preserve"> </w:t>
            </w:r>
          </w:p>
        </w:tc>
      </w:tr>
    </w:tbl>
    <w:p w14:paraId="0724A3AD" w14:textId="02B0AA4D" w:rsidR="000D52F1" w:rsidRPr="00316837" w:rsidRDefault="000D52F1" w:rsidP="000D52F1">
      <w:r w:rsidRPr="00316837">
        <w:t>Many countries are currently considering grid-compliance from the start for new mini-grids, especially for the ones with larger installed capacity.</w:t>
      </w:r>
      <w:r w:rsidR="001D4932" w:rsidRPr="00316837">
        <w:t xml:space="preserve"> </w:t>
      </w:r>
    </w:p>
    <w:p w14:paraId="23A7D5AD" w14:textId="2EAC98D7" w:rsidR="000D52F1" w:rsidRPr="00681DAA" w:rsidRDefault="000D52F1" w:rsidP="000D52F1">
      <w:r w:rsidRPr="00316837">
        <w:lastRenderedPageBreak/>
        <w:t>Based on past experiences from around the world there are six main options available for when the main grid reaches the location of a mini-grid (</w:t>
      </w:r>
      <w:r w:rsidRPr="00316837">
        <w:rPr>
          <w:szCs w:val="20"/>
        </w:rPr>
        <w:t xml:space="preserve">see </w:t>
      </w:r>
      <w:r w:rsidR="001D4932" w:rsidRPr="00681DAA">
        <w:rPr>
          <w:szCs w:val="20"/>
        </w:rPr>
        <w:fldChar w:fldCharType="begin"/>
      </w:r>
      <w:r w:rsidR="001D4932" w:rsidRPr="00316837">
        <w:rPr>
          <w:szCs w:val="20"/>
        </w:rPr>
        <w:instrText xml:space="preserve"> REF _Ref77012942 \h  \* MERGEFORMAT </w:instrText>
      </w:r>
      <w:r w:rsidR="001D4932" w:rsidRPr="00681DAA">
        <w:rPr>
          <w:szCs w:val="20"/>
        </w:rPr>
      </w:r>
      <w:r w:rsidR="001D4932" w:rsidRPr="00681DAA">
        <w:rPr>
          <w:szCs w:val="20"/>
        </w:rPr>
        <w:fldChar w:fldCharType="separate"/>
      </w:r>
      <w:r w:rsidR="001D4932" w:rsidRPr="00681DAA">
        <w:rPr>
          <w:szCs w:val="20"/>
        </w:rPr>
        <w:t>Table 4</w:t>
      </w:r>
      <w:r w:rsidR="001D4932" w:rsidRPr="00681DAA">
        <w:rPr>
          <w:szCs w:val="20"/>
        </w:rPr>
        <w:noBreakHyphen/>
        <w:t>3</w:t>
      </w:r>
      <w:r w:rsidR="001D4932" w:rsidRPr="00681DAA">
        <w:rPr>
          <w:szCs w:val="20"/>
        </w:rPr>
        <w:fldChar w:fldCharType="end"/>
      </w:r>
      <w:r w:rsidRPr="00C632F6">
        <w:t>)</w:t>
      </w:r>
      <w:r w:rsidRPr="00C632F6">
        <w:rPr>
          <w:vertAlign w:val="superscript"/>
        </w:rPr>
        <w:footnoteReference w:id="2"/>
      </w:r>
      <w:r w:rsidRPr="00C632F6">
        <w:t xml:space="preserve">. </w:t>
      </w:r>
    </w:p>
    <w:p w14:paraId="0D7219CF" w14:textId="7508223F" w:rsidR="000D52F1" w:rsidRPr="00316837" w:rsidRDefault="000D52F1" w:rsidP="000D52F1">
      <w:pPr>
        <w:rPr>
          <w:sz w:val="18"/>
          <w:szCs w:val="18"/>
        </w:rPr>
      </w:pPr>
      <w:bookmarkStart w:id="161" w:name="_Ref77012942"/>
      <w:bookmarkStart w:id="162" w:name="_Toc77260253"/>
      <w:r w:rsidRPr="00681DAA">
        <w:rPr>
          <w:sz w:val="18"/>
          <w:szCs w:val="18"/>
        </w:rPr>
        <w:t xml:space="preserve">Table </w:t>
      </w:r>
      <w:r w:rsidRPr="00681DAA">
        <w:rPr>
          <w:sz w:val="18"/>
          <w:szCs w:val="18"/>
        </w:rPr>
        <w:fldChar w:fldCharType="begin"/>
      </w:r>
      <w:r w:rsidRPr="00316837">
        <w:rPr>
          <w:sz w:val="18"/>
          <w:szCs w:val="18"/>
        </w:rPr>
        <w:instrText xml:space="preserve"> STYLEREF 1 \s </w:instrText>
      </w:r>
      <w:r w:rsidRPr="00681DAA">
        <w:rPr>
          <w:sz w:val="18"/>
          <w:szCs w:val="18"/>
        </w:rPr>
        <w:fldChar w:fldCharType="separate"/>
      </w:r>
      <w:r w:rsidRPr="00681DAA">
        <w:rPr>
          <w:sz w:val="18"/>
          <w:szCs w:val="18"/>
        </w:rPr>
        <w:t>4</w:t>
      </w:r>
      <w:r w:rsidRPr="00681DAA">
        <w:rPr>
          <w:sz w:val="18"/>
          <w:szCs w:val="18"/>
        </w:rPr>
        <w:fldChar w:fldCharType="end"/>
      </w:r>
      <w:r w:rsidRPr="00C632F6">
        <w:rPr>
          <w:sz w:val="18"/>
          <w:szCs w:val="18"/>
        </w:rPr>
        <w:noBreakHyphen/>
      </w:r>
      <w:r w:rsidRPr="00681DAA">
        <w:rPr>
          <w:sz w:val="18"/>
          <w:szCs w:val="18"/>
        </w:rPr>
        <w:fldChar w:fldCharType="begin"/>
      </w:r>
      <w:r w:rsidRPr="00316837">
        <w:rPr>
          <w:sz w:val="18"/>
          <w:szCs w:val="18"/>
        </w:rPr>
        <w:instrText xml:space="preserve"> SEQ Table \* ARABIC \s 1 </w:instrText>
      </w:r>
      <w:r w:rsidRPr="00681DAA">
        <w:rPr>
          <w:sz w:val="18"/>
          <w:szCs w:val="18"/>
        </w:rPr>
        <w:fldChar w:fldCharType="separate"/>
      </w:r>
      <w:r w:rsidRPr="00681DAA">
        <w:rPr>
          <w:sz w:val="18"/>
          <w:szCs w:val="18"/>
        </w:rPr>
        <w:t>3</w:t>
      </w:r>
      <w:r w:rsidRPr="00681DAA">
        <w:rPr>
          <w:sz w:val="18"/>
          <w:szCs w:val="18"/>
        </w:rPr>
        <w:fldChar w:fldCharType="end"/>
      </w:r>
      <w:bookmarkEnd w:id="161"/>
      <w:r w:rsidRPr="00C632F6">
        <w:rPr>
          <w:sz w:val="18"/>
          <w:szCs w:val="18"/>
        </w:rPr>
        <w:t xml:space="preserve">: Main </w:t>
      </w:r>
      <w:r w:rsidRPr="00681DAA">
        <w:rPr>
          <w:iCs/>
          <w:sz w:val="18"/>
          <w:szCs w:val="18"/>
        </w:rPr>
        <w:t>options available for when the main grid reaches the location of a mini-grid</w:t>
      </w:r>
      <w:bookmarkEnd w:id="162"/>
      <w:r w:rsidRPr="00681DAA">
        <w:rPr>
          <w:iCs/>
          <w:sz w:val="18"/>
          <w:szCs w:val="18"/>
        </w:rPr>
        <w:t xml:space="preserve"> </w:t>
      </w:r>
    </w:p>
    <w:tbl>
      <w:tblPr>
        <w:tblStyle w:val="TableGrid"/>
        <w:tblW w:w="5000" w:type="pct"/>
        <w:tblLook w:val="04A0" w:firstRow="1" w:lastRow="0" w:firstColumn="1" w:lastColumn="0" w:noHBand="0" w:noVBand="1"/>
      </w:tblPr>
      <w:tblGrid>
        <w:gridCol w:w="506"/>
        <w:gridCol w:w="2895"/>
        <w:gridCol w:w="6228"/>
      </w:tblGrid>
      <w:tr w:rsidR="000D52F1" w:rsidRPr="00316837" w14:paraId="2AD74BC3" w14:textId="77777777" w:rsidTr="001D4932">
        <w:trPr>
          <w:trHeight w:val="280"/>
        </w:trPr>
        <w:tc>
          <w:tcPr>
            <w:tcW w:w="258" w:type="pct"/>
            <w:shd w:val="clear" w:color="auto" w:fill="F2F2F2" w:themeFill="background1" w:themeFillShade="F2"/>
          </w:tcPr>
          <w:p w14:paraId="5E290DAF" w14:textId="77777777" w:rsidR="000D52F1" w:rsidRPr="006273BD" w:rsidRDefault="000D52F1" w:rsidP="00E16180">
            <w:pPr>
              <w:spacing w:before="120" w:after="120"/>
              <w:jc w:val="left"/>
              <w:rPr>
                <w:b/>
                <w:bCs/>
                <w:sz w:val="18"/>
                <w:szCs w:val="18"/>
              </w:rPr>
            </w:pPr>
            <w:r w:rsidRPr="006273BD">
              <w:rPr>
                <w:b/>
                <w:bCs/>
                <w:sz w:val="18"/>
                <w:szCs w:val="18"/>
              </w:rPr>
              <w:t xml:space="preserve">No. </w:t>
            </w:r>
          </w:p>
        </w:tc>
        <w:tc>
          <w:tcPr>
            <w:tcW w:w="1506" w:type="pct"/>
            <w:shd w:val="clear" w:color="auto" w:fill="F2F2F2" w:themeFill="background1" w:themeFillShade="F2"/>
            <w:vAlign w:val="center"/>
          </w:tcPr>
          <w:p w14:paraId="67FED0C2" w14:textId="4E81FCE6" w:rsidR="000D52F1" w:rsidRPr="006273BD" w:rsidRDefault="000D52F1" w:rsidP="00E16180">
            <w:pPr>
              <w:spacing w:before="120" w:after="120"/>
              <w:jc w:val="left"/>
              <w:rPr>
                <w:b/>
                <w:bCs/>
                <w:sz w:val="18"/>
                <w:szCs w:val="18"/>
              </w:rPr>
            </w:pPr>
            <w:r w:rsidRPr="006273BD">
              <w:rPr>
                <w:b/>
                <w:bCs/>
                <w:sz w:val="18"/>
                <w:szCs w:val="18"/>
              </w:rPr>
              <w:t>Option</w:t>
            </w:r>
            <w:r w:rsidR="001D4932" w:rsidRPr="006273BD">
              <w:rPr>
                <w:b/>
                <w:bCs/>
                <w:sz w:val="18"/>
                <w:szCs w:val="18"/>
              </w:rPr>
              <w:t xml:space="preserve"> </w:t>
            </w:r>
          </w:p>
        </w:tc>
        <w:tc>
          <w:tcPr>
            <w:tcW w:w="3236" w:type="pct"/>
            <w:shd w:val="clear" w:color="auto" w:fill="F2F2F2" w:themeFill="background1" w:themeFillShade="F2"/>
            <w:vAlign w:val="center"/>
          </w:tcPr>
          <w:p w14:paraId="359B88AE" w14:textId="03A5A031" w:rsidR="000D52F1" w:rsidRPr="006273BD" w:rsidRDefault="000D52F1" w:rsidP="00E16180">
            <w:pPr>
              <w:spacing w:before="120" w:after="120"/>
              <w:jc w:val="left"/>
              <w:rPr>
                <w:b/>
                <w:bCs/>
                <w:sz w:val="18"/>
                <w:szCs w:val="18"/>
              </w:rPr>
            </w:pPr>
            <w:r w:rsidRPr="006273BD">
              <w:rPr>
                <w:b/>
                <w:bCs/>
                <w:sz w:val="18"/>
                <w:szCs w:val="18"/>
              </w:rPr>
              <w:t xml:space="preserve">Option characteristics </w:t>
            </w:r>
          </w:p>
        </w:tc>
      </w:tr>
      <w:tr w:rsidR="000D52F1" w:rsidRPr="00316837" w14:paraId="6790A78E" w14:textId="77777777" w:rsidTr="000D52F1">
        <w:trPr>
          <w:trHeight w:val="469"/>
        </w:trPr>
        <w:tc>
          <w:tcPr>
            <w:tcW w:w="258" w:type="pct"/>
          </w:tcPr>
          <w:p w14:paraId="2082356F" w14:textId="77777777" w:rsidR="000D52F1" w:rsidRPr="00316837" w:rsidRDefault="000D52F1" w:rsidP="00E16180">
            <w:pPr>
              <w:spacing w:before="120" w:after="120"/>
              <w:jc w:val="left"/>
              <w:rPr>
                <w:sz w:val="18"/>
                <w:szCs w:val="18"/>
              </w:rPr>
            </w:pPr>
            <w:r w:rsidRPr="00316837">
              <w:rPr>
                <w:sz w:val="18"/>
                <w:szCs w:val="18"/>
              </w:rPr>
              <w:t>1</w:t>
            </w:r>
          </w:p>
        </w:tc>
        <w:tc>
          <w:tcPr>
            <w:tcW w:w="1506" w:type="pct"/>
            <w:shd w:val="clear" w:color="auto" w:fill="auto"/>
          </w:tcPr>
          <w:p w14:paraId="3E48A2A4" w14:textId="23F10BE4" w:rsidR="000D52F1" w:rsidRPr="00316837" w:rsidRDefault="000D52F1" w:rsidP="00E16180">
            <w:pPr>
              <w:spacing w:before="120" w:after="120"/>
              <w:jc w:val="left"/>
              <w:rPr>
                <w:sz w:val="18"/>
                <w:szCs w:val="18"/>
              </w:rPr>
            </w:pPr>
            <w:r w:rsidRPr="00316837">
              <w:rPr>
                <w:sz w:val="18"/>
                <w:szCs w:val="18"/>
              </w:rPr>
              <w:t>Small power producer (SPP)</w:t>
            </w:r>
            <w:r w:rsidR="001D4932" w:rsidRPr="00316837">
              <w:rPr>
                <w:sz w:val="18"/>
                <w:szCs w:val="18"/>
              </w:rPr>
              <w:t xml:space="preserve"> </w:t>
            </w:r>
          </w:p>
        </w:tc>
        <w:tc>
          <w:tcPr>
            <w:tcW w:w="3236" w:type="pct"/>
            <w:shd w:val="clear" w:color="auto" w:fill="auto"/>
          </w:tcPr>
          <w:p w14:paraId="039433B7" w14:textId="6BCFF4D9" w:rsidR="000D52F1" w:rsidRPr="00316837" w:rsidRDefault="000D52F1" w:rsidP="00E16180">
            <w:pPr>
              <w:spacing w:before="120" w:after="120"/>
              <w:jc w:val="left"/>
              <w:rPr>
                <w:sz w:val="18"/>
                <w:szCs w:val="18"/>
              </w:rPr>
            </w:pPr>
            <w:r w:rsidRPr="00316837">
              <w:rPr>
                <w:sz w:val="18"/>
                <w:szCs w:val="18"/>
              </w:rPr>
              <w:t>The mini-grid converts to a main grid-connected SPP, and no longer sells at retail to villagers.</w:t>
            </w:r>
            <w:r w:rsidR="001D4932" w:rsidRPr="00316837">
              <w:rPr>
                <w:sz w:val="18"/>
                <w:szCs w:val="18"/>
              </w:rPr>
              <w:t xml:space="preserve"> </w:t>
            </w:r>
          </w:p>
        </w:tc>
      </w:tr>
      <w:tr w:rsidR="000D52F1" w:rsidRPr="00316837" w14:paraId="7D9042F8" w14:textId="77777777" w:rsidTr="000D52F1">
        <w:trPr>
          <w:trHeight w:val="469"/>
        </w:trPr>
        <w:tc>
          <w:tcPr>
            <w:tcW w:w="258" w:type="pct"/>
          </w:tcPr>
          <w:p w14:paraId="13237623" w14:textId="22660FB1" w:rsidR="000D52F1" w:rsidRPr="00316837" w:rsidRDefault="000D52F1" w:rsidP="00E16180">
            <w:pPr>
              <w:spacing w:before="120" w:after="120"/>
              <w:jc w:val="left"/>
              <w:rPr>
                <w:sz w:val="18"/>
                <w:szCs w:val="18"/>
              </w:rPr>
            </w:pPr>
            <w:r w:rsidRPr="00316837">
              <w:rPr>
                <w:sz w:val="18"/>
                <w:szCs w:val="18"/>
              </w:rPr>
              <w:t>2</w:t>
            </w:r>
          </w:p>
        </w:tc>
        <w:tc>
          <w:tcPr>
            <w:tcW w:w="1506" w:type="pct"/>
            <w:shd w:val="clear" w:color="auto" w:fill="auto"/>
          </w:tcPr>
          <w:p w14:paraId="5277CE64" w14:textId="7161E265" w:rsidR="000D52F1" w:rsidRPr="00316837" w:rsidRDefault="000D52F1" w:rsidP="00E16180">
            <w:pPr>
              <w:spacing w:before="120" w:after="120"/>
              <w:jc w:val="left"/>
              <w:rPr>
                <w:sz w:val="18"/>
                <w:szCs w:val="18"/>
              </w:rPr>
            </w:pPr>
            <w:r w:rsidRPr="00316837">
              <w:rPr>
                <w:sz w:val="18"/>
                <w:szCs w:val="18"/>
              </w:rPr>
              <w:t>Small power distributor (SPD)</w:t>
            </w:r>
            <w:r w:rsidR="001D4932" w:rsidRPr="00316837">
              <w:rPr>
                <w:sz w:val="18"/>
                <w:szCs w:val="18"/>
              </w:rPr>
              <w:t xml:space="preserve"> </w:t>
            </w:r>
          </w:p>
        </w:tc>
        <w:tc>
          <w:tcPr>
            <w:tcW w:w="3236" w:type="pct"/>
            <w:shd w:val="clear" w:color="auto" w:fill="auto"/>
          </w:tcPr>
          <w:p w14:paraId="5935BC93" w14:textId="09F405D6" w:rsidR="000D52F1" w:rsidRPr="00316837" w:rsidRDefault="000D52F1" w:rsidP="00E16180">
            <w:pPr>
              <w:spacing w:before="120" w:after="120"/>
              <w:jc w:val="left"/>
              <w:rPr>
                <w:sz w:val="18"/>
                <w:szCs w:val="18"/>
              </w:rPr>
            </w:pPr>
            <w:r w:rsidRPr="00316837">
              <w:rPr>
                <w:sz w:val="18"/>
                <w:szCs w:val="18"/>
              </w:rPr>
              <w:t>The mini-grid converts to an SPD that buys its full supply at wholesale from the main grid, and sells its purchased electricity to villagers at retail (with or without backup generation).</w:t>
            </w:r>
            <w:r w:rsidR="001D4932" w:rsidRPr="00316837">
              <w:rPr>
                <w:sz w:val="18"/>
                <w:szCs w:val="18"/>
              </w:rPr>
              <w:t xml:space="preserve"> </w:t>
            </w:r>
          </w:p>
        </w:tc>
      </w:tr>
      <w:tr w:rsidR="000D52F1" w:rsidRPr="00316837" w14:paraId="0CD1F504" w14:textId="77777777" w:rsidTr="000D52F1">
        <w:trPr>
          <w:trHeight w:val="469"/>
        </w:trPr>
        <w:tc>
          <w:tcPr>
            <w:tcW w:w="258" w:type="pct"/>
          </w:tcPr>
          <w:p w14:paraId="32056D78" w14:textId="6DB156EB" w:rsidR="000D52F1" w:rsidRPr="00316837" w:rsidRDefault="000D52F1" w:rsidP="00E16180">
            <w:pPr>
              <w:spacing w:before="120" w:after="120"/>
              <w:jc w:val="left"/>
              <w:rPr>
                <w:sz w:val="18"/>
                <w:szCs w:val="18"/>
              </w:rPr>
            </w:pPr>
            <w:r w:rsidRPr="00316837">
              <w:rPr>
                <w:sz w:val="18"/>
                <w:szCs w:val="18"/>
              </w:rPr>
              <w:t>3</w:t>
            </w:r>
          </w:p>
        </w:tc>
        <w:tc>
          <w:tcPr>
            <w:tcW w:w="1506" w:type="pct"/>
            <w:shd w:val="clear" w:color="auto" w:fill="auto"/>
          </w:tcPr>
          <w:p w14:paraId="1545728F" w14:textId="53374236" w:rsidR="000D52F1" w:rsidRPr="00316837" w:rsidRDefault="000D52F1" w:rsidP="00E16180">
            <w:pPr>
              <w:spacing w:before="120" w:after="120"/>
              <w:jc w:val="left"/>
              <w:rPr>
                <w:sz w:val="18"/>
                <w:szCs w:val="18"/>
              </w:rPr>
            </w:pPr>
            <w:r w:rsidRPr="00316837">
              <w:rPr>
                <w:sz w:val="18"/>
                <w:szCs w:val="18"/>
              </w:rPr>
              <w:t>SPP + SPD</w:t>
            </w:r>
            <w:r w:rsidR="001D4932" w:rsidRPr="00316837">
              <w:rPr>
                <w:sz w:val="18"/>
                <w:szCs w:val="18"/>
              </w:rPr>
              <w:t xml:space="preserve"> </w:t>
            </w:r>
          </w:p>
        </w:tc>
        <w:tc>
          <w:tcPr>
            <w:tcW w:w="3236" w:type="pct"/>
            <w:shd w:val="clear" w:color="auto" w:fill="auto"/>
          </w:tcPr>
          <w:p w14:paraId="244882E3" w14:textId="71908BA6" w:rsidR="000D52F1" w:rsidRPr="00316837" w:rsidRDefault="000D52F1" w:rsidP="00E16180">
            <w:pPr>
              <w:spacing w:before="120" w:after="120"/>
              <w:jc w:val="left"/>
              <w:rPr>
                <w:sz w:val="18"/>
                <w:szCs w:val="18"/>
              </w:rPr>
            </w:pPr>
            <w:r w:rsidRPr="00316837">
              <w:rPr>
                <w:sz w:val="18"/>
                <w:szCs w:val="18"/>
              </w:rPr>
              <w:t>The mini-grid continues to sell electricity to its retail customers with its own generated electricity or wholesale purchases from the main grid operator, and also sells electricity to the main grid operator when a surplus is available.</w:t>
            </w:r>
            <w:r w:rsidR="001D4932" w:rsidRPr="00316837">
              <w:rPr>
                <w:sz w:val="18"/>
                <w:szCs w:val="18"/>
              </w:rPr>
              <w:t xml:space="preserve"> </w:t>
            </w:r>
          </w:p>
        </w:tc>
      </w:tr>
      <w:tr w:rsidR="000D52F1" w:rsidRPr="00316837" w14:paraId="510FA81C" w14:textId="77777777" w:rsidTr="000D52F1">
        <w:trPr>
          <w:trHeight w:val="469"/>
        </w:trPr>
        <w:tc>
          <w:tcPr>
            <w:tcW w:w="258" w:type="pct"/>
          </w:tcPr>
          <w:p w14:paraId="655C22D0" w14:textId="60B12265" w:rsidR="000D52F1" w:rsidRPr="00316837" w:rsidRDefault="000D52F1" w:rsidP="00E16180">
            <w:pPr>
              <w:spacing w:before="120" w:after="120"/>
              <w:jc w:val="left"/>
              <w:rPr>
                <w:sz w:val="18"/>
                <w:szCs w:val="18"/>
              </w:rPr>
            </w:pPr>
            <w:r w:rsidRPr="00316837">
              <w:rPr>
                <w:sz w:val="18"/>
                <w:szCs w:val="18"/>
              </w:rPr>
              <w:t>4</w:t>
            </w:r>
          </w:p>
        </w:tc>
        <w:tc>
          <w:tcPr>
            <w:tcW w:w="1506" w:type="pct"/>
            <w:shd w:val="clear" w:color="auto" w:fill="auto"/>
          </w:tcPr>
          <w:p w14:paraId="1AB0612A" w14:textId="227E9DFA" w:rsidR="000D52F1" w:rsidRPr="00316837" w:rsidRDefault="000D52F1" w:rsidP="00E16180">
            <w:pPr>
              <w:spacing w:before="120" w:after="120"/>
              <w:jc w:val="left"/>
              <w:rPr>
                <w:sz w:val="18"/>
                <w:szCs w:val="18"/>
              </w:rPr>
            </w:pPr>
            <w:r w:rsidRPr="00316837">
              <w:rPr>
                <w:sz w:val="18"/>
                <w:szCs w:val="18"/>
              </w:rPr>
              <w:t>Side-by-side but not interconnected</w:t>
            </w:r>
            <w:r w:rsidR="001D4932" w:rsidRPr="00316837">
              <w:rPr>
                <w:sz w:val="18"/>
                <w:szCs w:val="18"/>
              </w:rPr>
              <w:t xml:space="preserve"> </w:t>
            </w:r>
          </w:p>
        </w:tc>
        <w:tc>
          <w:tcPr>
            <w:tcW w:w="3236" w:type="pct"/>
            <w:shd w:val="clear" w:color="auto" w:fill="auto"/>
          </w:tcPr>
          <w:p w14:paraId="7B8C5116" w14:textId="514A6640" w:rsidR="000D52F1" w:rsidRPr="00316837" w:rsidRDefault="000D52F1" w:rsidP="00E16180">
            <w:pPr>
              <w:spacing w:before="120" w:after="120"/>
              <w:jc w:val="left"/>
              <w:rPr>
                <w:sz w:val="18"/>
                <w:szCs w:val="18"/>
              </w:rPr>
            </w:pPr>
            <w:r w:rsidRPr="00316837">
              <w:rPr>
                <w:sz w:val="18"/>
                <w:szCs w:val="18"/>
              </w:rPr>
              <w:t>The mini-grid continues to serve customers even when the main grid arrives, with no electrical interconnection between it and the main grid, even though both operate in the same village.</w:t>
            </w:r>
            <w:r w:rsidR="001D4932" w:rsidRPr="00316837">
              <w:rPr>
                <w:sz w:val="18"/>
                <w:szCs w:val="18"/>
              </w:rPr>
              <w:t xml:space="preserve"> </w:t>
            </w:r>
          </w:p>
        </w:tc>
      </w:tr>
      <w:tr w:rsidR="000D52F1" w:rsidRPr="00316837" w14:paraId="097C95A5" w14:textId="77777777" w:rsidTr="000D52F1">
        <w:trPr>
          <w:trHeight w:val="469"/>
        </w:trPr>
        <w:tc>
          <w:tcPr>
            <w:tcW w:w="258" w:type="pct"/>
          </w:tcPr>
          <w:p w14:paraId="4CC67C73" w14:textId="0B8592D7" w:rsidR="000D52F1" w:rsidRPr="00316837" w:rsidRDefault="000D52F1" w:rsidP="00E16180">
            <w:pPr>
              <w:spacing w:before="120" w:after="120"/>
              <w:jc w:val="left"/>
              <w:rPr>
                <w:sz w:val="18"/>
                <w:szCs w:val="18"/>
              </w:rPr>
            </w:pPr>
            <w:r w:rsidRPr="00316837">
              <w:rPr>
                <w:sz w:val="18"/>
                <w:szCs w:val="18"/>
              </w:rPr>
              <w:t>5</w:t>
            </w:r>
          </w:p>
        </w:tc>
        <w:tc>
          <w:tcPr>
            <w:tcW w:w="1506" w:type="pct"/>
            <w:shd w:val="clear" w:color="auto" w:fill="auto"/>
          </w:tcPr>
          <w:p w14:paraId="75A1157A" w14:textId="6E7F4547" w:rsidR="000D52F1" w:rsidRPr="00316837" w:rsidRDefault="000D52F1" w:rsidP="00E16180">
            <w:pPr>
              <w:spacing w:before="120" w:after="120"/>
              <w:jc w:val="left"/>
              <w:rPr>
                <w:sz w:val="18"/>
                <w:szCs w:val="18"/>
              </w:rPr>
            </w:pPr>
            <w:r w:rsidRPr="00316837">
              <w:rPr>
                <w:sz w:val="18"/>
                <w:szCs w:val="18"/>
              </w:rPr>
              <w:t>Compensation and exit</w:t>
            </w:r>
            <w:r w:rsidR="001D4932" w:rsidRPr="00316837">
              <w:rPr>
                <w:sz w:val="18"/>
                <w:szCs w:val="18"/>
              </w:rPr>
              <w:t xml:space="preserve"> </w:t>
            </w:r>
          </w:p>
        </w:tc>
        <w:tc>
          <w:tcPr>
            <w:tcW w:w="3236" w:type="pct"/>
            <w:shd w:val="clear" w:color="auto" w:fill="auto"/>
          </w:tcPr>
          <w:p w14:paraId="3FC1D105" w14:textId="2E418456" w:rsidR="000D52F1" w:rsidRPr="00316837" w:rsidRDefault="000D52F1" w:rsidP="00E16180">
            <w:pPr>
              <w:spacing w:before="120" w:after="120"/>
              <w:jc w:val="left"/>
              <w:rPr>
                <w:sz w:val="18"/>
                <w:szCs w:val="18"/>
              </w:rPr>
            </w:pPr>
            <w:r w:rsidRPr="00316837">
              <w:rPr>
                <w:sz w:val="18"/>
                <w:szCs w:val="18"/>
              </w:rPr>
              <w:t>The mini-grid goes out of business, and the developer receives some compensation for assets taken over by the main grid operator (typically a State-owned national electricity utility).</w:t>
            </w:r>
            <w:r w:rsidR="001D4932" w:rsidRPr="00316837">
              <w:rPr>
                <w:sz w:val="18"/>
                <w:szCs w:val="18"/>
              </w:rPr>
              <w:t xml:space="preserve"> </w:t>
            </w:r>
          </w:p>
        </w:tc>
      </w:tr>
      <w:tr w:rsidR="000D52F1" w:rsidRPr="00316837" w14:paraId="02F41F8D" w14:textId="77777777" w:rsidTr="000D52F1">
        <w:trPr>
          <w:trHeight w:val="469"/>
        </w:trPr>
        <w:tc>
          <w:tcPr>
            <w:tcW w:w="258" w:type="pct"/>
          </w:tcPr>
          <w:p w14:paraId="46EAB82B" w14:textId="6A6B22A3" w:rsidR="000D52F1" w:rsidRPr="00316837" w:rsidRDefault="000D52F1" w:rsidP="00E16180">
            <w:pPr>
              <w:spacing w:before="120" w:after="120"/>
              <w:jc w:val="left"/>
              <w:rPr>
                <w:sz w:val="18"/>
                <w:szCs w:val="18"/>
              </w:rPr>
            </w:pPr>
            <w:r w:rsidRPr="00316837">
              <w:rPr>
                <w:sz w:val="18"/>
                <w:szCs w:val="18"/>
              </w:rPr>
              <w:t>6</w:t>
            </w:r>
          </w:p>
        </w:tc>
        <w:tc>
          <w:tcPr>
            <w:tcW w:w="1506" w:type="pct"/>
            <w:shd w:val="clear" w:color="auto" w:fill="auto"/>
          </w:tcPr>
          <w:p w14:paraId="35A83751" w14:textId="23919D3F" w:rsidR="000D52F1" w:rsidRPr="00316837" w:rsidRDefault="000D52F1" w:rsidP="00E16180">
            <w:pPr>
              <w:spacing w:before="120" w:after="120"/>
              <w:jc w:val="left"/>
              <w:rPr>
                <w:sz w:val="18"/>
                <w:szCs w:val="18"/>
              </w:rPr>
            </w:pPr>
            <w:r w:rsidRPr="00316837">
              <w:rPr>
                <w:sz w:val="18"/>
                <w:szCs w:val="18"/>
              </w:rPr>
              <w:t>Abandonment</w:t>
            </w:r>
            <w:r w:rsidR="001D4932" w:rsidRPr="00316837">
              <w:rPr>
                <w:sz w:val="18"/>
                <w:szCs w:val="18"/>
              </w:rPr>
              <w:t xml:space="preserve"> </w:t>
            </w:r>
          </w:p>
        </w:tc>
        <w:tc>
          <w:tcPr>
            <w:tcW w:w="3236" w:type="pct"/>
            <w:shd w:val="clear" w:color="auto" w:fill="auto"/>
          </w:tcPr>
          <w:p w14:paraId="115EF545" w14:textId="1051C317" w:rsidR="000D52F1" w:rsidRPr="00316837" w:rsidRDefault="000D52F1" w:rsidP="00E16180">
            <w:pPr>
              <w:spacing w:before="120" w:after="120"/>
              <w:jc w:val="left"/>
              <w:rPr>
                <w:sz w:val="18"/>
                <w:szCs w:val="18"/>
              </w:rPr>
            </w:pPr>
            <w:r w:rsidRPr="00316837">
              <w:rPr>
                <w:sz w:val="18"/>
                <w:szCs w:val="18"/>
              </w:rPr>
              <w:t xml:space="preserve">This is the worst case scenario that needs to be avoided by all means. </w:t>
            </w:r>
          </w:p>
        </w:tc>
      </w:tr>
    </w:tbl>
    <w:p w14:paraId="19EF6F47" w14:textId="41B3C50A" w:rsidR="000D52F1" w:rsidRPr="00316837" w:rsidRDefault="000D52F1" w:rsidP="000D52F1">
      <w:r w:rsidRPr="00316837">
        <w:t xml:space="preserve">As will be detailed in Section </w:t>
      </w:r>
      <w:r w:rsidRPr="00681DAA">
        <w:fldChar w:fldCharType="begin"/>
      </w:r>
      <w:r w:rsidRPr="00316837">
        <w:instrText xml:space="preserve"> REF _Ref75331738 \r \h </w:instrText>
      </w:r>
      <w:r w:rsidRPr="00681DAA">
        <w:fldChar w:fldCharType="separate"/>
      </w:r>
      <w:r w:rsidRPr="00681DAA">
        <w:t>4.2</w:t>
      </w:r>
      <w:r w:rsidRPr="00681DAA">
        <w:fldChar w:fldCharType="end"/>
      </w:r>
      <w:r w:rsidRPr="00C632F6">
        <w:t xml:space="preserve">, A number of African counties have already explored innovative approaches on what happens when the main grid encompasses an autonomous mini-grid (see </w:t>
      </w:r>
      <w:r w:rsidRPr="00681DAA">
        <w:fldChar w:fldCharType="begin"/>
      </w:r>
      <w:r w:rsidRPr="00316837">
        <w:instrText xml:space="preserve"> REF _Ref75970113 \r \h </w:instrText>
      </w:r>
      <w:r w:rsidRPr="00681DAA">
        <w:fldChar w:fldCharType="separate"/>
      </w:r>
      <w:r w:rsidRPr="00681DAA">
        <w:t>4.2</w:t>
      </w:r>
      <w:r w:rsidRPr="00681DAA">
        <w:fldChar w:fldCharType="end"/>
      </w:r>
      <w:r w:rsidRPr="00C632F6">
        <w:t xml:space="preserve"> </w:t>
      </w:r>
      <w:r w:rsidRPr="00681DAA">
        <w:fldChar w:fldCharType="begin"/>
      </w:r>
      <w:r w:rsidRPr="00316837">
        <w:instrText xml:space="preserve"> REF _Ref75970124 \h </w:instrText>
      </w:r>
      <w:r w:rsidRPr="00681DAA">
        <w:fldChar w:fldCharType="separate"/>
      </w:r>
      <w:r w:rsidRPr="00681DAA">
        <w:t>Experiences from African Countries</w:t>
      </w:r>
      <w:r w:rsidRPr="00681DAA">
        <w:fldChar w:fldCharType="end"/>
      </w:r>
      <w:r w:rsidRPr="00C632F6">
        <w:t>). A number of these has also taken the step forward to implement specific measures in their respective regulatory frameworks. It has to be highlighted that the adoption of any approach needs t</w:t>
      </w:r>
      <w:r w:rsidRPr="00316837">
        <w:t xml:space="preserve">o be coupled with clear and specific methodologies on determining costs and prices. For </w:t>
      </w:r>
      <w:r w:rsidR="00184DCE" w:rsidRPr="00316837">
        <w:t>example</w:t>
      </w:r>
      <w:r w:rsidRPr="00316837">
        <w:t>, compensation and exit is a valid option, but it needs to be coupled with a specific methodology on who determines the compensation amount based on which rules.</w:t>
      </w:r>
    </w:p>
    <w:p w14:paraId="118CBB0E" w14:textId="5F21CAF6" w:rsidR="000D52F1" w:rsidRPr="00681DAA" w:rsidRDefault="000D52F1" w:rsidP="000D52F1">
      <w:r w:rsidRPr="00316837">
        <w:t>Furthermore, not yet extensively explored is the tariff setting approach followed after the mini-grid is connected to the main grid and can subsequently operate in interconnected mode or islanded mode at will. In general, the tariff-setting approaches can take one of the general forms (</w:t>
      </w:r>
      <w:r w:rsidRPr="00316837">
        <w:rPr>
          <w:szCs w:val="20"/>
        </w:rPr>
        <w:t xml:space="preserve">see </w:t>
      </w:r>
      <w:r w:rsidRPr="00681DAA">
        <w:rPr>
          <w:szCs w:val="20"/>
        </w:rPr>
        <w:fldChar w:fldCharType="begin"/>
      </w:r>
      <w:r w:rsidRPr="00316837">
        <w:rPr>
          <w:szCs w:val="20"/>
        </w:rPr>
        <w:instrText xml:space="preserve"> REF _Ref75970432 \h  \* MERGEFORMAT </w:instrText>
      </w:r>
      <w:r w:rsidRPr="00681DAA">
        <w:rPr>
          <w:szCs w:val="20"/>
        </w:rPr>
      </w:r>
      <w:r w:rsidRPr="00681DAA">
        <w:rPr>
          <w:szCs w:val="20"/>
        </w:rPr>
        <w:fldChar w:fldCharType="separate"/>
      </w:r>
      <w:r w:rsidRPr="00681DAA">
        <w:rPr>
          <w:szCs w:val="20"/>
        </w:rPr>
        <w:t>Table 4</w:t>
      </w:r>
      <w:r w:rsidRPr="00681DAA">
        <w:rPr>
          <w:szCs w:val="20"/>
        </w:rPr>
        <w:noBreakHyphen/>
        <w:t>4</w:t>
      </w:r>
      <w:r w:rsidRPr="00681DAA">
        <w:rPr>
          <w:szCs w:val="20"/>
        </w:rPr>
        <w:fldChar w:fldCharType="end"/>
      </w:r>
      <w:r w:rsidRPr="00C632F6">
        <w:t>)</w:t>
      </w:r>
      <w:r w:rsidRPr="00C632F6">
        <w:rPr>
          <w:vertAlign w:val="superscript"/>
        </w:rPr>
        <w:footnoteReference w:id="3"/>
      </w:r>
      <w:r w:rsidRPr="00C632F6">
        <w:t xml:space="preserve">. </w:t>
      </w:r>
    </w:p>
    <w:p w14:paraId="0107284A" w14:textId="2C32080A" w:rsidR="000D52F1" w:rsidRPr="00681DAA" w:rsidRDefault="000D52F1" w:rsidP="000D52F1">
      <w:pPr>
        <w:rPr>
          <w:sz w:val="18"/>
          <w:szCs w:val="18"/>
        </w:rPr>
      </w:pPr>
      <w:bookmarkStart w:id="163" w:name="_Ref75970432"/>
      <w:bookmarkStart w:id="164" w:name="_Toc77260254"/>
      <w:r w:rsidRPr="00681DAA">
        <w:rPr>
          <w:sz w:val="18"/>
          <w:szCs w:val="18"/>
        </w:rPr>
        <w:t xml:space="preserve">Table </w:t>
      </w:r>
      <w:r w:rsidRPr="00681DAA">
        <w:rPr>
          <w:sz w:val="18"/>
          <w:szCs w:val="18"/>
        </w:rPr>
        <w:fldChar w:fldCharType="begin"/>
      </w:r>
      <w:r w:rsidRPr="00316837">
        <w:rPr>
          <w:sz w:val="18"/>
          <w:szCs w:val="18"/>
        </w:rPr>
        <w:instrText xml:space="preserve"> STYLEREF 1 \s </w:instrText>
      </w:r>
      <w:r w:rsidRPr="00681DAA">
        <w:rPr>
          <w:sz w:val="18"/>
          <w:szCs w:val="18"/>
        </w:rPr>
        <w:fldChar w:fldCharType="separate"/>
      </w:r>
      <w:r w:rsidRPr="00681DAA">
        <w:rPr>
          <w:sz w:val="18"/>
          <w:szCs w:val="18"/>
        </w:rPr>
        <w:t>4</w:t>
      </w:r>
      <w:r w:rsidRPr="00681DAA">
        <w:rPr>
          <w:sz w:val="18"/>
          <w:szCs w:val="18"/>
        </w:rPr>
        <w:fldChar w:fldCharType="end"/>
      </w:r>
      <w:r w:rsidRPr="00C632F6">
        <w:rPr>
          <w:sz w:val="18"/>
          <w:szCs w:val="18"/>
        </w:rPr>
        <w:noBreakHyphen/>
      </w:r>
      <w:r w:rsidRPr="00681DAA">
        <w:rPr>
          <w:sz w:val="18"/>
          <w:szCs w:val="18"/>
        </w:rPr>
        <w:fldChar w:fldCharType="begin"/>
      </w:r>
      <w:r w:rsidRPr="00316837">
        <w:rPr>
          <w:sz w:val="18"/>
          <w:szCs w:val="18"/>
        </w:rPr>
        <w:instrText xml:space="preserve"> SEQ Table \* ARABIC \s 1 </w:instrText>
      </w:r>
      <w:r w:rsidRPr="00681DAA">
        <w:rPr>
          <w:sz w:val="18"/>
          <w:szCs w:val="18"/>
        </w:rPr>
        <w:fldChar w:fldCharType="separate"/>
      </w:r>
      <w:r w:rsidRPr="00681DAA">
        <w:rPr>
          <w:sz w:val="18"/>
          <w:szCs w:val="18"/>
        </w:rPr>
        <w:t>4</w:t>
      </w:r>
      <w:r w:rsidRPr="00681DAA">
        <w:rPr>
          <w:sz w:val="18"/>
          <w:szCs w:val="18"/>
        </w:rPr>
        <w:fldChar w:fldCharType="end"/>
      </w:r>
      <w:bookmarkEnd w:id="163"/>
      <w:r w:rsidRPr="00C632F6">
        <w:rPr>
          <w:sz w:val="18"/>
          <w:szCs w:val="18"/>
        </w:rPr>
        <w:t>: General forms of the tariff setting approac</w:t>
      </w:r>
      <w:r w:rsidRPr="00681DAA">
        <w:rPr>
          <w:sz w:val="18"/>
          <w:szCs w:val="18"/>
        </w:rPr>
        <w:t>hes</w:t>
      </w:r>
      <w:bookmarkEnd w:id="164"/>
      <w:r w:rsidRPr="00681DAA">
        <w:rPr>
          <w:sz w:val="18"/>
          <w:szCs w:val="18"/>
        </w:rPr>
        <w:t xml:space="preserve"> </w:t>
      </w:r>
    </w:p>
    <w:tbl>
      <w:tblPr>
        <w:tblStyle w:val="TableGrid"/>
        <w:tblW w:w="5000" w:type="pct"/>
        <w:tblLook w:val="04A0" w:firstRow="1" w:lastRow="0" w:firstColumn="1" w:lastColumn="0" w:noHBand="0" w:noVBand="1"/>
      </w:tblPr>
      <w:tblGrid>
        <w:gridCol w:w="506"/>
        <w:gridCol w:w="2895"/>
        <w:gridCol w:w="6228"/>
      </w:tblGrid>
      <w:tr w:rsidR="000D52F1" w:rsidRPr="0069087F" w14:paraId="152008A3" w14:textId="77777777" w:rsidTr="001D4932">
        <w:trPr>
          <w:trHeight w:val="280"/>
        </w:trPr>
        <w:tc>
          <w:tcPr>
            <w:tcW w:w="258" w:type="pct"/>
            <w:shd w:val="clear" w:color="auto" w:fill="F2F2F2" w:themeFill="background1" w:themeFillShade="F2"/>
          </w:tcPr>
          <w:p w14:paraId="0AA14E51" w14:textId="77777777" w:rsidR="000D52F1" w:rsidRPr="006273BD" w:rsidRDefault="000D52F1" w:rsidP="00E16180">
            <w:pPr>
              <w:spacing w:before="120" w:after="120"/>
              <w:jc w:val="left"/>
              <w:rPr>
                <w:b/>
                <w:bCs/>
                <w:sz w:val="18"/>
                <w:szCs w:val="18"/>
              </w:rPr>
            </w:pPr>
            <w:r w:rsidRPr="006273BD">
              <w:rPr>
                <w:b/>
                <w:bCs/>
                <w:sz w:val="18"/>
                <w:szCs w:val="18"/>
              </w:rPr>
              <w:t xml:space="preserve">No. </w:t>
            </w:r>
          </w:p>
        </w:tc>
        <w:tc>
          <w:tcPr>
            <w:tcW w:w="1506" w:type="pct"/>
            <w:shd w:val="clear" w:color="auto" w:fill="F2F2F2" w:themeFill="background1" w:themeFillShade="F2"/>
            <w:vAlign w:val="center"/>
          </w:tcPr>
          <w:p w14:paraId="69462C14" w14:textId="244A3575" w:rsidR="000D52F1" w:rsidRPr="006273BD" w:rsidRDefault="000D52F1" w:rsidP="00E16180">
            <w:pPr>
              <w:spacing w:before="120" w:after="120"/>
              <w:jc w:val="left"/>
              <w:rPr>
                <w:b/>
                <w:bCs/>
                <w:sz w:val="18"/>
                <w:szCs w:val="18"/>
              </w:rPr>
            </w:pPr>
            <w:r w:rsidRPr="006273BD">
              <w:rPr>
                <w:b/>
                <w:bCs/>
                <w:sz w:val="18"/>
                <w:szCs w:val="18"/>
              </w:rPr>
              <w:t>Forms</w:t>
            </w:r>
            <w:r w:rsidR="001D4932" w:rsidRPr="006273BD">
              <w:rPr>
                <w:b/>
                <w:bCs/>
                <w:sz w:val="18"/>
                <w:szCs w:val="18"/>
              </w:rPr>
              <w:t xml:space="preserve"> </w:t>
            </w:r>
          </w:p>
        </w:tc>
        <w:tc>
          <w:tcPr>
            <w:tcW w:w="3236" w:type="pct"/>
            <w:shd w:val="clear" w:color="auto" w:fill="F2F2F2" w:themeFill="background1" w:themeFillShade="F2"/>
            <w:vAlign w:val="center"/>
          </w:tcPr>
          <w:p w14:paraId="4415D884" w14:textId="7BF45A9F" w:rsidR="000D52F1" w:rsidRPr="006273BD" w:rsidRDefault="000D52F1" w:rsidP="00E16180">
            <w:pPr>
              <w:spacing w:before="120" w:after="120"/>
              <w:jc w:val="left"/>
              <w:rPr>
                <w:b/>
                <w:bCs/>
                <w:sz w:val="18"/>
                <w:szCs w:val="18"/>
              </w:rPr>
            </w:pPr>
            <w:r w:rsidRPr="006273BD">
              <w:rPr>
                <w:b/>
                <w:bCs/>
                <w:sz w:val="18"/>
                <w:szCs w:val="18"/>
              </w:rPr>
              <w:t xml:space="preserve">Form characteristics </w:t>
            </w:r>
          </w:p>
        </w:tc>
      </w:tr>
      <w:tr w:rsidR="000D52F1" w:rsidRPr="00316837" w14:paraId="02E962EF" w14:textId="77777777" w:rsidTr="00E16180">
        <w:trPr>
          <w:trHeight w:val="469"/>
        </w:trPr>
        <w:tc>
          <w:tcPr>
            <w:tcW w:w="258" w:type="pct"/>
          </w:tcPr>
          <w:p w14:paraId="08F8100A" w14:textId="77777777" w:rsidR="000D52F1" w:rsidRPr="00316837" w:rsidRDefault="000D52F1" w:rsidP="00E16180">
            <w:pPr>
              <w:spacing w:before="120" w:after="120"/>
              <w:jc w:val="left"/>
              <w:rPr>
                <w:sz w:val="18"/>
                <w:szCs w:val="18"/>
              </w:rPr>
            </w:pPr>
            <w:r w:rsidRPr="00316837">
              <w:rPr>
                <w:sz w:val="18"/>
                <w:szCs w:val="18"/>
              </w:rPr>
              <w:t>1</w:t>
            </w:r>
          </w:p>
        </w:tc>
        <w:tc>
          <w:tcPr>
            <w:tcW w:w="1506" w:type="pct"/>
            <w:shd w:val="clear" w:color="auto" w:fill="auto"/>
          </w:tcPr>
          <w:p w14:paraId="2F8BF34D" w14:textId="4DF18C7D" w:rsidR="000D52F1" w:rsidRPr="00316837" w:rsidRDefault="000D52F1" w:rsidP="00E16180">
            <w:pPr>
              <w:spacing w:before="120" w:after="120"/>
              <w:jc w:val="left"/>
              <w:rPr>
                <w:sz w:val="18"/>
                <w:szCs w:val="18"/>
              </w:rPr>
            </w:pPr>
            <w:r w:rsidRPr="00316837">
              <w:rPr>
                <w:sz w:val="18"/>
                <w:szCs w:val="18"/>
              </w:rPr>
              <w:t>Uniform national tariff</w:t>
            </w:r>
            <w:r w:rsidR="001D4932" w:rsidRPr="00316837">
              <w:rPr>
                <w:sz w:val="18"/>
                <w:szCs w:val="18"/>
              </w:rPr>
              <w:t xml:space="preserve"> </w:t>
            </w:r>
          </w:p>
        </w:tc>
        <w:tc>
          <w:tcPr>
            <w:tcW w:w="3236" w:type="pct"/>
            <w:shd w:val="clear" w:color="auto" w:fill="auto"/>
          </w:tcPr>
          <w:p w14:paraId="27019622" w14:textId="051245EF" w:rsidR="000D52F1" w:rsidRPr="00316837" w:rsidRDefault="000D52F1" w:rsidP="00E16180">
            <w:pPr>
              <w:spacing w:before="120" w:after="120"/>
              <w:jc w:val="left"/>
              <w:rPr>
                <w:sz w:val="18"/>
                <w:szCs w:val="18"/>
              </w:rPr>
            </w:pPr>
            <w:r w:rsidRPr="00316837">
              <w:rPr>
                <w:sz w:val="18"/>
                <w:szCs w:val="18"/>
              </w:rPr>
              <w:t xml:space="preserve">The national regulatory authority sets standard national tariff for all mini-grids that is equivalent to the main grid tariff. </w:t>
            </w:r>
          </w:p>
        </w:tc>
      </w:tr>
      <w:tr w:rsidR="000D52F1" w:rsidRPr="00316837" w14:paraId="73D2F455" w14:textId="77777777" w:rsidTr="00E16180">
        <w:trPr>
          <w:trHeight w:val="469"/>
        </w:trPr>
        <w:tc>
          <w:tcPr>
            <w:tcW w:w="258" w:type="pct"/>
          </w:tcPr>
          <w:p w14:paraId="2C3BA80B" w14:textId="7EF448F3" w:rsidR="000D52F1" w:rsidRPr="00316837" w:rsidRDefault="000D52F1" w:rsidP="00E16180">
            <w:pPr>
              <w:spacing w:before="120" w:after="120"/>
              <w:jc w:val="left"/>
              <w:rPr>
                <w:sz w:val="18"/>
                <w:szCs w:val="18"/>
              </w:rPr>
            </w:pPr>
            <w:r w:rsidRPr="00316837">
              <w:rPr>
                <w:sz w:val="18"/>
                <w:szCs w:val="18"/>
              </w:rPr>
              <w:t>2</w:t>
            </w:r>
          </w:p>
        </w:tc>
        <w:tc>
          <w:tcPr>
            <w:tcW w:w="1506" w:type="pct"/>
            <w:shd w:val="clear" w:color="auto" w:fill="auto"/>
          </w:tcPr>
          <w:p w14:paraId="07AA66A5" w14:textId="46A78016" w:rsidR="000D52F1" w:rsidRPr="00316837" w:rsidRDefault="000D52F1" w:rsidP="00E16180">
            <w:pPr>
              <w:spacing w:before="120" w:after="120"/>
              <w:jc w:val="left"/>
              <w:rPr>
                <w:sz w:val="18"/>
                <w:szCs w:val="18"/>
              </w:rPr>
            </w:pPr>
            <w:r w:rsidRPr="00316837">
              <w:rPr>
                <w:sz w:val="18"/>
                <w:szCs w:val="18"/>
              </w:rPr>
              <w:t>Efficient new entrant</w:t>
            </w:r>
            <w:r w:rsidR="001D4932" w:rsidRPr="00316837">
              <w:rPr>
                <w:sz w:val="18"/>
                <w:szCs w:val="18"/>
              </w:rPr>
              <w:t xml:space="preserve"> </w:t>
            </w:r>
          </w:p>
        </w:tc>
        <w:tc>
          <w:tcPr>
            <w:tcW w:w="3236" w:type="pct"/>
            <w:shd w:val="clear" w:color="auto" w:fill="auto"/>
          </w:tcPr>
          <w:p w14:paraId="2F3087B5" w14:textId="43B92EBA" w:rsidR="000D52F1" w:rsidRPr="00316837" w:rsidRDefault="000D52F1" w:rsidP="00E16180">
            <w:pPr>
              <w:spacing w:before="120" w:after="120"/>
              <w:jc w:val="left"/>
              <w:rPr>
                <w:sz w:val="18"/>
                <w:szCs w:val="18"/>
              </w:rPr>
            </w:pPr>
            <w:r w:rsidRPr="00316837">
              <w:rPr>
                <w:sz w:val="18"/>
                <w:szCs w:val="18"/>
              </w:rPr>
              <w:t>The national regulatory authority sets single benchmark tariff for all mini-grids, estimated as the cost of service for an efficient new market entrant.</w:t>
            </w:r>
          </w:p>
        </w:tc>
      </w:tr>
      <w:tr w:rsidR="000D52F1" w:rsidRPr="00316837" w14:paraId="307D4919" w14:textId="77777777" w:rsidTr="00E16180">
        <w:trPr>
          <w:trHeight w:val="469"/>
        </w:trPr>
        <w:tc>
          <w:tcPr>
            <w:tcW w:w="258" w:type="pct"/>
          </w:tcPr>
          <w:p w14:paraId="41DDC4EE" w14:textId="516A0412" w:rsidR="000D52F1" w:rsidRPr="00316837" w:rsidRDefault="000D52F1" w:rsidP="00E16180">
            <w:pPr>
              <w:spacing w:before="120" w:after="120"/>
              <w:jc w:val="left"/>
              <w:rPr>
                <w:sz w:val="18"/>
                <w:szCs w:val="18"/>
              </w:rPr>
            </w:pPr>
            <w:r w:rsidRPr="00316837">
              <w:rPr>
                <w:sz w:val="18"/>
                <w:szCs w:val="18"/>
              </w:rPr>
              <w:lastRenderedPageBreak/>
              <w:t>3</w:t>
            </w:r>
          </w:p>
        </w:tc>
        <w:tc>
          <w:tcPr>
            <w:tcW w:w="1506" w:type="pct"/>
            <w:shd w:val="clear" w:color="auto" w:fill="auto"/>
          </w:tcPr>
          <w:p w14:paraId="73D8A351" w14:textId="22E99C51" w:rsidR="000D52F1" w:rsidRPr="00316837" w:rsidRDefault="000D52F1" w:rsidP="00E16180">
            <w:pPr>
              <w:spacing w:before="120" w:after="120"/>
              <w:jc w:val="left"/>
              <w:rPr>
                <w:sz w:val="18"/>
                <w:szCs w:val="18"/>
              </w:rPr>
            </w:pPr>
            <w:r w:rsidRPr="00316837">
              <w:rPr>
                <w:sz w:val="18"/>
                <w:szCs w:val="18"/>
              </w:rPr>
              <w:t>Bid tariff</w:t>
            </w:r>
            <w:r w:rsidR="001D4932" w:rsidRPr="00316837">
              <w:rPr>
                <w:sz w:val="18"/>
                <w:szCs w:val="18"/>
              </w:rPr>
              <w:t xml:space="preserve"> </w:t>
            </w:r>
          </w:p>
        </w:tc>
        <w:tc>
          <w:tcPr>
            <w:tcW w:w="3236" w:type="pct"/>
            <w:shd w:val="clear" w:color="auto" w:fill="auto"/>
          </w:tcPr>
          <w:p w14:paraId="58FE57DB" w14:textId="5A64990E" w:rsidR="000D52F1" w:rsidRPr="00316837" w:rsidRDefault="000D52F1" w:rsidP="00E16180">
            <w:pPr>
              <w:spacing w:before="120" w:after="120"/>
              <w:jc w:val="left"/>
              <w:rPr>
                <w:sz w:val="18"/>
                <w:szCs w:val="18"/>
              </w:rPr>
            </w:pPr>
            <w:r w:rsidRPr="00316837">
              <w:rPr>
                <w:sz w:val="18"/>
                <w:szCs w:val="18"/>
              </w:rPr>
              <w:t xml:space="preserve">Tariff is set at the lowest price bid by mini-grid developers in a competitive process. </w:t>
            </w:r>
          </w:p>
        </w:tc>
      </w:tr>
      <w:tr w:rsidR="000D52F1" w:rsidRPr="00316837" w14:paraId="2D692F85" w14:textId="77777777" w:rsidTr="00E16180">
        <w:trPr>
          <w:trHeight w:val="469"/>
        </w:trPr>
        <w:tc>
          <w:tcPr>
            <w:tcW w:w="258" w:type="pct"/>
          </w:tcPr>
          <w:p w14:paraId="75F3B732" w14:textId="3750DA1B" w:rsidR="000D52F1" w:rsidRPr="00316837" w:rsidRDefault="000D52F1" w:rsidP="00E16180">
            <w:pPr>
              <w:spacing w:before="120" w:after="120"/>
              <w:jc w:val="left"/>
              <w:rPr>
                <w:sz w:val="18"/>
                <w:szCs w:val="18"/>
              </w:rPr>
            </w:pPr>
            <w:r w:rsidRPr="00316837">
              <w:rPr>
                <w:sz w:val="18"/>
                <w:szCs w:val="18"/>
              </w:rPr>
              <w:t>4</w:t>
            </w:r>
          </w:p>
        </w:tc>
        <w:tc>
          <w:tcPr>
            <w:tcW w:w="1506" w:type="pct"/>
            <w:shd w:val="clear" w:color="auto" w:fill="auto"/>
          </w:tcPr>
          <w:p w14:paraId="21C7E61D" w14:textId="771E9E79" w:rsidR="000D52F1" w:rsidRPr="00316837" w:rsidRDefault="000D52F1" w:rsidP="00E16180">
            <w:pPr>
              <w:spacing w:before="120" w:after="120"/>
              <w:jc w:val="left"/>
              <w:rPr>
                <w:sz w:val="18"/>
                <w:szCs w:val="18"/>
              </w:rPr>
            </w:pPr>
            <w:r w:rsidRPr="00316837">
              <w:rPr>
                <w:sz w:val="18"/>
                <w:szCs w:val="18"/>
              </w:rPr>
              <w:t>Individualised cost-based tariff</w:t>
            </w:r>
            <w:r w:rsidR="001D4932" w:rsidRPr="00316837">
              <w:rPr>
                <w:sz w:val="18"/>
                <w:szCs w:val="18"/>
              </w:rPr>
              <w:t xml:space="preserve"> </w:t>
            </w:r>
          </w:p>
        </w:tc>
        <w:tc>
          <w:tcPr>
            <w:tcW w:w="3236" w:type="pct"/>
            <w:shd w:val="clear" w:color="auto" w:fill="auto"/>
          </w:tcPr>
          <w:p w14:paraId="0CD39E36" w14:textId="6CB279FF" w:rsidR="000D52F1" w:rsidRPr="00316837" w:rsidRDefault="000D52F1" w:rsidP="00E16180">
            <w:pPr>
              <w:spacing w:before="120" w:after="120"/>
              <w:jc w:val="left"/>
              <w:rPr>
                <w:sz w:val="18"/>
                <w:szCs w:val="18"/>
              </w:rPr>
            </w:pPr>
            <w:r w:rsidRPr="00316837">
              <w:rPr>
                <w:sz w:val="18"/>
                <w:szCs w:val="18"/>
              </w:rPr>
              <w:t>The national regulatory authority develops tariff limits for each mini-grid individually based on the estimated cost recovery tariff for that mini-grid (standard tariff for all customers/households served by that mini-grid).</w:t>
            </w:r>
            <w:r w:rsidR="001D4932" w:rsidRPr="00316837">
              <w:rPr>
                <w:sz w:val="18"/>
                <w:szCs w:val="18"/>
              </w:rPr>
              <w:t xml:space="preserve"> </w:t>
            </w:r>
          </w:p>
        </w:tc>
      </w:tr>
      <w:tr w:rsidR="000D52F1" w:rsidRPr="00316837" w14:paraId="0ACE4F12" w14:textId="77777777" w:rsidTr="00E16180">
        <w:trPr>
          <w:trHeight w:val="469"/>
        </w:trPr>
        <w:tc>
          <w:tcPr>
            <w:tcW w:w="258" w:type="pct"/>
          </w:tcPr>
          <w:p w14:paraId="70C642CD" w14:textId="27BC1BFA" w:rsidR="000D52F1" w:rsidRPr="00316837" w:rsidRDefault="000D52F1" w:rsidP="00E16180">
            <w:pPr>
              <w:spacing w:before="120" w:after="120"/>
              <w:jc w:val="left"/>
              <w:rPr>
                <w:sz w:val="18"/>
                <w:szCs w:val="18"/>
              </w:rPr>
            </w:pPr>
            <w:r w:rsidRPr="00316837">
              <w:rPr>
                <w:sz w:val="18"/>
                <w:szCs w:val="18"/>
              </w:rPr>
              <w:t>5</w:t>
            </w:r>
          </w:p>
        </w:tc>
        <w:tc>
          <w:tcPr>
            <w:tcW w:w="1506" w:type="pct"/>
            <w:shd w:val="clear" w:color="auto" w:fill="auto"/>
          </w:tcPr>
          <w:p w14:paraId="00FD9D1A" w14:textId="76284C8B" w:rsidR="000D52F1" w:rsidRPr="00316837" w:rsidRDefault="000D52F1" w:rsidP="00E16180">
            <w:pPr>
              <w:spacing w:before="120" w:after="120"/>
              <w:jc w:val="left"/>
              <w:rPr>
                <w:sz w:val="18"/>
                <w:szCs w:val="18"/>
              </w:rPr>
            </w:pPr>
            <w:r w:rsidRPr="00316837">
              <w:rPr>
                <w:sz w:val="18"/>
                <w:szCs w:val="18"/>
              </w:rPr>
              <w:t>Willing buyer/willing seller</w:t>
            </w:r>
            <w:r w:rsidR="001D4932" w:rsidRPr="00316837">
              <w:rPr>
                <w:sz w:val="18"/>
                <w:szCs w:val="18"/>
              </w:rPr>
              <w:t xml:space="preserve"> </w:t>
            </w:r>
          </w:p>
        </w:tc>
        <w:tc>
          <w:tcPr>
            <w:tcW w:w="3236" w:type="pct"/>
            <w:shd w:val="clear" w:color="auto" w:fill="auto"/>
          </w:tcPr>
          <w:p w14:paraId="1C808DD8" w14:textId="15FF1729" w:rsidR="000D52F1" w:rsidRPr="00316837" w:rsidRDefault="000D52F1" w:rsidP="00E16180">
            <w:pPr>
              <w:spacing w:before="120" w:after="120"/>
              <w:jc w:val="left"/>
              <w:rPr>
                <w:sz w:val="18"/>
                <w:szCs w:val="18"/>
              </w:rPr>
            </w:pPr>
            <w:r w:rsidRPr="00316837">
              <w:rPr>
                <w:sz w:val="18"/>
                <w:szCs w:val="18"/>
              </w:rPr>
              <w:t>Tariff is set through an agreement with the mini-grid developer and customer (either individual customers or a community of customers).</w:t>
            </w:r>
            <w:r w:rsidR="001D4932" w:rsidRPr="00316837">
              <w:rPr>
                <w:sz w:val="18"/>
                <w:szCs w:val="18"/>
              </w:rPr>
              <w:t xml:space="preserve"> </w:t>
            </w:r>
          </w:p>
        </w:tc>
      </w:tr>
      <w:tr w:rsidR="000D52F1" w:rsidRPr="00316837" w14:paraId="54D42264" w14:textId="77777777" w:rsidTr="00E16180">
        <w:trPr>
          <w:trHeight w:val="469"/>
        </w:trPr>
        <w:tc>
          <w:tcPr>
            <w:tcW w:w="258" w:type="pct"/>
          </w:tcPr>
          <w:p w14:paraId="67F31462" w14:textId="6938297F" w:rsidR="000D52F1" w:rsidRPr="00316837" w:rsidRDefault="000D52F1" w:rsidP="00E16180">
            <w:pPr>
              <w:spacing w:before="120" w:after="120"/>
              <w:jc w:val="left"/>
              <w:rPr>
                <w:sz w:val="18"/>
                <w:szCs w:val="18"/>
              </w:rPr>
            </w:pPr>
            <w:r w:rsidRPr="00316837">
              <w:rPr>
                <w:sz w:val="18"/>
                <w:szCs w:val="18"/>
              </w:rPr>
              <w:t>6</w:t>
            </w:r>
          </w:p>
        </w:tc>
        <w:tc>
          <w:tcPr>
            <w:tcW w:w="1506" w:type="pct"/>
            <w:shd w:val="clear" w:color="auto" w:fill="auto"/>
          </w:tcPr>
          <w:p w14:paraId="7361F201" w14:textId="030D69BC" w:rsidR="000D52F1" w:rsidRPr="00316837" w:rsidRDefault="000D52F1" w:rsidP="00E16180">
            <w:pPr>
              <w:spacing w:before="120" w:after="120"/>
              <w:jc w:val="left"/>
              <w:rPr>
                <w:sz w:val="18"/>
                <w:szCs w:val="18"/>
              </w:rPr>
            </w:pPr>
            <w:r w:rsidRPr="00316837">
              <w:rPr>
                <w:sz w:val="18"/>
                <w:szCs w:val="18"/>
              </w:rPr>
              <w:t>Service-based regulatory structures</w:t>
            </w:r>
            <w:r w:rsidR="001D4932" w:rsidRPr="00316837">
              <w:rPr>
                <w:sz w:val="18"/>
                <w:szCs w:val="18"/>
              </w:rPr>
              <w:t xml:space="preserve"> </w:t>
            </w:r>
          </w:p>
        </w:tc>
        <w:tc>
          <w:tcPr>
            <w:tcW w:w="3236" w:type="pct"/>
            <w:shd w:val="clear" w:color="auto" w:fill="auto"/>
          </w:tcPr>
          <w:p w14:paraId="0F8DFA9D" w14:textId="349E00E1" w:rsidR="000D52F1" w:rsidRPr="00316837" w:rsidRDefault="000D52F1" w:rsidP="00E16180">
            <w:pPr>
              <w:spacing w:before="120" w:after="120"/>
              <w:jc w:val="left"/>
              <w:rPr>
                <w:sz w:val="18"/>
                <w:szCs w:val="18"/>
              </w:rPr>
            </w:pPr>
            <w:r w:rsidRPr="00316837">
              <w:rPr>
                <w:sz w:val="18"/>
                <w:szCs w:val="18"/>
              </w:rPr>
              <w:t>The mini-grid operator prepares service packages which most often include the provision of appliances usually set on a willing buyer/willing seller approach.</w:t>
            </w:r>
            <w:r w:rsidR="001D4932" w:rsidRPr="00316837">
              <w:rPr>
                <w:sz w:val="18"/>
                <w:szCs w:val="18"/>
              </w:rPr>
              <w:t xml:space="preserve"> </w:t>
            </w:r>
          </w:p>
        </w:tc>
      </w:tr>
    </w:tbl>
    <w:p w14:paraId="78C0AA5F" w14:textId="5C409843" w:rsidR="002F2046" w:rsidRPr="00316837" w:rsidRDefault="000D52F1" w:rsidP="000D52F1">
      <w:r w:rsidRPr="00316837">
        <w:t>In the cases that the interconnection approach ends up resembling a micro-DSO, the main approach recommendations regarding mini-grid tariffs remain valid after interconnection as well</w:t>
      </w:r>
      <w:r w:rsidR="002F2046" w:rsidRPr="00316837">
        <w:t>. However</w:t>
      </w:r>
      <w:r w:rsidRPr="00316837">
        <w:t>, the actual pricing needs to be adjusted to reflect</w:t>
      </w:r>
      <w:r w:rsidR="002F2046" w:rsidRPr="00316837">
        <w:t>:</w:t>
      </w:r>
      <w:r w:rsidRPr="00316837">
        <w:t xml:space="preserve"> </w:t>
      </w:r>
    </w:p>
    <w:p w14:paraId="37B5CA8B" w14:textId="77777777" w:rsidR="002F2046" w:rsidRPr="00316837" w:rsidRDefault="000D52F1" w:rsidP="006A5033">
      <w:pPr>
        <w:pStyle w:val="ListParagraph"/>
        <w:numPr>
          <w:ilvl w:val="0"/>
          <w:numId w:val="55"/>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interconnected reality which allows the purchase of electricity at wholesale grid cost, </w:t>
      </w:r>
    </w:p>
    <w:p w14:paraId="1FF365D2" w14:textId="281A6847" w:rsidR="002F2046" w:rsidRPr="00316837" w:rsidRDefault="000D52F1" w:rsidP="006A5033">
      <w:pPr>
        <w:pStyle w:val="ListParagraph"/>
        <w:numPr>
          <w:ilvl w:val="0"/>
          <w:numId w:val="55"/>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sale of electricity using feed-in tariffs or net-metering/net-billing schemes, </w:t>
      </w:r>
      <w:r w:rsidR="002F2046" w:rsidRPr="00316837">
        <w:rPr>
          <w:rFonts w:ascii="Arial" w:hAnsi="Arial" w:cs="Arial"/>
          <w:sz w:val="20"/>
          <w:szCs w:val="20"/>
          <w:lang w:val="en-GB"/>
        </w:rPr>
        <w:t xml:space="preserve">and </w:t>
      </w:r>
    </w:p>
    <w:p w14:paraId="620460EB" w14:textId="01D65401" w:rsidR="002F2046" w:rsidRPr="00316837" w:rsidRDefault="000D52F1" w:rsidP="006A5033">
      <w:pPr>
        <w:pStyle w:val="ListParagraph"/>
        <w:numPr>
          <w:ilvl w:val="0"/>
          <w:numId w:val="55"/>
        </w:numPr>
        <w:spacing w:before="160" w:after="0" w:line="288" w:lineRule="auto"/>
        <w:rPr>
          <w:rFonts w:ascii="Arial" w:hAnsi="Arial" w:cs="Arial"/>
          <w:sz w:val="20"/>
          <w:szCs w:val="20"/>
          <w:lang w:val="en-GB"/>
        </w:rPr>
      </w:pPr>
      <w:r w:rsidRPr="00316837">
        <w:rPr>
          <w:rFonts w:ascii="Arial" w:hAnsi="Arial" w:cs="Arial"/>
          <w:sz w:val="20"/>
          <w:szCs w:val="20"/>
          <w:lang w:val="en-GB"/>
        </w:rPr>
        <w:t>the possibility to allow mini-grid operators to offer at a price ancillary services to the grid</w:t>
      </w:r>
      <w:r w:rsidR="002F2046" w:rsidRPr="00316837">
        <w:rPr>
          <w:rFonts w:ascii="Arial" w:hAnsi="Arial" w:cs="Arial"/>
          <w:sz w:val="20"/>
          <w:szCs w:val="20"/>
          <w:lang w:val="en-GB"/>
        </w:rPr>
        <w:t>.</w:t>
      </w:r>
      <w:r w:rsidRPr="00316837">
        <w:rPr>
          <w:rFonts w:ascii="Arial" w:hAnsi="Arial" w:cs="Arial"/>
          <w:sz w:val="20"/>
          <w:szCs w:val="20"/>
          <w:lang w:val="en-GB"/>
        </w:rPr>
        <w:t xml:space="preserve"> </w:t>
      </w:r>
    </w:p>
    <w:p w14:paraId="103CBED9" w14:textId="2C947855" w:rsidR="000D52F1" w:rsidRPr="00316837" w:rsidRDefault="002F2046" w:rsidP="000D52F1">
      <w:r w:rsidRPr="00316837">
        <w:t xml:space="preserve">The actual pricing also needs </w:t>
      </w:r>
      <w:r w:rsidR="000D52F1" w:rsidRPr="00316837">
        <w:t>to ensure uninterrupted power supply to its users in the event of a main grid failure.</w:t>
      </w:r>
      <w:r w:rsidR="001D4932" w:rsidRPr="00316837">
        <w:t xml:space="preserve"> </w:t>
      </w:r>
    </w:p>
    <w:p w14:paraId="05723B8A" w14:textId="7B53DD69" w:rsidR="000D52F1" w:rsidRPr="00681DAA" w:rsidRDefault="000D52F1" w:rsidP="000D52F1">
      <w:pPr>
        <w:rPr>
          <w:szCs w:val="20"/>
        </w:rPr>
      </w:pPr>
      <w:r w:rsidRPr="00316837">
        <w:t xml:space="preserve">The </w:t>
      </w:r>
      <w:r w:rsidR="002F2046" w:rsidRPr="00316837">
        <w:t>general forms</w:t>
      </w:r>
      <w:r w:rsidRPr="00316837">
        <w:t xml:space="preserve"> </w:t>
      </w:r>
      <w:r w:rsidR="002F2046" w:rsidRPr="00316837">
        <w:t xml:space="preserve">No. </w:t>
      </w:r>
      <w:r w:rsidRPr="00316837">
        <w:t xml:space="preserve">4, 5 and 6 as presented above can be adapted for setting the tariff framework after a rural mini-grid interconnects with the main grid. </w:t>
      </w:r>
      <w:r w:rsidR="002F2046" w:rsidRPr="00316837">
        <w:t>Several</w:t>
      </w:r>
      <w:r w:rsidRPr="00316837">
        <w:t xml:space="preserve"> main components </w:t>
      </w:r>
      <w:r w:rsidR="002F2046" w:rsidRPr="00316837">
        <w:t xml:space="preserve">should be </w:t>
      </w:r>
      <w:r w:rsidRPr="00316837">
        <w:t>determine</w:t>
      </w:r>
      <w:r w:rsidR="002F2046" w:rsidRPr="00316837">
        <w:t>d</w:t>
      </w:r>
      <w:r w:rsidRPr="00316837">
        <w:t xml:space="preserve"> in order to </w:t>
      </w:r>
      <w:r w:rsidRPr="00316837">
        <w:rPr>
          <w:szCs w:val="20"/>
        </w:rPr>
        <w:t xml:space="preserve">implement such an approach </w:t>
      </w:r>
      <w:r w:rsidR="002F2046" w:rsidRPr="00316837">
        <w:rPr>
          <w:szCs w:val="20"/>
        </w:rPr>
        <w:t xml:space="preserve">(see </w:t>
      </w:r>
      <w:r w:rsidR="00F45B8A" w:rsidRPr="00681DAA">
        <w:rPr>
          <w:szCs w:val="20"/>
        </w:rPr>
        <w:fldChar w:fldCharType="begin"/>
      </w:r>
      <w:r w:rsidR="00F45B8A" w:rsidRPr="00316837">
        <w:rPr>
          <w:szCs w:val="20"/>
        </w:rPr>
        <w:instrText xml:space="preserve"> REF _Ref76401413 \h  \* MERGEFORMAT </w:instrText>
      </w:r>
      <w:r w:rsidR="00F45B8A" w:rsidRPr="00681DAA">
        <w:rPr>
          <w:szCs w:val="20"/>
        </w:rPr>
      </w:r>
      <w:r w:rsidR="00F45B8A" w:rsidRPr="00681DAA">
        <w:rPr>
          <w:szCs w:val="20"/>
        </w:rPr>
        <w:fldChar w:fldCharType="separate"/>
      </w:r>
      <w:r w:rsidR="00F45B8A" w:rsidRPr="00681DAA">
        <w:rPr>
          <w:szCs w:val="20"/>
        </w:rPr>
        <w:t>Table 4</w:t>
      </w:r>
      <w:r w:rsidR="00F45B8A" w:rsidRPr="00681DAA">
        <w:rPr>
          <w:szCs w:val="20"/>
        </w:rPr>
        <w:noBreakHyphen/>
        <w:t>5</w:t>
      </w:r>
      <w:r w:rsidR="00F45B8A" w:rsidRPr="00681DAA">
        <w:rPr>
          <w:szCs w:val="20"/>
        </w:rPr>
        <w:fldChar w:fldCharType="end"/>
      </w:r>
      <w:r w:rsidR="002F2046" w:rsidRPr="00C632F6">
        <w:rPr>
          <w:szCs w:val="20"/>
        </w:rPr>
        <w:t xml:space="preserve">). </w:t>
      </w:r>
    </w:p>
    <w:p w14:paraId="5DDBAD12" w14:textId="56D90F06" w:rsidR="002F2046" w:rsidRPr="00316837" w:rsidRDefault="002F2046" w:rsidP="002F2046">
      <w:pPr>
        <w:rPr>
          <w:sz w:val="18"/>
          <w:szCs w:val="18"/>
        </w:rPr>
      </w:pPr>
      <w:bookmarkStart w:id="165" w:name="_Ref76401413"/>
      <w:bookmarkStart w:id="166" w:name="_Toc77260255"/>
      <w:r w:rsidRPr="00681DAA">
        <w:rPr>
          <w:sz w:val="18"/>
          <w:szCs w:val="18"/>
        </w:rPr>
        <w:t xml:space="preserve">Table </w:t>
      </w:r>
      <w:r w:rsidRPr="00681DAA">
        <w:rPr>
          <w:sz w:val="18"/>
          <w:szCs w:val="18"/>
        </w:rPr>
        <w:fldChar w:fldCharType="begin"/>
      </w:r>
      <w:r w:rsidRPr="00316837">
        <w:rPr>
          <w:sz w:val="18"/>
          <w:szCs w:val="18"/>
        </w:rPr>
        <w:instrText xml:space="preserve"> STYLEREF 1 \s </w:instrText>
      </w:r>
      <w:r w:rsidRPr="00681DAA">
        <w:rPr>
          <w:sz w:val="18"/>
          <w:szCs w:val="18"/>
        </w:rPr>
        <w:fldChar w:fldCharType="separate"/>
      </w:r>
      <w:r w:rsidRPr="00681DAA">
        <w:rPr>
          <w:sz w:val="18"/>
          <w:szCs w:val="18"/>
        </w:rPr>
        <w:t>4</w:t>
      </w:r>
      <w:r w:rsidRPr="00681DAA">
        <w:rPr>
          <w:sz w:val="18"/>
          <w:szCs w:val="18"/>
        </w:rPr>
        <w:fldChar w:fldCharType="end"/>
      </w:r>
      <w:r w:rsidRPr="00C632F6">
        <w:rPr>
          <w:sz w:val="18"/>
          <w:szCs w:val="18"/>
        </w:rPr>
        <w:noBreakHyphen/>
      </w:r>
      <w:r w:rsidRPr="00681DAA">
        <w:rPr>
          <w:sz w:val="18"/>
          <w:szCs w:val="18"/>
        </w:rPr>
        <w:fldChar w:fldCharType="begin"/>
      </w:r>
      <w:r w:rsidRPr="00316837">
        <w:rPr>
          <w:sz w:val="18"/>
          <w:szCs w:val="18"/>
        </w:rPr>
        <w:instrText xml:space="preserve"> SEQ Table \* ARABIC \s 1 </w:instrText>
      </w:r>
      <w:r w:rsidRPr="00681DAA">
        <w:rPr>
          <w:sz w:val="18"/>
          <w:szCs w:val="18"/>
        </w:rPr>
        <w:fldChar w:fldCharType="separate"/>
      </w:r>
      <w:r w:rsidRPr="00681DAA">
        <w:rPr>
          <w:sz w:val="18"/>
          <w:szCs w:val="18"/>
        </w:rPr>
        <w:t>5</w:t>
      </w:r>
      <w:r w:rsidRPr="00681DAA">
        <w:rPr>
          <w:sz w:val="18"/>
          <w:szCs w:val="18"/>
        </w:rPr>
        <w:fldChar w:fldCharType="end"/>
      </w:r>
      <w:bookmarkEnd w:id="165"/>
      <w:r w:rsidRPr="00C632F6">
        <w:rPr>
          <w:sz w:val="18"/>
          <w:szCs w:val="18"/>
        </w:rPr>
        <w:t xml:space="preserve">: Main components to be determined when </w:t>
      </w:r>
      <w:r w:rsidRPr="00681DAA">
        <w:rPr>
          <w:sz w:val="18"/>
          <w:szCs w:val="18"/>
        </w:rPr>
        <w:t>adapting the tariff framework</w:t>
      </w:r>
      <w:r w:rsidRPr="00681DAA">
        <w:t xml:space="preserve"> </w:t>
      </w:r>
      <w:r w:rsidRPr="00681DAA">
        <w:rPr>
          <w:sz w:val="18"/>
          <w:szCs w:val="18"/>
        </w:rPr>
        <w:t>after a rural mini-grid interconnects with the main grid</w:t>
      </w:r>
      <w:bookmarkEnd w:id="166"/>
      <w:r w:rsidR="001D4932" w:rsidRPr="00316837">
        <w:rPr>
          <w:sz w:val="18"/>
          <w:szCs w:val="18"/>
        </w:rPr>
        <w:t xml:space="preserve"> </w:t>
      </w:r>
    </w:p>
    <w:tbl>
      <w:tblPr>
        <w:tblStyle w:val="TableGrid"/>
        <w:tblW w:w="5000" w:type="pct"/>
        <w:tblLook w:val="04A0" w:firstRow="1" w:lastRow="0" w:firstColumn="1" w:lastColumn="0" w:noHBand="0" w:noVBand="1"/>
      </w:tblPr>
      <w:tblGrid>
        <w:gridCol w:w="506"/>
        <w:gridCol w:w="1692"/>
        <w:gridCol w:w="2196"/>
        <w:gridCol w:w="5235"/>
      </w:tblGrid>
      <w:tr w:rsidR="002F2046" w:rsidRPr="00316837" w14:paraId="7FD294A0" w14:textId="77777777" w:rsidTr="001D4932">
        <w:trPr>
          <w:trHeight w:val="280"/>
        </w:trPr>
        <w:tc>
          <w:tcPr>
            <w:tcW w:w="258" w:type="pct"/>
            <w:shd w:val="clear" w:color="auto" w:fill="F2F2F2" w:themeFill="background1" w:themeFillShade="F2"/>
          </w:tcPr>
          <w:p w14:paraId="0C4E907B" w14:textId="77777777" w:rsidR="002F2046" w:rsidRPr="006273BD" w:rsidRDefault="002F2046" w:rsidP="00E16180">
            <w:pPr>
              <w:spacing w:before="120" w:after="120"/>
              <w:jc w:val="left"/>
              <w:rPr>
                <w:b/>
                <w:bCs/>
                <w:sz w:val="18"/>
                <w:szCs w:val="18"/>
              </w:rPr>
            </w:pPr>
            <w:r w:rsidRPr="006273BD">
              <w:rPr>
                <w:b/>
                <w:bCs/>
                <w:sz w:val="18"/>
                <w:szCs w:val="18"/>
              </w:rPr>
              <w:t xml:space="preserve">No. </w:t>
            </w:r>
          </w:p>
        </w:tc>
        <w:tc>
          <w:tcPr>
            <w:tcW w:w="880" w:type="pct"/>
            <w:shd w:val="clear" w:color="auto" w:fill="F2F2F2" w:themeFill="background1" w:themeFillShade="F2"/>
            <w:vAlign w:val="center"/>
          </w:tcPr>
          <w:p w14:paraId="3D097741" w14:textId="60223138" w:rsidR="002F2046" w:rsidRPr="006273BD" w:rsidRDefault="002F2046" w:rsidP="00E16180">
            <w:pPr>
              <w:spacing w:before="120" w:after="120"/>
              <w:jc w:val="left"/>
              <w:rPr>
                <w:b/>
                <w:bCs/>
                <w:sz w:val="18"/>
                <w:szCs w:val="18"/>
              </w:rPr>
            </w:pPr>
            <w:r w:rsidRPr="006273BD">
              <w:rPr>
                <w:b/>
                <w:bCs/>
                <w:sz w:val="18"/>
                <w:szCs w:val="18"/>
              </w:rPr>
              <w:t>Component</w:t>
            </w:r>
            <w:r w:rsidR="001D4932" w:rsidRPr="006273BD">
              <w:rPr>
                <w:b/>
                <w:bCs/>
                <w:sz w:val="18"/>
                <w:szCs w:val="18"/>
              </w:rPr>
              <w:t xml:space="preserve"> </w:t>
            </w:r>
          </w:p>
        </w:tc>
        <w:tc>
          <w:tcPr>
            <w:tcW w:w="1142" w:type="pct"/>
            <w:shd w:val="clear" w:color="auto" w:fill="F2F2F2" w:themeFill="background1" w:themeFillShade="F2"/>
          </w:tcPr>
          <w:p w14:paraId="45D1FE62" w14:textId="1AC71B98" w:rsidR="002F2046" w:rsidRPr="006273BD" w:rsidRDefault="002F2046" w:rsidP="00E16180">
            <w:pPr>
              <w:spacing w:before="120" w:after="120"/>
              <w:jc w:val="left"/>
              <w:rPr>
                <w:b/>
                <w:bCs/>
                <w:sz w:val="18"/>
                <w:szCs w:val="18"/>
              </w:rPr>
            </w:pPr>
            <w:r w:rsidRPr="006273BD">
              <w:rPr>
                <w:b/>
                <w:bCs/>
                <w:sz w:val="18"/>
                <w:szCs w:val="18"/>
              </w:rPr>
              <w:t>Description</w:t>
            </w:r>
            <w:r w:rsidR="001D4932" w:rsidRPr="006273BD">
              <w:rPr>
                <w:b/>
                <w:bCs/>
                <w:sz w:val="18"/>
                <w:szCs w:val="18"/>
              </w:rPr>
              <w:t xml:space="preserve"> </w:t>
            </w:r>
          </w:p>
        </w:tc>
        <w:tc>
          <w:tcPr>
            <w:tcW w:w="2720" w:type="pct"/>
            <w:shd w:val="clear" w:color="auto" w:fill="F2F2F2" w:themeFill="background1" w:themeFillShade="F2"/>
            <w:vAlign w:val="center"/>
          </w:tcPr>
          <w:p w14:paraId="2F30D7C6" w14:textId="10E03B33" w:rsidR="002F2046" w:rsidRPr="006273BD" w:rsidRDefault="002F2046" w:rsidP="00E16180">
            <w:pPr>
              <w:spacing w:before="120" w:after="120"/>
              <w:jc w:val="left"/>
              <w:rPr>
                <w:b/>
                <w:bCs/>
                <w:sz w:val="18"/>
                <w:szCs w:val="18"/>
              </w:rPr>
            </w:pPr>
            <w:r w:rsidRPr="006273BD">
              <w:rPr>
                <w:b/>
                <w:bCs/>
                <w:sz w:val="18"/>
                <w:szCs w:val="18"/>
              </w:rPr>
              <w:t xml:space="preserve">Implementation </w:t>
            </w:r>
          </w:p>
        </w:tc>
      </w:tr>
      <w:tr w:rsidR="002F2046" w:rsidRPr="00316837" w14:paraId="7B5088C0" w14:textId="77777777" w:rsidTr="002F2046">
        <w:trPr>
          <w:trHeight w:val="1337"/>
        </w:trPr>
        <w:tc>
          <w:tcPr>
            <w:tcW w:w="258" w:type="pct"/>
            <w:vMerge w:val="restart"/>
          </w:tcPr>
          <w:p w14:paraId="4C9CCC30" w14:textId="77777777" w:rsidR="002F2046" w:rsidRPr="00316837" w:rsidRDefault="002F2046" w:rsidP="00E16180">
            <w:pPr>
              <w:spacing w:before="120" w:after="120"/>
              <w:jc w:val="left"/>
              <w:rPr>
                <w:sz w:val="18"/>
                <w:szCs w:val="18"/>
              </w:rPr>
            </w:pPr>
            <w:r w:rsidRPr="00316837">
              <w:rPr>
                <w:sz w:val="18"/>
                <w:szCs w:val="18"/>
              </w:rPr>
              <w:t>1</w:t>
            </w:r>
          </w:p>
        </w:tc>
        <w:tc>
          <w:tcPr>
            <w:tcW w:w="880" w:type="pct"/>
            <w:vMerge w:val="restart"/>
            <w:shd w:val="clear" w:color="auto" w:fill="auto"/>
          </w:tcPr>
          <w:p w14:paraId="36523643" w14:textId="637A5F6C" w:rsidR="002F2046" w:rsidRPr="00316837" w:rsidRDefault="002F2046" w:rsidP="00E16180">
            <w:pPr>
              <w:spacing w:before="120" w:after="120"/>
              <w:jc w:val="left"/>
              <w:rPr>
                <w:sz w:val="18"/>
                <w:szCs w:val="18"/>
              </w:rPr>
            </w:pPr>
            <w:r w:rsidRPr="00316837">
              <w:rPr>
                <w:sz w:val="18"/>
                <w:szCs w:val="18"/>
              </w:rPr>
              <w:t>Regulatory Asset Base (RAB)</w:t>
            </w:r>
            <w:r w:rsidR="001D4932" w:rsidRPr="00316837">
              <w:rPr>
                <w:sz w:val="18"/>
                <w:szCs w:val="18"/>
              </w:rPr>
              <w:t xml:space="preserve"> </w:t>
            </w:r>
          </w:p>
        </w:tc>
        <w:tc>
          <w:tcPr>
            <w:tcW w:w="1142" w:type="pct"/>
            <w:vMerge w:val="restart"/>
          </w:tcPr>
          <w:p w14:paraId="69815533" w14:textId="76B89245" w:rsidR="002F2046" w:rsidRPr="00316837" w:rsidRDefault="002F2046" w:rsidP="00E16180">
            <w:pPr>
              <w:spacing w:before="120" w:after="120"/>
              <w:jc w:val="left"/>
              <w:rPr>
                <w:sz w:val="18"/>
                <w:szCs w:val="18"/>
              </w:rPr>
            </w:pPr>
            <w:r w:rsidRPr="00316837">
              <w:rPr>
                <w:sz w:val="18"/>
                <w:szCs w:val="18"/>
              </w:rPr>
              <w:t xml:space="preserve">Allows the assessment of the value of regulated assets on which the mini-grid developer is allowed to earn a return. </w:t>
            </w:r>
          </w:p>
        </w:tc>
        <w:tc>
          <w:tcPr>
            <w:tcW w:w="2720" w:type="pct"/>
            <w:shd w:val="clear" w:color="auto" w:fill="auto"/>
          </w:tcPr>
          <w:p w14:paraId="681EBAB6" w14:textId="77777777" w:rsidR="002F2046" w:rsidRPr="00316837" w:rsidRDefault="002F2046" w:rsidP="002F2046">
            <w:pPr>
              <w:spacing w:before="120" w:after="120"/>
              <w:jc w:val="left"/>
              <w:rPr>
                <w:rFonts w:cs="Arial"/>
                <w:sz w:val="18"/>
                <w:szCs w:val="18"/>
              </w:rPr>
            </w:pPr>
            <w:r w:rsidRPr="00316837">
              <w:rPr>
                <w:rFonts w:cs="Arial"/>
                <w:i/>
                <w:iCs/>
                <w:sz w:val="18"/>
                <w:szCs w:val="18"/>
              </w:rPr>
              <w:t>On the basis of providing detailed tools that have pre-set categories for asset base inputs</w:t>
            </w:r>
            <w:r w:rsidRPr="00316837">
              <w:rPr>
                <w:rFonts w:cs="Arial"/>
                <w:sz w:val="18"/>
                <w:szCs w:val="18"/>
              </w:rPr>
              <w:t xml:space="preserve">. </w:t>
            </w:r>
          </w:p>
          <w:p w14:paraId="2790BEF9" w14:textId="77777777" w:rsidR="002F2046" w:rsidRPr="00316837" w:rsidRDefault="002F2046" w:rsidP="002F2046">
            <w:pPr>
              <w:spacing w:before="120" w:after="120"/>
              <w:jc w:val="left"/>
              <w:rPr>
                <w:rFonts w:cs="Arial"/>
                <w:sz w:val="18"/>
                <w:szCs w:val="18"/>
              </w:rPr>
            </w:pPr>
            <w:r w:rsidRPr="00316837">
              <w:rPr>
                <w:rFonts w:cs="Arial"/>
                <w:sz w:val="18"/>
                <w:szCs w:val="18"/>
              </w:rPr>
              <w:t xml:space="preserve">Nigeria, Tanzania, and Kenya all have detailed Excel-based tools that offer categories that are allowed within the RAB. </w:t>
            </w:r>
          </w:p>
          <w:p w14:paraId="2ED3D1E1" w14:textId="77777777" w:rsidR="002F2046" w:rsidRPr="00316837" w:rsidRDefault="002F2046" w:rsidP="002F2046">
            <w:pPr>
              <w:spacing w:before="120" w:after="120"/>
              <w:jc w:val="left"/>
              <w:rPr>
                <w:rFonts w:cs="Arial"/>
                <w:sz w:val="18"/>
                <w:szCs w:val="18"/>
              </w:rPr>
            </w:pPr>
            <w:r w:rsidRPr="00316837">
              <w:rPr>
                <w:rFonts w:cs="Arial"/>
                <w:sz w:val="18"/>
                <w:szCs w:val="18"/>
              </w:rPr>
              <w:t xml:space="preserve">For example, in Nigeria’s tool there are entries available for both: </w:t>
            </w:r>
          </w:p>
          <w:p w14:paraId="6871AC5F" w14:textId="77777777" w:rsidR="002F2046" w:rsidRPr="00316837" w:rsidRDefault="002F2046" w:rsidP="002F2046">
            <w:pPr>
              <w:pStyle w:val="ListParagraph"/>
              <w:numPr>
                <w:ilvl w:val="0"/>
                <w:numId w:val="20"/>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generation assets (solar panel, solar cables, battery bank, solar inverter, battery inverter, sub-distribution infrastructures, generation house, PH costs) and </w:t>
            </w:r>
          </w:p>
          <w:p w14:paraId="1AE38307" w14:textId="4EA9F039" w:rsidR="002F2046" w:rsidRPr="00316837" w:rsidRDefault="002F2046" w:rsidP="002F2046">
            <w:pPr>
              <w:pStyle w:val="ListParagraph"/>
              <w:numPr>
                <w:ilvl w:val="0"/>
                <w:numId w:val="20"/>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distribution assets (poles, grid low voltage, grid connections, customer connections, smart meters). </w:t>
            </w:r>
          </w:p>
          <w:p w14:paraId="3D991407" w14:textId="77777777" w:rsidR="002F2046" w:rsidRPr="00316837" w:rsidRDefault="002F2046" w:rsidP="002F2046">
            <w:pPr>
              <w:spacing w:before="120" w:after="120"/>
              <w:jc w:val="left"/>
              <w:rPr>
                <w:rFonts w:cs="Arial"/>
                <w:sz w:val="18"/>
                <w:szCs w:val="18"/>
              </w:rPr>
            </w:pPr>
            <w:r w:rsidRPr="00316837">
              <w:rPr>
                <w:rFonts w:cs="Arial"/>
                <w:sz w:val="18"/>
                <w:szCs w:val="18"/>
              </w:rPr>
              <w:t xml:space="preserve">It is unclear whether mini-grid developers can enter in categories within the RAB that are outside the pre-set inputs. </w:t>
            </w:r>
          </w:p>
          <w:p w14:paraId="0AF8869A" w14:textId="68AB9DD4" w:rsidR="002F2046" w:rsidRPr="00316837" w:rsidRDefault="002F2046" w:rsidP="002F2046">
            <w:pPr>
              <w:spacing w:before="120" w:after="120"/>
              <w:jc w:val="left"/>
              <w:rPr>
                <w:rFonts w:cs="Arial"/>
                <w:sz w:val="18"/>
                <w:szCs w:val="18"/>
              </w:rPr>
            </w:pPr>
            <w:r w:rsidRPr="00316837">
              <w:rPr>
                <w:rFonts w:cs="Arial"/>
                <w:sz w:val="18"/>
                <w:szCs w:val="18"/>
              </w:rPr>
              <w:t>In these tools, there are no parameters guiding the costs of specific components of the RAB.</w:t>
            </w:r>
            <w:r w:rsidR="001D4932" w:rsidRPr="00316837">
              <w:rPr>
                <w:rFonts w:cs="Arial"/>
                <w:sz w:val="18"/>
                <w:szCs w:val="18"/>
              </w:rPr>
              <w:t xml:space="preserve"> </w:t>
            </w:r>
          </w:p>
        </w:tc>
      </w:tr>
      <w:tr w:rsidR="002F2046" w:rsidRPr="00316837" w14:paraId="666C785A" w14:textId="77777777" w:rsidTr="002F2046">
        <w:trPr>
          <w:trHeight w:val="299"/>
        </w:trPr>
        <w:tc>
          <w:tcPr>
            <w:tcW w:w="258" w:type="pct"/>
            <w:vMerge/>
          </w:tcPr>
          <w:p w14:paraId="6B53AA51" w14:textId="77777777" w:rsidR="002F2046" w:rsidRPr="00316837" w:rsidRDefault="002F2046" w:rsidP="00E16180">
            <w:pPr>
              <w:spacing w:before="120" w:after="120"/>
              <w:jc w:val="left"/>
              <w:rPr>
                <w:sz w:val="18"/>
                <w:szCs w:val="18"/>
              </w:rPr>
            </w:pPr>
          </w:p>
        </w:tc>
        <w:tc>
          <w:tcPr>
            <w:tcW w:w="880" w:type="pct"/>
            <w:vMerge/>
            <w:shd w:val="clear" w:color="auto" w:fill="auto"/>
          </w:tcPr>
          <w:p w14:paraId="03B9C557" w14:textId="77777777" w:rsidR="002F2046" w:rsidRPr="00316837" w:rsidRDefault="002F2046" w:rsidP="00E16180">
            <w:pPr>
              <w:spacing w:before="120" w:after="120"/>
              <w:jc w:val="left"/>
              <w:rPr>
                <w:sz w:val="18"/>
                <w:szCs w:val="18"/>
              </w:rPr>
            </w:pPr>
          </w:p>
        </w:tc>
        <w:tc>
          <w:tcPr>
            <w:tcW w:w="1142" w:type="pct"/>
            <w:vMerge/>
          </w:tcPr>
          <w:p w14:paraId="08D43AE7" w14:textId="77777777" w:rsidR="002F2046" w:rsidRPr="00316837" w:rsidRDefault="002F2046" w:rsidP="00E16180">
            <w:pPr>
              <w:spacing w:before="120" w:after="120"/>
              <w:jc w:val="left"/>
              <w:rPr>
                <w:sz w:val="18"/>
                <w:szCs w:val="18"/>
              </w:rPr>
            </w:pPr>
          </w:p>
        </w:tc>
        <w:tc>
          <w:tcPr>
            <w:tcW w:w="2720" w:type="pct"/>
            <w:shd w:val="clear" w:color="auto" w:fill="auto"/>
          </w:tcPr>
          <w:p w14:paraId="6261EAE3" w14:textId="77777777" w:rsidR="002F2046" w:rsidRPr="00316837" w:rsidRDefault="002F2046" w:rsidP="002F2046">
            <w:pPr>
              <w:spacing w:before="120" w:after="120"/>
              <w:jc w:val="left"/>
              <w:rPr>
                <w:rFonts w:cs="Arial"/>
                <w:i/>
                <w:iCs/>
                <w:sz w:val="18"/>
                <w:szCs w:val="18"/>
              </w:rPr>
            </w:pPr>
            <w:r w:rsidRPr="00316837">
              <w:rPr>
                <w:rFonts w:cs="Arial"/>
                <w:i/>
                <w:iCs/>
                <w:sz w:val="18"/>
                <w:szCs w:val="18"/>
              </w:rPr>
              <w:t xml:space="preserve">On the basis of defining broadly as with catch-all terminology. </w:t>
            </w:r>
          </w:p>
          <w:p w14:paraId="0ECFC0D9" w14:textId="77777777" w:rsidR="002F2046" w:rsidRPr="00316837" w:rsidRDefault="002F2046" w:rsidP="002F2046">
            <w:pPr>
              <w:spacing w:before="120" w:after="120"/>
              <w:jc w:val="left"/>
              <w:rPr>
                <w:rFonts w:cs="Arial"/>
                <w:sz w:val="18"/>
                <w:szCs w:val="18"/>
              </w:rPr>
            </w:pPr>
            <w:r w:rsidRPr="00316837">
              <w:rPr>
                <w:rFonts w:cs="Arial"/>
                <w:sz w:val="18"/>
                <w:szCs w:val="18"/>
              </w:rPr>
              <w:lastRenderedPageBreak/>
              <w:t xml:space="preserve">Several countries define the RAB with terminology such as “the sum of all assets used and useful in providing regulated services” (Zambia). </w:t>
            </w:r>
          </w:p>
          <w:p w14:paraId="50E46E68" w14:textId="1AD2C7ED" w:rsidR="002F2046" w:rsidRPr="00316837" w:rsidRDefault="002F2046" w:rsidP="002F2046">
            <w:pPr>
              <w:spacing w:before="120" w:after="120"/>
              <w:jc w:val="left"/>
              <w:rPr>
                <w:rFonts w:cs="Arial"/>
                <w:sz w:val="18"/>
                <w:szCs w:val="18"/>
              </w:rPr>
            </w:pPr>
            <w:r w:rsidRPr="00316837">
              <w:rPr>
                <w:rFonts w:cs="Arial"/>
                <w:sz w:val="18"/>
                <w:szCs w:val="18"/>
              </w:rPr>
              <w:t>This approach gives the national regulatory authority the discretion to determine the reasonableness of entries on a case-by-case basis.</w:t>
            </w:r>
            <w:r w:rsidR="001D4932" w:rsidRPr="00316837">
              <w:rPr>
                <w:rFonts w:cs="Arial"/>
                <w:sz w:val="18"/>
                <w:szCs w:val="18"/>
              </w:rPr>
              <w:t xml:space="preserve"> </w:t>
            </w:r>
          </w:p>
        </w:tc>
      </w:tr>
      <w:tr w:rsidR="002F2046" w:rsidRPr="00316837" w14:paraId="6F4623E3" w14:textId="77777777" w:rsidTr="002F2046">
        <w:trPr>
          <w:trHeight w:val="1335"/>
        </w:trPr>
        <w:tc>
          <w:tcPr>
            <w:tcW w:w="258" w:type="pct"/>
            <w:vMerge/>
          </w:tcPr>
          <w:p w14:paraId="6A51F61A" w14:textId="77777777" w:rsidR="002F2046" w:rsidRPr="00316837" w:rsidRDefault="002F2046" w:rsidP="00E16180">
            <w:pPr>
              <w:spacing w:before="120" w:after="120"/>
              <w:jc w:val="left"/>
              <w:rPr>
                <w:sz w:val="18"/>
                <w:szCs w:val="18"/>
              </w:rPr>
            </w:pPr>
          </w:p>
        </w:tc>
        <w:tc>
          <w:tcPr>
            <w:tcW w:w="880" w:type="pct"/>
            <w:vMerge/>
            <w:shd w:val="clear" w:color="auto" w:fill="auto"/>
          </w:tcPr>
          <w:p w14:paraId="655B2261" w14:textId="77777777" w:rsidR="002F2046" w:rsidRPr="00316837" w:rsidRDefault="002F2046" w:rsidP="00E16180">
            <w:pPr>
              <w:spacing w:before="120" w:after="120"/>
              <w:jc w:val="left"/>
              <w:rPr>
                <w:sz w:val="18"/>
                <w:szCs w:val="18"/>
              </w:rPr>
            </w:pPr>
          </w:p>
        </w:tc>
        <w:tc>
          <w:tcPr>
            <w:tcW w:w="1142" w:type="pct"/>
            <w:vMerge/>
          </w:tcPr>
          <w:p w14:paraId="7442C265" w14:textId="77777777" w:rsidR="002F2046" w:rsidRPr="00316837" w:rsidRDefault="002F2046" w:rsidP="00E16180">
            <w:pPr>
              <w:spacing w:before="120" w:after="120"/>
              <w:jc w:val="left"/>
              <w:rPr>
                <w:sz w:val="18"/>
                <w:szCs w:val="18"/>
              </w:rPr>
            </w:pPr>
          </w:p>
        </w:tc>
        <w:tc>
          <w:tcPr>
            <w:tcW w:w="2720" w:type="pct"/>
            <w:shd w:val="clear" w:color="auto" w:fill="auto"/>
          </w:tcPr>
          <w:p w14:paraId="15347168" w14:textId="54AB5793" w:rsidR="002F2046" w:rsidRPr="00316837" w:rsidRDefault="002F2046" w:rsidP="002F2046">
            <w:pPr>
              <w:spacing w:before="120" w:after="120"/>
              <w:jc w:val="left"/>
              <w:rPr>
                <w:rFonts w:cs="Arial"/>
                <w:i/>
                <w:iCs/>
                <w:sz w:val="18"/>
                <w:szCs w:val="18"/>
              </w:rPr>
            </w:pPr>
            <w:r w:rsidRPr="00316837">
              <w:rPr>
                <w:rFonts w:cs="Arial"/>
                <w:i/>
                <w:iCs/>
                <w:sz w:val="18"/>
                <w:szCs w:val="18"/>
              </w:rPr>
              <w:t xml:space="preserve">On the basis of leaving types of costs included within the RAB unspecified in regulation. </w:t>
            </w:r>
          </w:p>
          <w:p w14:paraId="402890C1" w14:textId="2E0418E3" w:rsidR="002F2046" w:rsidRPr="00316837" w:rsidRDefault="002F2046" w:rsidP="002F2046">
            <w:pPr>
              <w:spacing w:before="120" w:after="120"/>
              <w:jc w:val="left"/>
              <w:rPr>
                <w:rFonts w:cs="Arial"/>
                <w:sz w:val="18"/>
                <w:szCs w:val="18"/>
              </w:rPr>
            </w:pPr>
            <w:r w:rsidRPr="00316837">
              <w:rPr>
                <w:rFonts w:cs="Arial"/>
                <w:sz w:val="18"/>
                <w:szCs w:val="18"/>
              </w:rPr>
              <w:t xml:space="preserve">Several countries do not specify what is included within the RAB in their regulations. It is presumed in these countries, that it is left to regulatory discretion to assess the types of assets that can be claimed by developers for return. </w:t>
            </w:r>
          </w:p>
        </w:tc>
      </w:tr>
      <w:tr w:rsidR="002F2046" w:rsidRPr="00316837" w14:paraId="34578583" w14:textId="77777777" w:rsidTr="002F2046">
        <w:trPr>
          <w:trHeight w:val="366"/>
        </w:trPr>
        <w:tc>
          <w:tcPr>
            <w:tcW w:w="258" w:type="pct"/>
            <w:vMerge w:val="restart"/>
          </w:tcPr>
          <w:p w14:paraId="3D21932F" w14:textId="1CA9C77C" w:rsidR="002F2046" w:rsidRPr="00316837" w:rsidRDefault="002F2046" w:rsidP="00E16180">
            <w:pPr>
              <w:spacing w:before="120" w:after="120"/>
              <w:jc w:val="left"/>
              <w:rPr>
                <w:sz w:val="18"/>
                <w:szCs w:val="18"/>
              </w:rPr>
            </w:pPr>
            <w:r w:rsidRPr="00316837">
              <w:rPr>
                <w:sz w:val="18"/>
                <w:szCs w:val="18"/>
              </w:rPr>
              <w:t>2</w:t>
            </w:r>
          </w:p>
        </w:tc>
        <w:tc>
          <w:tcPr>
            <w:tcW w:w="880" w:type="pct"/>
            <w:vMerge w:val="restart"/>
            <w:shd w:val="clear" w:color="auto" w:fill="auto"/>
          </w:tcPr>
          <w:p w14:paraId="4C183F7A" w14:textId="234C96E2" w:rsidR="002F2046" w:rsidRPr="00316837" w:rsidRDefault="002F2046" w:rsidP="00E16180">
            <w:pPr>
              <w:spacing w:before="120" w:after="120"/>
              <w:jc w:val="left"/>
              <w:rPr>
                <w:sz w:val="18"/>
                <w:szCs w:val="18"/>
              </w:rPr>
            </w:pPr>
            <w:r w:rsidRPr="00316837">
              <w:rPr>
                <w:sz w:val="18"/>
                <w:szCs w:val="18"/>
              </w:rPr>
              <w:t>Allowed Rate of Return</w:t>
            </w:r>
            <w:r w:rsidR="001D4932" w:rsidRPr="00316837">
              <w:rPr>
                <w:sz w:val="18"/>
                <w:szCs w:val="18"/>
              </w:rPr>
              <w:t xml:space="preserve"> </w:t>
            </w:r>
          </w:p>
        </w:tc>
        <w:tc>
          <w:tcPr>
            <w:tcW w:w="1142" w:type="pct"/>
            <w:vMerge w:val="restart"/>
          </w:tcPr>
          <w:p w14:paraId="5947F726" w14:textId="7739F1B7" w:rsidR="002F2046" w:rsidRPr="00316837" w:rsidRDefault="002F2046" w:rsidP="00E16180">
            <w:pPr>
              <w:spacing w:before="120" w:after="120"/>
              <w:jc w:val="left"/>
              <w:rPr>
                <w:sz w:val="18"/>
                <w:szCs w:val="18"/>
              </w:rPr>
            </w:pPr>
            <w:r w:rsidRPr="00316837">
              <w:rPr>
                <w:sz w:val="18"/>
                <w:szCs w:val="18"/>
              </w:rPr>
              <w:t xml:space="preserve">Allows the rate of return allowed for mini-grid developers on their capital investment. </w:t>
            </w:r>
          </w:p>
        </w:tc>
        <w:tc>
          <w:tcPr>
            <w:tcW w:w="2720" w:type="pct"/>
            <w:shd w:val="clear" w:color="auto" w:fill="auto"/>
          </w:tcPr>
          <w:p w14:paraId="261EF9BD" w14:textId="77777777" w:rsidR="002F2046" w:rsidRPr="00316837" w:rsidRDefault="002F2046" w:rsidP="002F2046">
            <w:pPr>
              <w:spacing w:before="120" w:after="120"/>
              <w:jc w:val="left"/>
              <w:rPr>
                <w:rFonts w:cs="Arial"/>
                <w:i/>
                <w:iCs/>
                <w:sz w:val="18"/>
                <w:szCs w:val="18"/>
              </w:rPr>
            </w:pPr>
            <w:r w:rsidRPr="00316837">
              <w:rPr>
                <w:rFonts w:cs="Arial"/>
                <w:i/>
                <w:iCs/>
                <w:sz w:val="18"/>
                <w:szCs w:val="18"/>
              </w:rPr>
              <w:t xml:space="preserve">On the basis of calculating “allowable rate of return” based on the weighted average cost of capital (WACC). </w:t>
            </w:r>
          </w:p>
          <w:p w14:paraId="27E34743" w14:textId="77777777" w:rsidR="002F2046" w:rsidRPr="00316837" w:rsidRDefault="002F2046" w:rsidP="002F2046">
            <w:pPr>
              <w:spacing w:before="120" w:after="120"/>
              <w:jc w:val="left"/>
              <w:rPr>
                <w:rFonts w:cs="Arial"/>
                <w:sz w:val="18"/>
                <w:szCs w:val="18"/>
              </w:rPr>
            </w:pPr>
            <w:r w:rsidRPr="00316837">
              <w:rPr>
                <w:rFonts w:cs="Arial"/>
                <w:sz w:val="18"/>
                <w:szCs w:val="18"/>
              </w:rPr>
              <w:t xml:space="preserve">Both Ethiopia and Zambia track the allowed rate of return to the developer’s WACC, which is determined by the cost of debt and cost of equity. </w:t>
            </w:r>
          </w:p>
          <w:p w14:paraId="6A76F348" w14:textId="77777777" w:rsidR="002F2046" w:rsidRPr="00316837" w:rsidRDefault="002F2046" w:rsidP="002F2046">
            <w:pPr>
              <w:spacing w:before="120" w:after="120"/>
              <w:jc w:val="left"/>
              <w:rPr>
                <w:rFonts w:cs="Arial"/>
                <w:sz w:val="18"/>
                <w:szCs w:val="18"/>
              </w:rPr>
            </w:pPr>
            <w:r w:rsidRPr="00316837">
              <w:rPr>
                <w:rFonts w:cs="Arial"/>
                <w:sz w:val="18"/>
                <w:szCs w:val="18"/>
              </w:rPr>
              <w:t xml:space="preserve">This can be calculated on this individual developer-level or by using industry benchmark figures. </w:t>
            </w:r>
          </w:p>
          <w:p w14:paraId="38E13FC0" w14:textId="553196E7" w:rsidR="002F2046" w:rsidRPr="00316837" w:rsidRDefault="002F2046" w:rsidP="002F2046">
            <w:pPr>
              <w:spacing w:before="120" w:after="120"/>
              <w:jc w:val="left"/>
              <w:rPr>
                <w:rFonts w:cs="Arial"/>
                <w:sz w:val="18"/>
                <w:szCs w:val="18"/>
              </w:rPr>
            </w:pPr>
            <w:r w:rsidRPr="00316837">
              <w:rPr>
                <w:rFonts w:cs="Arial"/>
                <w:sz w:val="18"/>
                <w:szCs w:val="18"/>
              </w:rPr>
              <w:t>Regulations can also require a target debt to equity ratio.</w:t>
            </w:r>
          </w:p>
        </w:tc>
      </w:tr>
      <w:tr w:rsidR="002F2046" w:rsidRPr="00316837" w14:paraId="72FA6164" w14:textId="77777777" w:rsidTr="002F2046">
        <w:trPr>
          <w:trHeight w:val="366"/>
        </w:trPr>
        <w:tc>
          <w:tcPr>
            <w:tcW w:w="258" w:type="pct"/>
            <w:vMerge/>
          </w:tcPr>
          <w:p w14:paraId="411ED917" w14:textId="77777777" w:rsidR="002F2046" w:rsidRPr="00316837" w:rsidRDefault="002F2046" w:rsidP="00E16180">
            <w:pPr>
              <w:spacing w:before="120" w:after="120"/>
              <w:jc w:val="left"/>
              <w:rPr>
                <w:sz w:val="18"/>
                <w:szCs w:val="18"/>
              </w:rPr>
            </w:pPr>
          </w:p>
        </w:tc>
        <w:tc>
          <w:tcPr>
            <w:tcW w:w="880" w:type="pct"/>
            <w:vMerge/>
            <w:shd w:val="clear" w:color="auto" w:fill="auto"/>
          </w:tcPr>
          <w:p w14:paraId="577B270A" w14:textId="77777777" w:rsidR="002F2046" w:rsidRPr="00316837" w:rsidRDefault="002F2046" w:rsidP="00E16180">
            <w:pPr>
              <w:spacing w:before="120" w:after="120"/>
              <w:jc w:val="left"/>
              <w:rPr>
                <w:sz w:val="18"/>
                <w:szCs w:val="18"/>
              </w:rPr>
            </w:pPr>
          </w:p>
        </w:tc>
        <w:tc>
          <w:tcPr>
            <w:tcW w:w="1142" w:type="pct"/>
            <w:vMerge/>
          </w:tcPr>
          <w:p w14:paraId="2A9582C0" w14:textId="77777777" w:rsidR="002F2046" w:rsidRPr="00316837" w:rsidRDefault="002F2046" w:rsidP="00E16180">
            <w:pPr>
              <w:spacing w:before="120" w:after="120"/>
              <w:jc w:val="left"/>
              <w:rPr>
                <w:sz w:val="18"/>
                <w:szCs w:val="18"/>
              </w:rPr>
            </w:pPr>
          </w:p>
        </w:tc>
        <w:tc>
          <w:tcPr>
            <w:tcW w:w="2720" w:type="pct"/>
            <w:shd w:val="clear" w:color="auto" w:fill="auto"/>
          </w:tcPr>
          <w:p w14:paraId="0962E513" w14:textId="77777777" w:rsidR="002F2046" w:rsidRPr="00316837" w:rsidRDefault="002F2046" w:rsidP="002F2046">
            <w:pPr>
              <w:spacing w:before="120" w:after="120"/>
              <w:jc w:val="left"/>
              <w:rPr>
                <w:rFonts w:cs="Arial"/>
                <w:i/>
                <w:iCs/>
                <w:sz w:val="18"/>
                <w:szCs w:val="18"/>
              </w:rPr>
            </w:pPr>
            <w:r w:rsidRPr="00316837">
              <w:rPr>
                <w:rFonts w:cs="Arial"/>
                <w:i/>
                <w:iCs/>
                <w:sz w:val="18"/>
                <w:szCs w:val="18"/>
              </w:rPr>
              <w:t xml:space="preserve">On the basis of identifying or capping at a specified rate of return. </w:t>
            </w:r>
          </w:p>
          <w:p w14:paraId="7E586D93" w14:textId="77777777" w:rsidR="002F2046" w:rsidRPr="00316837" w:rsidRDefault="002F2046" w:rsidP="002F2046">
            <w:pPr>
              <w:spacing w:before="120" w:after="120"/>
              <w:jc w:val="left"/>
              <w:rPr>
                <w:rFonts w:cs="Arial"/>
                <w:sz w:val="18"/>
                <w:szCs w:val="18"/>
              </w:rPr>
            </w:pPr>
            <w:r w:rsidRPr="00316837">
              <w:rPr>
                <w:rFonts w:cs="Arial"/>
                <w:sz w:val="18"/>
                <w:szCs w:val="18"/>
              </w:rPr>
              <w:t xml:space="preserve">Several countries set a maximum rate of return that the developers can earn on their RAB. </w:t>
            </w:r>
          </w:p>
          <w:p w14:paraId="7AC5357F" w14:textId="77777777" w:rsidR="002F2046" w:rsidRPr="00316837" w:rsidRDefault="002F2046" w:rsidP="002F2046">
            <w:pPr>
              <w:spacing w:before="120" w:after="120"/>
              <w:jc w:val="left"/>
              <w:rPr>
                <w:rFonts w:cs="Arial"/>
                <w:sz w:val="18"/>
                <w:szCs w:val="18"/>
              </w:rPr>
            </w:pPr>
            <w:r w:rsidRPr="00316837">
              <w:rPr>
                <w:rFonts w:cs="Arial"/>
                <w:sz w:val="18"/>
                <w:szCs w:val="18"/>
              </w:rPr>
              <w:t xml:space="preserve">For example, Kenya caps the developer’s internal rate of return at 18% for mini-grid projects. In a related approach, Nigeria capped the rate of return at a specific number but pegged it to the non-recourse commercial debt interest rate plus six percent. </w:t>
            </w:r>
          </w:p>
          <w:p w14:paraId="44C5CA9A" w14:textId="2170ADB8" w:rsidR="002F2046" w:rsidRPr="00316837" w:rsidRDefault="002F2046" w:rsidP="002F2046">
            <w:pPr>
              <w:spacing w:before="120" w:after="120"/>
              <w:jc w:val="left"/>
              <w:rPr>
                <w:rFonts w:cs="Arial"/>
                <w:sz w:val="18"/>
                <w:szCs w:val="18"/>
              </w:rPr>
            </w:pPr>
            <w:r w:rsidRPr="00316837">
              <w:rPr>
                <w:rFonts w:cs="Arial"/>
                <w:sz w:val="18"/>
                <w:szCs w:val="18"/>
              </w:rPr>
              <w:t>In calculating the rate of return, it is normally the developer that bears the risk of foreign exchange, which increases developer risk.</w:t>
            </w:r>
          </w:p>
        </w:tc>
      </w:tr>
      <w:tr w:rsidR="002F2046" w:rsidRPr="00316837" w14:paraId="4DA226B7" w14:textId="77777777" w:rsidTr="002F2046">
        <w:trPr>
          <w:trHeight w:val="202"/>
        </w:trPr>
        <w:tc>
          <w:tcPr>
            <w:tcW w:w="258" w:type="pct"/>
            <w:vMerge w:val="restart"/>
          </w:tcPr>
          <w:p w14:paraId="0FB29286" w14:textId="60B4130B" w:rsidR="002F2046" w:rsidRPr="00316837" w:rsidRDefault="002F2046" w:rsidP="00E16180">
            <w:pPr>
              <w:spacing w:before="120" w:after="120"/>
              <w:jc w:val="left"/>
              <w:rPr>
                <w:sz w:val="18"/>
                <w:szCs w:val="18"/>
              </w:rPr>
            </w:pPr>
            <w:r w:rsidRPr="00316837">
              <w:rPr>
                <w:sz w:val="18"/>
                <w:szCs w:val="18"/>
              </w:rPr>
              <w:t>3</w:t>
            </w:r>
          </w:p>
        </w:tc>
        <w:tc>
          <w:tcPr>
            <w:tcW w:w="880" w:type="pct"/>
            <w:vMerge w:val="restart"/>
            <w:shd w:val="clear" w:color="auto" w:fill="auto"/>
          </w:tcPr>
          <w:p w14:paraId="50ABE3FD" w14:textId="73FBD6D0" w:rsidR="002F2046" w:rsidRPr="00316837" w:rsidRDefault="002F2046" w:rsidP="00E16180">
            <w:pPr>
              <w:spacing w:before="120" w:after="120"/>
              <w:jc w:val="left"/>
              <w:rPr>
                <w:sz w:val="18"/>
                <w:szCs w:val="18"/>
              </w:rPr>
            </w:pPr>
            <w:r w:rsidRPr="00316837">
              <w:rPr>
                <w:sz w:val="18"/>
                <w:szCs w:val="18"/>
              </w:rPr>
              <w:t>Depreciation</w:t>
            </w:r>
          </w:p>
        </w:tc>
        <w:tc>
          <w:tcPr>
            <w:tcW w:w="1142" w:type="pct"/>
            <w:vMerge w:val="restart"/>
          </w:tcPr>
          <w:p w14:paraId="6D563B6C" w14:textId="6E2FF4E9" w:rsidR="002F2046" w:rsidRPr="00316837" w:rsidRDefault="002F2046" w:rsidP="00E16180">
            <w:pPr>
              <w:spacing w:before="120" w:after="120"/>
              <w:jc w:val="left"/>
              <w:rPr>
                <w:sz w:val="18"/>
                <w:szCs w:val="18"/>
              </w:rPr>
            </w:pPr>
            <w:r w:rsidRPr="00316837">
              <w:rPr>
                <w:sz w:val="18"/>
                <w:szCs w:val="18"/>
              </w:rPr>
              <w:t xml:space="preserve">Allows the calculation of depreciation of assets. </w:t>
            </w:r>
          </w:p>
        </w:tc>
        <w:tc>
          <w:tcPr>
            <w:tcW w:w="2720" w:type="pct"/>
            <w:shd w:val="clear" w:color="auto" w:fill="auto"/>
          </w:tcPr>
          <w:p w14:paraId="28447417" w14:textId="77777777" w:rsidR="002F2046" w:rsidRPr="00316837" w:rsidRDefault="002F2046" w:rsidP="002F2046">
            <w:pPr>
              <w:spacing w:before="120" w:after="120"/>
              <w:jc w:val="left"/>
              <w:rPr>
                <w:rFonts w:cs="Arial"/>
                <w:i/>
                <w:iCs/>
                <w:sz w:val="18"/>
                <w:szCs w:val="18"/>
              </w:rPr>
            </w:pPr>
            <w:r w:rsidRPr="00316837">
              <w:rPr>
                <w:rFonts w:cs="Arial"/>
                <w:i/>
                <w:iCs/>
                <w:sz w:val="18"/>
                <w:szCs w:val="18"/>
              </w:rPr>
              <w:t xml:space="preserve">On the basis of straight-line depreciation. </w:t>
            </w:r>
          </w:p>
          <w:p w14:paraId="28A9B2FB" w14:textId="77777777" w:rsidR="002F2046" w:rsidRPr="00316837" w:rsidRDefault="002F2046" w:rsidP="002F2046">
            <w:pPr>
              <w:spacing w:before="120" w:after="120"/>
              <w:jc w:val="left"/>
              <w:rPr>
                <w:rFonts w:cs="Arial"/>
                <w:sz w:val="18"/>
                <w:szCs w:val="18"/>
              </w:rPr>
            </w:pPr>
            <w:r w:rsidRPr="00316837">
              <w:rPr>
                <w:rFonts w:cs="Arial"/>
                <w:sz w:val="18"/>
                <w:szCs w:val="18"/>
              </w:rPr>
              <w:t xml:space="preserve">The national regulatory authorities that referenced depreciation cited a straight-line depreciation approach applied either over the “asset’s useful lifetime” or for a pre-set number of years (e.g. 20 years). </w:t>
            </w:r>
          </w:p>
          <w:p w14:paraId="20328843" w14:textId="4C451007" w:rsidR="002F2046" w:rsidRPr="00316837" w:rsidRDefault="002F2046" w:rsidP="002F2046">
            <w:pPr>
              <w:spacing w:before="120" w:after="120"/>
              <w:jc w:val="left"/>
              <w:rPr>
                <w:rFonts w:cs="Arial"/>
                <w:sz w:val="18"/>
                <w:szCs w:val="18"/>
              </w:rPr>
            </w:pPr>
            <w:r w:rsidRPr="00316837">
              <w:rPr>
                <w:rFonts w:cs="Arial"/>
                <w:sz w:val="18"/>
                <w:szCs w:val="18"/>
              </w:rPr>
              <w:t>Some countries, for example Zambia, set the straight-line approach as the default methodology but allowed for an exemption based on individual project needs.</w:t>
            </w:r>
            <w:r w:rsidR="001D4932" w:rsidRPr="00316837">
              <w:rPr>
                <w:rFonts w:cs="Arial"/>
                <w:sz w:val="18"/>
                <w:szCs w:val="18"/>
              </w:rPr>
              <w:t xml:space="preserve"> </w:t>
            </w:r>
          </w:p>
        </w:tc>
      </w:tr>
      <w:tr w:rsidR="002F2046" w:rsidRPr="00316837" w14:paraId="69D93309" w14:textId="77777777" w:rsidTr="002F2046">
        <w:trPr>
          <w:trHeight w:val="201"/>
        </w:trPr>
        <w:tc>
          <w:tcPr>
            <w:tcW w:w="258" w:type="pct"/>
            <w:vMerge/>
          </w:tcPr>
          <w:p w14:paraId="416A4980" w14:textId="77777777" w:rsidR="002F2046" w:rsidRPr="00316837" w:rsidRDefault="002F2046" w:rsidP="00E16180">
            <w:pPr>
              <w:spacing w:before="120" w:after="120"/>
              <w:jc w:val="left"/>
              <w:rPr>
                <w:sz w:val="18"/>
                <w:szCs w:val="18"/>
              </w:rPr>
            </w:pPr>
          </w:p>
        </w:tc>
        <w:tc>
          <w:tcPr>
            <w:tcW w:w="880" w:type="pct"/>
            <w:vMerge/>
            <w:shd w:val="clear" w:color="auto" w:fill="auto"/>
          </w:tcPr>
          <w:p w14:paraId="25928639" w14:textId="77777777" w:rsidR="002F2046" w:rsidRPr="00316837" w:rsidRDefault="002F2046" w:rsidP="00E16180">
            <w:pPr>
              <w:spacing w:before="120" w:after="120"/>
              <w:jc w:val="left"/>
              <w:rPr>
                <w:sz w:val="18"/>
                <w:szCs w:val="18"/>
              </w:rPr>
            </w:pPr>
          </w:p>
        </w:tc>
        <w:tc>
          <w:tcPr>
            <w:tcW w:w="1142" w:type="pct"/>
            <w:vMerge/>
          </w:tcPr>
          <w:p w14:paraId="01340091" w14:textId="77777777" w:rsidR="002F2046" w:rsidRPr="00316837" w:rsidRDefault="002F2046" w:rsidP="00E16180">
            <w:pPr>
              <w:spacing w:before="120" w:after="120"/>
              <w:jc w:val="left"/>
              <w:rPr>
                <w:sz w:val="18"/>
                <w:szCs w:val="18"/>
              </w:rPr>
            </w:pPr>
          </w:p>
        </w:tc>
        <w:tc>
          <w:tcPr>
            <w:tcW w:w="2720" w:type="pct"/>
            <w:shd w:val="clear" w:color="auto" w:fill="auto"/>
          </w:tcPr>
          <w:p w14:paraId="27FB0053" w14:textId="77777777" w:rsidR="00E353CF" w:rsidRPr="00316837" w:rsidRDefault="00E353CF" w:rsidP="002F2046">
            <w:pPr>
              <w:spacing w:before="120" w:after="120"/>
              <w:jc w:val="left"/>
              <w:rPr>
                <w:rFonts w:cs="Arial"/>
                <w:i/>
                <w:iCs/>
                <w:sz w:val="18"/>
                <w:szCs w:val="18"/>
              </w:rPr>
            </w:pPr>
            <w:r w:rsidRPr="00316837">
              <w:rPr>
                <w:rFonts w:cs="Arial"/>
                <w:i/>
                <w:iCs/>
                <w:sz w:val="18"/>
                <w:szCs w:val="18"/>
              </w:rPr>
              <w:t xml:space="preserve">On the basis of depreciation referenced but precise methodology unspecified. </w:t>
            </w:r>
          </w:p>
          <w:p w14:paraId="43067592" w14:textId="7409C9BA" w:rsidR="002F2046" w:rsidRPr="00316837" w:rsidRDefault="00E353CF" w:rsidP="002F2046">
            <w:pPr>
              <w:spacing w:before="120" w:after="120"/>
              <w:jc w:val="left"/>
              <w:rPr>
                <w:rFonts w:cs="Arial"/>
                <w:sz w:val="18"/>
                <w:szCs w:val="18"/>
              </w:rPr>
            </w:pPr>
            <w:r w:rsidRPr="00316837">
              <w:rPr>
                <w:rFonts w:cs="Arial"/>
                <w:sz w:val="18"/>
                <w:szCs w:val="18"/>
              </w:rPr>
              <w:t xml:space="preserve">Other countries referenced depreciation as part of the calculation of the RAB and ongoing costs of the mini-grid. </w:t>
            </w:r>
          </w:p>
        </w:tc>
      </w:tr>
      <w:tr w:rsidR="00E353CF" w:rsidRPr="00316837" w14:paraId="5CF66E9B" w14:textId="77777777" w:rsidTr="002F2046">
        <w:trPr>
          <w:trHeight w:val="201"/>
        </w:trPr>
        <w:tc>
          <w:tcPr>
            <w:tcW w:w="258" w:type="pct"/>
          </w:tcPr>
          <w:p w14:paraId="3BFB17CF" w14:textId="74FE1456" w:rsidR="00E353CF" w:rsidRPr="00316837" w:rsidRDefault="00E353CF" w:rsidP="00E16180">
            <w:pPr>
              <w:spacing w:before="120" w:after="120"/>
              <w:jc w:val="left"/>
              <w:rPr>
                <w:sz w:val="18"/>
                <w:szCs w:val="18"/>
              </w:rPr>
            </w:pPr>
            <w:r w:rsidRPr="00316837">
              <w:rPr>
                <w:sz w:val="18"/>
                <w:szCs w:val="18"/>
              </w:rPr>
              <w:lastRenderedPageBreak/>
              <w:t>4</w:t>
            </w:r>
          </w:p>
        </w:tc>
        <w:tc>
          <w:tcPr>
            <w:tcW w:w="880" w:type="pct"/>
            <w:shd w:val="clear" w:color="auto" w:fill="auto"/>
          </w:tcPr>
          <w:p w14:paraId="2ACD3A57" w14:textId="4DA0876C" w:rsidR="00E353CF" w:rsidRPr="00316837" w:rsidRDefault="00E353CF" w:rsidP="00E16180">
            <w:pPr>
              <w:spacing w:before="120" w:after="120"/>
              <w:jc w:val="left"/>
              <w:rPr>
                <w:sz w:val="18"/>
                <w:szCs w:val="18"/>
              </w:rPr>
            </w:pPr>
            <w:r w:rsidRPr="00316837">
              <w:rPr>
                <w:sz w:val="18"/>
                <w:szCs w:val="18"/>
              </w:rPr>
              <w:t>Treatment of capital subsidies</w:t>
            </w:r>
            <w:r w:rsidR="001D4932" w:rsidRPr="00316837">
              <w:rPr>
                <w:sz w:val="18"/>
                <w:szCs w:val="18"/>
              </w:rPr>
              <w:t xml:space="preserve"> </w:t>
            </w:r>
          </w:p>
        </w:tc>
        <w:tc>
          <w:tcPr>
            <w:tcW w:w="1142" w:type="pct"/>
          </w:tcPr>
          <w:p w14:paraId="1E43E2CA" w14:textId="1084B1AA" w:rsidR="00E353CF" w:rsidRPr="00316837" w:rsidRDefault="00E353CF" w:rsidP="00E16180">
            <w:pPr>
              <w:spacing w:before="120" w:after="120"/>
              <w:jc w:val="left"/>
              <w:rPr>
                <w:sz w:val="18"/>
                <w:szCs w:val="18"/>
              </w:rPr>
            </w:pPr>
            <w:r w:rsidRPr="00316837">
              <w:rPr>
                <w:sz w:val="18"/>
                <w:szCs w:val="18"/>
              </w:rPr>
              <w:t>Determines how capital subsidies provided by the country or other grant sources should be incorporated within the asset base and depreciation of assets.</w:t>
            </w:r>
            <w:r w:rsidR="001D4932" w:rsidRPr="00316837">
              <w:rPr>
                <w:sz w:val="18"/>
                <w:szCs w:val="18"/>
              </w:rPr>
              <w:t xml:space="preserve"> </w:t>
            </w:r>
          </w:p>
        </w:tc>
        <w:tc>
          <w:tcPr>
            <w:tcW w:w="2720" w:type="pct"/>
            <w:shd w:val="clear" w:color="auto" w:fill="auto"/>
          </w:tcPr>
          <w:p w14:paraId="2D60284A" w14:textId="22780AB6" w:rsidR="00E353CF" w:rsidRPr="00316837" w:rsidRDefault="00E353CF" w:rsidP="002F2046">
            <w:pPr>
              <w:spacing w:before="120" w:after="120"/>
              <w:jc w:val="left"/>
              <w:rPr>
                <w:rFonts w:cs="Arial"/>
                <w:i/>
                <w:iCs/>
                <w:sz w:val="18"/>
                <w:szCs w:val="18"/>
              </w:rPr>
            </w:pPr>
            <w:r w:rsidRPr="00316837">
              <w:rPr>
                <w:rFonts w:cs="Arial"/>
                <w:i/>
                <w:iCs/>
                <w:sz w:val="18"/>
                <w:szCs w:val="18"/>
              </w:rPr>
              <w:t>The current norm is to exclude these subsidies from the RAB calculation, while many regulations make no reference to an approach for treating capital subsidies.</w:t>
            </w:r>
            <w:r w:rsidR="001D4932" w:rsidRPr="00316837">
              <w:rPr>
                <w:rFonts w:cs="Arial"/>
                <w:i/>
                <w:iCs/>
                <w:sz w:val="18"/>
                <w:szCs w:val="18"/>
              </w:rPr>
              <w:t xml:space="preserve"> </w:t>
            </w:r>
          </w:p>
        </w:tc>
      </w:tr>
    </w:tbl>
    <w:p w14:paraId="3C6854BD" w14:textId="07BF1B45" w:rsidR="00744D32" w:rsidRPr="00316837" w:rsidRDefault="00744D32" w:rsidP="00744D32">
      <w:pPr>
        <w:pStyle w:val="Heading2"/>
      </w:pPr>
      <w:bookmarkStart w:id="167" w:name="_Ref75970113"/>
      <w:bookmarkStart w:id="168" w:name="_Ref75970124"/>
      <w:bookmarkStart w:id="169" w:name="_Toc77260306"/>
      <w:r w:rsidRPr="00316837">
        <w:t>Experiences from African Countries</w:t>
      </w:r>
      <w:bookmarkEnd w:id="167"/>
      <w:bookmarkEnd w:id="168"/>
      <w:bookmarkEnd w:id="169"/>
    </w:p>
    <w:p w14:paraId="3E613376" w14:textId="2852F95C" w:rsidR="00744D32" w:rsidRPr="00316837" w:rsidRDefault="00744D32" w:rsidP="00744D32">
      <w:pPr>
        <w:pStyle w:val="Heading3"/>
      </w:pPr>
      <w:bookmarkStart w:id="170" w:name="_Toc77260307"/>
      <w:r w:rsidRPr="00316837">
        <w:t>Nigeria</w:t>
      </w:r>
      <w:bookmarkEnd w:id="170"/>
    </w:p>
    <w:p w14:paraId="628FBFC4" w14:textId="13F95A19" w:rsidR="00C43CC1" w:rsidRPr="00316837" w:rsidRDefault="00C43CC1" w:rsidP="00C43CC1">
      <w:r w:rsidRPr="00316837">
        <w:t>The Regulation</w:t>
      </w:r>
      <w:r w:rsidR="00826773" w:rsidRPr="00C632F6">
        <w:rPr>
          <w:vertAlign w:val="superscript"/>
        </w:rPr>
        <w:footnoteReference w:id="4"/>
      </w:r>
      <w:r w:rsidRPr="00C632F6">
        <w:t xml:space="preserve"> provides the isolated mini-grid operator with two options when the main grid encompasses the mini-grid, i.e. </w:t>
      </w:r>
      <w:r w:rsidRPr="00316837">
        <w:rPr>
          <w:rFonts w:cs="Arial"/>
          <w:szCs w:val="20"/>
        </w:rPr>
        <w:t xml:space="preserve">he may: </w:t>
      </w:r>
    </w:p>
    <w:p w14:paraId="3FBCB6AE" w14:textId="723F9EBD" w:rsidR="00C43CC1" w:rsidRPr="00316837" w:rsidRDefault="00C43CC1" w:rsidP="006A5033">
      <w:pPr>
        <w:pStyle w:val="ListParagraph"/>
        <w:numPr>
          <w:ilvl w:val="0"/>
          <w:numId w:val="56"/>
        </w:numPr>
        <w:spacing w:before="160" w:after="0" w:line="288" w:lineRule="auto"/>
        <w:rPr>
          <w:rFonts w:ascii="Arial" w:hAnsi="Arial" w:cs="Arial"/>
          <w:sz w:val="20"/>
          <w:szCs w:val="20"/>
          <w:lang w:val="en-GB"/>
        </w:rPr>
      </w:pPr>
      <w:r w:rsidRPr="00316837">
        <w:rPr>
          <w:rFonts w:ascii="Arial" w:hAnsi="Arial" w:cs="Arial"/>
          <w:sz w:val="20"/>
          <w:szCs w:val="20"/>
          <w:lang w:val="en-GB"/>
        </w:rPr>
        <w:t>convert the isolated mini-grid into an interconnected mini-grid, or</w:t>
      </w:r>
      <w:r w:rsidR="001D4932" w:rsidRPr="00316837">
        <w:rPr>
          <w:rFonts w:ascii="Arial" w:hAnsi="Arial" w:cs="Arial"/>
          <w:sz w:val="20"/>
          <w:szCs w:val="20"/>
          <w:lang w:val="en-GB"/>
        </w:rPr>
        <w:t xml:space="preserve"> </w:t>
      </w:r>
    </w:p>
    <w:p w14:paraId="45B905BB" w14:textId="65F412A5" w:rsidR="00C43CC1" w:rsidRPr="00316837" w:rsidRDefault="00C43CC1" w:rsidP="006A5033">
      <w:pPr>
        <w:pStyle w:val="ListParagraph"/>
        <w:numPr>
          <w:ilvl w:val="0"/>
          <w:numId w:val="56"/>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transfer all assets he does not want to remove from the mini-grid system to the distribution licensee in return for compensation. </w:t>
      </w:r>
    </w:p>
    <w:p w14:paraId="199FF420" w14:textId="00EBE4EC" w:rsidR="00744D32" w:rsidRPr="00316837" w:rsidRDefault="00744D32" w:rsidP="00744D32">
      <w:pPr>
        <w:pStyle w:val="Heading3"/>
      </w:pPr>
      <w:bookmarkStart w:id="171" w:name="_Toc77260308"/>
      <w:r w:rsidRPr="00316837">
        <w:t>Rwanda</w:t>
      </w:r>
      <w:bookmarkEnd w:id="171"/>
      <w:r w:rsidRPr="00316837">
        <w:t xml:space="preserve"> </w:t>
      </w:r>
    </w:p>
    <w:p w14:paraId="2569AE32" w14:textId="42D6A5B7" w:rsidR="00C43CC1" w:rsidRPr="00316837" w:rsidRDefault="00C43CC1" w:rsidP="00C43CC1">
      <w:r w:rsidRPr="00316837">
        <w:t>The Regulation</w:t>
      </w:r>
      <w:r w:rsidR="00826773" w:rsidRPr="00C632F6">
        <w:rPr>
          <w:vertAlign w:val="superscript"/>
        </w:rPr>
        <w:footnoteReference w:id="5"/>
      </w:r>
      <w:r w:rsidRPr="00C632F6">
        <w:t xml:space="preserve"> provides the isolated mini-grid operator with several options when the main grid arrives to the isolated mini-grid site, i.e. </w:t>
      </w:r>
      <w:r w:rsidRPr="00316837">
        <w:t xml:space="preserve">he may: </w:t>
      </w:r>
    </w:p>
    <w:p w14:paraId="624C8635" w14:textId="77777777" w:rsidR="00C43CC1" w:rsidRPr="00316837" w:rsidRDefault="00C43CC1" w:rsidP="006A5033">
      <w:pPr>
        <w:pStyle w:val="ListParagraph"/>
        <w:numPr>
          <w:ilvl w:val="0"/>
          <w:numId w:val="5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relocate assets, </w:t>
      </w:r>
    </w:p>
    <w:p w14:paraId="2CC59B7D" w14:textId="0C13DB68" w:rsidR="00C43CC1" w:rsidRPr="00316837" w:rsidRDefault="00C43CC1" w:rsidP="006A5033">
      <w:pPr>
        <w:pStyle w:val="ListParagraph"/>
        <w:numPr>
          <w:ilvl w:val="0"/>
          <w:numId w:val="5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sell parts of the assets to the utility, </w:t>
      </w:r>
    </w:p>
    <w:p w14:paraId="33EAC408" w14:textId="242DCCBB" w:rsidR="00C43CC1" w:rsidRPr="00316837" w:rsidRDefault="00C43CC1" w:rsidP="006A5033">
      <w:pPr>
        <w:pStyle w:val="ListParagraph"/>
        <w:numPr>
          <w:ilvl w:val="0"/>
          <w:numId w:val="5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become a small power producer selling electricity for a fixed renewable feed-in tariff, and/or </w:t>
      </w:r>
    </w:p>
    <w:p w14:paraId="506F3488" w14:textId="77777777" w:rsidR="00C43CC1" w:rsidRPr="00316837" w:rsidRDefault="00C43CC1" w:rsidP="006A5033">
      <w:pPr>
        <w:pStyle w:val="ListParagraph"/>
        <w:numPr>
          <w:ilvl w:val="0"/>
          <w:numId w:val="5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become a distributor of electricity purchased from the main grid. </w:t>
      </w:r>
    </w:p>
    <w:p w14:paraId="553F2623" w14:textId="0DB9A276" w:rsidR="00C43CC1" w:rsidRPr="00316837" w:rsidRDefault="00C43CC1" w:rsidP="00C43CC1">
      <w:r w:rsidRPr="00316837">
        <w:t xml:space="preserve">The terms are still not explicit enough to remove all private developers’ uncertainty regarding grid arrival. RURA provides mediation or conflict resolution in case the utility and mini-grid operators cannot reach agreement on a purchase price or compensation. RURA is mandated to consider the mini-grid operator’s effort in familiarizing customers with electricity services over years. </w:t>
      </w:r>
      <w:r w:rsidR="00566C52" w:rsidRPr="00316837">
        <w:t>Any asset’s sales price is to be based on the net book value of the fixed asset indexed with the consumer price index and based on generally accepted accounting principles: the value of current assets minus the current liabilities, plus the present value of expected net profits over the remainder of the isolated grid licence and based on a discount rate provided by the authority.</w:t>
      </w:r>
      <w:r w:rsidR="001D4932" w:rsidRPr="00316837">
        <w:t xml:space="preserve"> </w:t>
      </w:r>
    </w:p>
    <w:p w14:paraId="6EB7E70E" w14:textId="63147763" w:rsidR="00744D32" w:rsidRPr="00316837" w:rsidRDefault="00744D32" w:rsidP="00744D32">
      <w:pPr>
        <w:pStyle w:val="Heading3"/>
      </w:pPr>
      <w:bookmarkStart w:id="172" w:name="_Toc77260309"/>
      <w:r w:rsidRPr="00316837">
        <w:t>Tanzania</w:t>
      </w:r>
      <w:bookmarkEnd w:id="172"/>
      <w:r w:rsidRPr="00316837">
        <w:t xml:space="preserve"> </w:t>
      </w:r>
    </w:p>
    <w:p w14:paraId="0CFCB683" w14:textId="5E5B4121" w:rsidR="00C43CC1" w:rsidRPr="00316837" w:rsidRDefault="00C43CC1" w:rsidP="00C43CC1">
      <w:r w:rsidRPr="00316837">
        <w:t>The Regulation</w:t>
      </w:r>
      <w:r w:rsidRPr="00C632F6">
        <w:rPr>
          <w:vertAlign w:val="superscript"/>
        </w:rPr>
        <w:footnoteReference w:id="6"/>
      </w:r>
      <w:r w:rsidRPr="00C632F6">
        <w:t xml:space="preserve"> provides the isolated mini-grid operator with several options when upon the arrival of the main grid, i.e. he may: </w:t>
      </w:r>
    </w:p>
    <w:p w14:paraId="55F264C1" w14:textId="1182B5B9" w:rsidR="00C43CC1" w:rsidRPr="00316837" w:rsidRDefault="00C43CC1" w:rsidP="006A5033">
      <w:pPr>
        <w:pStyle w:val="ListParagraph"/>
        <w:numPr>
          <w:ilvl w:val="0"/>
          <w:numId w:val="5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interconnect and operate as a small power producer (selling wholesale electricity to TANESCO), </w:t>
      </w:r>
    </w:p>
    <w:p w14:paraId="4F101D8C" w14:textId="4B658A98" w:rsidR="00C43CC1" w:rsidRPr="00316837" w:rsidRDefault="00C43CC1" w:rsidP="006A5033">
      <w:pPr>
        <w:pStyle w:val="ListParagraph"/>
        <w:numPr>
          <w:ilvl w:val="0"/>
          <w:numId w:val="5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interconnect and operate as a small power distributor (purchasing wholesale electricity from TANESCO), </w:t>
      </w:r>
    </w:p>
    <w:p w14:paraId="384A711B" w14:textId="3D88EFA5" w:rsidR="00C43CC1" w:rsidRPr="00316837" w:rsidRDefault="00C43CC1" w:rsidP="006A5033">
      <w:pPr>
        <w:pStyle w:val="ListParagraph"/>
        <w:numPr>
          <w:ilvl w:val="0"/>
          <w:numId w:val="5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interconnect and operate as both a small power producer and a small power distributor, </w:t>
      </w:r>
      <w:r w:rsidR="001D4932" w:rsidRPr="00316837">
        <w:rPr>
          <w:rFonts w:ascii="Arial" w:hAnsi="Arial" w:cs="Arial"/>
          <w:sz w:val="20"/>
          <w:szCs w:val="20"/>
          <w:lang w:val="en-GB"/>
        </w:rPr>
        <w:t xml:space="preserve">and </w:t>
      </w:r>
    </w:p>
    <w:p w14:paraId="1AE1EC35" w14:textId="259A4EA1" w:rsidR="00C43CC1" w:rsidRPr="00316837" w:rsidRDefault="00C43CC1" w:rsidP="006A5033">
      <w:pPr>
        <w:pStyle w:val="ListParagraph"/>
        <w:numPr>
          <w:ilvl w:val="0"/>
          <w:numId w:val="58"/>
        </w:numPr>
        <w:spacing w:before="160" w:after="0" w:line="288" w:lineRule="auto"/>
        <w:rPr>
          <w:rFonts w:ascii="Arial" w:hAnsi="Arial" w:cs="Arial"/>
          <w:sz w:val="20"/>
          <w:szCs w:val="20"/>
          <w:lang w:val="en-GB"/>
        </w:rPr>
      </w:pPr>
      <w:r w:rsidRPr="00316837">
        <w:rPr>
          <w:rFonts w:ascii="Arial" w:hAnsi="Arial" w:cs="Arial"/>
          <w:sz w:val="20"/>
          <w:szCs w:val="20"/>
          <w:lang w:val="en-GB"/>
        </w:rPr>
        <w:lastRenderedPageBreak/>
        <w:t>be compensated for the distribution assets if they chose not to interconnect and complied with necessary standards. Compensation is limited to those cases in which the main grid arrives within two to fifteen years of the mini grid’s commercial date of operation. The compensation amount is limited to the replacement cost of based on the REA’s average capital cost for installing distribution in rural areas measured on a cost per kilometre basis, minus depreciation measured from the date when the mini-grid’s assets were installed.</w:t>
      </w:r>
      <w:r w:rsidR="001D4932" w:rsidRPr="00316837">
        <w:rPr>
          <w:rFonts w:ascii="Arial" w:hAnsi="Arial" w:cs="Arial"/>
          <w:sz w:val="20"/>
          <w:szCs w:val="20"/>
          <w:lang w:val="en-GB"/>
        </w:rPr>
        <w:t xml:space="preserve"> </w:t>
      </w:r>
    </w:p>
    <w:p w14:paraId="31C0A4D3" w14:textId="6949EEA1" w:rsidR="00744D32" w:rsidRPr="00316837" w:rsidRDefault="00744D32" w:rsidP="00744D32">
      <w:pPr>
        <w:pStyle w:val="Heading3"/>
      </w:pPr>
      <w:bookmarkStart w:id="173" w:name="_Toc77260310"/>
      <w:r w:rsidRPr="00316837">
        <w:t>Zambia</w:t>
      </w:r>
      <w:bookmarkEnd w:id="173"/>
    </w:p>
    <w:p w14:paraId="593A5E44" w14:textId="2BC72E16" w:rsidR="00826773" w:rsidRPr="00681DAA" w:rsidRDefault="00826773" w:rsidP="00826773">
      <w:r w:rsidRPr="00316837">
        <w:t>The Regulation</w:t>
      </w:r>
      <w:r w:rsidRPr="00C632F6">
        <w:rPr>
          <w:vertAlign w:val="superscript"/>
        </w:rPr>
        <w:footnoteReference w:id="7"/>
      </w:r>
      <w:r w:rsidRPr="00C632F6">
        <w:t xml:space="preserve"> allows the following options for grid encroa</w:t>
      </w:r>
      <w:r w:rsidRPr="00681DAA">
        <w:t>chment:</w:t>
      </w:r>
      <w:r w:rsidR="001D4932" w:rsidRPr="00681DAA">
        <w:t xml:space="preserve"> </w:t>
      </w:r>
    </w:p>
    <w:p w14:paraId="11EAA3C5" w14:textId="6317CBD5" w:rsidR="00826773" w:rsidRPr="00316837" w:rsidRDefault="00826773" w:rsidP="006A5033">
      <w:pPr>
        <w:pStyle w:val="ListParagraph"/>
        <w:numPr>
          <w:ilvl w:val="0"/>
          <w:numId w:val="5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main grid acquires only the client base and builds a completely new distribution network. </w:t>
      </w:r>
      <w:bookmarkStart w:id="174" w:name="_Hlk75297040"/>
      <w:r w:rsidRPr="00316837">
        <w:rPr>
          <w:rFonts w:ascii="Arial" w:hAnsi="Arial" w:cs="Arial"/>
          <w:sz w:val="20"/>
          <w:szCs w:val="20"/>
          <w:lang w:val="en-GB"/>
        </w:rPr>
        <w:t>The mini-grid operator</w:t>
      </w:r>
      <w:bookmarkEnd w:id="174"/>
      <w:r w:rsidRPr="00316837">
        <w:rPr>
          <w:rFonts w:ascii="Arial" w:hAnsi="Arial" w:cs="Arial"/>
          <w:sz w:val="20"/>
          <w:szCs w:val="20"/>
          <w:lang w:val="en-GB"/>
        </w:rPr>
        <w:t xml:space="preserve"> abandons all assets of the mini-grid and removes from the area; </w:t>
      </w:r>
    </w:p>
    <w:p w14:paraId="71998A44" w14:textId="1CA57A17" w:rsidR="00826773" w:rsidRPr="00316837" w:rsidRDefault="00826773" w:rsidP="006A5033">
      <w:pPr>
        <w:pStyle w:val="ListParagraph"/>
        <w:numPr>
          <w:ilvl w:val="0"/>
          <w:numId w:val="5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main grid acquires the client base and the distribution network of the mini-grid. The mini-grid operator disconnects and abandons all generation and storage assets of the mini-grid and removes from the area; </w:t>
      </w:r>
    </w:p>
    <w:p w14:paraId="2A5A3A68" w14:textId="73166D89" w:rsidR="00826773" w:rsidRPr="00316837" w:rsidRDefault="00826773" w:rsidP="006A5033">
      <w:pPr>
        <w:pStyle w:val="ListParagraph"/>
        <w:numPr>
          <w:ilvl w:val="0"/>
          <w:numId w:val="5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main grid acquires the client base and the complete distribution network, generation and storage assets of the mini-grid; </w:t>
      </w:r>
    </w:p>
    <w:p w14:paraId="627F6A3E" w14:textId="16D09B7F" w:rsidR="00826773" w:rsidRPr="00316837" w:rsidRDefault="00826773" w:rsidP="006A5033">
      <w:pPr>
        <w:pStyle w:val="ListParagraph"/>
        <w:numPr>
          <w:ilvl w:val="0"/>
          <w:numId w:val="5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mini-grid operator becomes a small power distributor for the main grid. The mini-grid operator discontinues operation of his generation and storage assets and resells only electricity from the main grid as a retailer. The customer base remains with the mini-grid operator; </w:t>
      </w:r>
    </w:p>
    <w:p w14:paraId="4D1BAAC8" w14:textId="4EBE37A5" w:rsidR="00826773" w:rsidRPr="00316837" w:rsidRDefault="00826773" w:rsidP="006A5033">
      <w:pPr>
        <w:pStyle w:val="ListParagraph"/>
        <w:numPr>
          <w:ilvl w:val="0"/>
          <w:numId w:val="5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mini-grid operator becomes a small power producer or integrated/embedded power producer. The mini-grid operator sells all is generated electricity to the main grid. The main grid acquires the client base and the distribution network of the mini-grid from the mini-grid operator; </w:t>
      </w:r>
      <w:r w:rsidR="001D4932" w:rsidRPr="00316837">
        <w:rPr>
          <w:rFonts w:ascii="Arial" w:hAnsi="Arial" w:cs="Arial"/>
          <w:sz w:val="20"/>
          <w:szCs w:val="20"/>
          <w:lang w:val="en-GB"/>
        </w:rPr>
        <w:t xml:space="preserve">and </w:t>
      </w:r>
    </w:p>
    <w:p w14:paraId="3973A7D4" w14:textId="431C911A" w:rsidR="00826773" w:rsidRPr="00316837" w:rsidRDefault="00826773" w:rsidP="006A5033">
      <w:pPr>
        <w:pStyle w:val="ListParagraph"/>
        <w:numPr>
          <w:ilvl w:val="0"/>
          <w:numId w:val="59"/>
        </w:numPr>
        <w:spacing w:before="160" w:after="0" w:line="288" w:lineRule="auto"/>
        <w:rPr>
          <w:rFonts w:ascii="Arial" w:hAnsi="Arial" w:cs="Arial"/>
          <w:sz w:val="20"/>
          <w:szCs w:val="20"/>
          <w:lang w:val="en-GB"/>
        </w:rPr>
      </w:pPr>
      <w:r w:rsidRPr="00316837">
        <w:rPr>
          <w:rFonts w:ascii="Arial" w:hAnsi="Arial" w:cs="Arial"/>
          <w:sz w:val="20"/>
          <w:szCs w:val="20"/>
          <w:lang w:val="en-GB"/>
        </w:rPr>
        <w:t>The mini-grid operator and the main grid conclude contract for net-metering. In case of excess electricity from the mini-grid, the mini-grid operator has the right to sell the excess electricity to the main grid. In case of electricity deficit, the main grid delivers the requested electricity to the mini-grid operator. The prices of selling and buying are subject to a net-metering agreement.</w:t>
      </w:r>
    </w:p>
    <w:p w14:paraId="38665797" w14:textId="7F8F4020" w:rsidR="00744D32" w:rsidRPr="00316837" w:rsidRDefault="00744D32" w:rsidP="00744D32">
      <w:pPr>
        <w:pStyle w:val="Heading3"/>
      </w:pPr>
      <w:bookmarkStart w:id="175" w:name="_Toc77260311"/>
      <w:r w:rsidRPr="00316837">
        <w:t>The Gambia</w:t>
      </w:r>
      <w:bookmarkEnd w:id="175"/>
    </w:p>
    <w:p w14:paraId="285D748B" w14:textId="5250E63E" w:rsidR="00BA2342" w:rsidRPr="00681DAA" w:rsidRDefault="00BA2342" w:rsidP="00BA2342">
      <w:pPr>
        <w:rPr>
          <w:rFonts w:eastAsia="Calibri"/>
          <w:szCs w:val="22"/>
        </w:rPr>
      </w:pPr>
      <w:r w:rsidRPr="00316837">
        <w:rPr>
          <w:rFonts w:eastAsia="Calibri"/>
          <w:szCs w:val="22"/>
        </w:rPr>
        <w:t>The Regulation</w:t>
      </w:r>
      <w:r w:rsidRPr="00C632F6">
        <w:rPr>
          <w:rFonts w:eastAsia="Calibri"/>
          <w:szCs w:val="22"/>
          <w:vertAlign w:val="superscript"/>
        </w:rPr>
        <w:footnoteReference w:id="8"/>
      </w:r>
      <w:r w:rsidRPr="00C632F6">
        <w:rPr>
          <w:rFonts w:eastAsia="Calibri"/>
          <w:szCs w:val="22"/>
        </w:rPr>
        <w:t xml:space="preserve"> permits the mini-grid operator to choose between the following three options:</w:t>
      </w:r>
    </w:p>
    <w:p w14:paraId="244CBBA3" w14:textId="4498ECB6" w:rsidR="00BA2342" w:rsidRPr="00316837" w:rsidRDefault="00BA2342" w:rsidP="006A5033">
      <w:pPr>
        <w:pStyle w:val="ListParagraph"/>
        <w:numPr>
          <w:ilvl w:val="0"/>
          <w:numId w:val="60"/>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Outright sale – sell all network and renewable generation assets to the utility operating the grid; </w:t>
      </w:r>
    </w:p>
    <w:p w14:paraId="2EC71D1B" w14:textId="7AC740F8" w:rsidR="00BA2342" w:rsidRPr="00316837" w:rsidRDefault="00BA2342" w:rsidP="006A5033">
      <w:pPr>
        <w:pStyle w:val="ListParagraph"/>
        <w:numPr>
          <w:ilvl w:val="0"/>
          <w:numId w:val="60"/>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Independent power producer – sell network assets to the utility and continue to generate electricity as an IPP for sale to the utility or other customers (as permitted by other regulations, e.g., third party / open access, feed-in tariffs, net-metering, or a power purchase agreement); and </w:t>
      </w:r>
    </w:p>
    <w:p w14:paraId="27B453D3" w14:textId="5D4710EB" w:rsidR="00BA2342" w:rsidRPr="00316837" w:rsidRDefault="00BA2342" w:rsidP="006A5033">
      <w:pPr>
        <w:pStyle w:val="ListParagraph"/>
        <w:numPr>
          <w:ilvl w:val="0"/>
          <w:numId w:val="60"/>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Small power distributor – continue to operate the distribution network, with the generation component being retained with the possibility of bi-directional flow of power between the mini-grid and the utility. In essence this option allows the operation as a grid-connected mini-grid. </w:t>
      </w:r>
    </w:p>
    <w:p w14:paraId="0A60DE4B" w14:textId="6277B9A4" w:rsidR="00BA2342" w:rsidRPr="00316837" w:rsidRDefault="00BA2342" w:rsidP="00BA2342">
      <w:pPr>
        <w:pStyle w:val="Heading3"/>
      </w:pPr>
      <w:bookmarkStart w:id="176" w:name="_Toc77260312"/>
      <w:r w:rsidRPr="00316837">
        <w:t>Sierra Leone</w:t>
      </w:r>
      <w:bookmarkEnd w:id="176"/>
      <w:r w:rsidRPr="00316837">
        <w:t xml:space="preserve"> </w:t>
      </w:r>
    </w:p>
    <w:p w14:paraId="4CFF9EB5" w14:textId="77777777" w:rsidR="00BA2342" w:rsidRPr="00681DAA" w:rsidRDefault="00BA2342" w:rsidP="00BA2342">
      <w:pPr>
        <w:rPr>
          <w:rFonts w:cs="Arial"/>
          <w:szCs w:val="20"/>
        </w:rPr>
      </w:pPr>
      <w:r w:rsidRPr="00316837">
        <w:rPr>
          <w:rFonts w:cs="Arial"/>
          <w:szCs w:val="20"/>
        </w:rPr>
        <w:t>Based on the type of licence granted, the arrival of the main grid could have two different types of impacts</w:t>
      </w:r>
      <w:r w:rsidRPr="00C632F6">
        <w:rPr>
          <w:rFonts w:cs="Arial"/>
          <w:szCs w:val="20"/>
          <w:vertAlign w:val="superscript"/>
        </w:rPr>
        <w:footnoteReference w:id="9"/>
      </w:r>
      <w:r w:rsidRPr="00C632F6">
        <w:rPr>
          <w:rFonts w:cs="Arial"/>
          <w:szCs w:val="20"/>
        </w:rPr>
        <w:t xml:space="preserve">: </w:t>
      </w:r>
    </w:p>
    <w:p w14:paraId="057863CB" w14:textId="1106E37F" w:rsidR="00BA2342" w:rsidRPr="00316837" w:rsidRDefault="00BA2342" w:rsidP="006A5033">
      <w:pPr>
        <w:pStyle w:val="ListParagraph"/>
        <w:numPr>
          <w:ilvl w:val="0"/>
          <w:numId w:val="61"/>
        </w:numPr>
        <w:spacing w:before="160" w:after="0" w:line="288" w:lineRule="auto"/>
        <w:rPr>
          <w:rFonts w:ascii="Arial" w:hAnsi="Arial" w:cs="Arial"/>
          <w:sz w:val="20"/>
          <w:szCs w:val="20"/>
          <w:lang w:val="en-GB"/>
        </w:rPr>
      </w:pPr>
      <w:r w:rsidRPr="00316837">
        <w:rPr>
          <w:rFonts w:ascii="Arial" w:hAnsi="Arial" w:cs="Arial"/>
          <w:sz w:val="20"/>
          <w:szCs w:val="20"/>
          <w:lang w:val="en-GB"/>
        </w:rPr>
        <w:lastRenderedPageBreak/>
        <w:t xml:space="preserve">For the basic licence holder (i.e. where the tariff is set by mutual agreement by the licensee and the consumers), the arrival of the main grid or full mini-grid licenced project would require it to decommission and remove its assets within two months without being entitled to any refund or compensation; and </w:t>
      </w:r>
    </w:p>
    <w:p w14:paraId="769914A5" w14:textId="0011B7D1" w:rsidR="00BA2342" w:rsidRPr="00316837" w:rsidRDefault="00BA2342" w:rsidP="006A5033">
      <w:pPr>
        <w:pStyle w:val="ListParagraph"/>
        <w:numPr>
          <w:ilvl w:val="0"/>
          <w:numId w:val="61"/>
        </w:numPr>
        <w:spacing w:before="160" w:after="0" w:line="288" w:lineRule="auto"/>
        <w:rPr>
          <w:rFonts w:ascii="Arial" w:hAnsi="Arial" w:cs="Arial"/>
          <w:sz w:val="20"/>
          <w:szCs w:val="20"/>
          <w:lang w:val="en-GB"/>
        </w:rPr>
      </w:pPr>
      <w:r w:rsidRPr="00316837">
        <w:rPr>
          <w:rFonts w:ascii="Arial" w:hAnsi="Arial" w:cs="Arial"/>
          <w:sz w:val="20"/>
          <w:szCs w:val="20"/>
          <w:lang w:val="en-GB"/>
        </w:rPr>
        <w:t>For the full licence holder (i.e. where the tariff is set by the national regulatory authority), on arrival of the main grid, the licence can be converted into an interconnected mini-grid contract or the developer can remove all its assets. If it chooses to remove its assets, the developer will get financial compensation equivalent to the remaining depreciated value of the privately financed assets. In addition, it will also be able to receive development and construction costs, as defined during the tariff determination by the commission plus one audited</w:t>
      </w:r>
      <w:r w:rsidR="00566C52" w:rsidRPr="00316837">
        <w:rPr>
          <w:lang w:val="en-GB"/>
        </w:rPr>
        <w:t xml:space="preserve"> </w:t>
      </w:r>
      <w:r w:rsidR="00566C52" w:rsidRPr="00316837">
        <w:rPr>
          <w:rFonts w:ascii="Arial" w:hAnsi="Arial" w:cs="Arial"/>
          <w:sz w:val="20"/>
          <w:szCs w:val="20"/>
          <w:lang w:val="en-GB"/>
        </w:rPr>
        <w:t>annual revenue generated from the mini-grid</w:t>
      </w:r>
      <w:r w:rsidRPr="00316837">
        <w:rPr>
          <w:rFonts w:ascii="Arial" w:hAnsi="Arial" w:cs="Arial"/>
          <w:sz w:val="20"/>
          <w:szCs w:val="20"/>
          <w:lang w:val="en-GB"/>
        </w:rPr>
        <w:t xml:space="preserve">. </w:t>
      </w:r>
    </w:p>
    <w:p w14:paraId="4E7E8B3E" w14:textId="41B65D0E" w:rsidR="00744D32" w:rsidRPr="00316837" w:rsidRDefault="00744D32" w:rsidP="00744D32">
      <w:pPr>
        <w:pStyle w:val="Heading2"/>
        <w:rPr>
          <w:rFonts w:eastAsia="Calibri"/>
        </w:rPr>
      </w:pPr>
      <w:bookmarkStart w:id="177" w:name="_Toc77260313"/>
      <w:r w:rsidRPr="00316837">
        <w:rPr>
          <w:rFonts w:eastAsia="Calibri"/>
        </w:rPr>
        <w:t>Way Forward</w:t>
      </w:r>
      <w:bookmarkEnd w:id="177"/>
    </w:p>
    <w:p w14:paraId="5F2BFE9B" w14:textId="521C742E" w:rsidR="00CF0A0C" w:rsidRPr="00681DAA" w:rsidRDefault="00CF0A0C" w:rsidP="00CF0A0C">
      <w:pPr>
        <w:rPr>
          <w:rFonts w:eastAsia="Calibri"/>
        </w:rPr>
      </w:pPr>
      <w:r w:rsidRPr="00316837">
        <w:rPr>
          <w:rFonts w:eastAsia="Calibri"/>
        </w:rPr>
        <w:t>The national regulatory authority should be entrusted to ensure that the public has access to safe and reliable electricity. When creating the regulations governing the connection of mini-grids to the main grid, they must balance the potential that mini-grids provide to expand the reach of the grid with the need to provide safe and affordable electricity to the public. A good connection regulation should address five points</w:t>
      </w:r>
      <w:r w:rsidRPr="00C632F6">
        <w:rPr>
          <w:rFonts w:eastAsia="Calibri"/>
          <w:vertAlign w:val="superscript"/>
        </w:rPr>
        <w:footnoteReference w:id="10"/>
      </w:r>
      <w:r w:rsidRPr="00C632F6">
        <w:rPr>
          <w:rFonts w:eastAsia="Calibri"/>
        </w:rPr>
        <w:t xml:space="preserve">: </w:t>
      </w:r>
    </w:p>
    <w:p w14:paraId="35D3799E" w14:textId="77777777" w:rsidR="00CF0A0C" w:rsidRPr="00316837" w:rsidRDefault="00CF0A0C" w:rsidP="006A5033">
      <w:pPr>
        <w:pStyle w:val="ListParagraph"/>
        <w:numPr>
          <w:ilvl w:val="0"/>
          <w:numId w:val="6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Define the process for applying for connection; </w:t>
      </w:r>
    </w:p>
    <w:p w14:paraId="0CED7F2A" w14:textId="77777777" w:rsidR="00CF0A0C" w:rsidRPr="00316837" w:rsidRDefault="00CF0A0C" w:rsidP="006A5033">
      <w:pPr>
        <w:pStyle w:val="ListParagraph"/>
        <w:numPr>
          <w:ilvl w:val="0"/>
          <w:numId w:val="6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Identify who is responsible for the required analyses and systems upgrades; </w:t>
      </w:r>
    </w:p>
    <w:p w14:paraId="0E341CCB" w14:textId="77777777" w:rsidR="00CF0A0C" w:rsidRPr="00316837" w:rsidRDefault="00CF0A0C" w:rsidP="006A5033">
      <w:pPr>
        <w:pStyle w:val="ListParagraph"/>
        <w:numPr>
          <w:ilvl w:val="0"/>
          <w:numId w:val="6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Outline safety and protection requirements; </w:t>
      </w:r>
    </w:p>
    <w:p w14:paraId="00414382" w14:textId="77777777" w:rsidR="00CF0A0C" w:rsidRPr="00316837" w:rsidRDefault="00CF0A0C" w:rsidP="006A5033">
      <w:pPr>
        <w:pStyle w:val="ListParagraph"/>
        <w:numPr>
          <w:ilvl w:val="0"/>
          <w:numId w:val="6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Outline the required connection testing and the commissioning process; and </w:t>
      </w:r>
    </w:p>
    <w:p w14:paraId="62C788B3" w14:textId="495E686E" w:rsidR="00CF0A0C" w:rsidRPr="00316837" w:rsidRDefault="00CF0A0C" w:rsidP="006A5033">
      <w:pPr>
        <w:pStyle w:val="ListParagraph"/>
        <w:numPr>
          <w:ilvl w:val="0"/>
          <w:numId w:val="62"/>
        </w:numPr>
        <w:spacing w:before="160" w:after="0" w:line="288" w:lineRule="auto"/>
        <w:rPr>
          <w:rFonts w:ascii="Arial" w:hAnsi="Arial" w:cs="Arial"/>
          <w:sz w:val="20"/>
          <w:szCs w:val="20"/>
          <w:lang w:val="en-GB"/>
        </w:rPr>
      </w:pPr>
      <w:r w:rsidRPr="00316837">
        <w:rPr>
          <w:rFonts w:ascii="Arial" w:hAnsi="Arial" w:cs="Arial"/>
          <w:sz w:val="20"/>
          <w:szCs w:val="20"/>
          <w:lang w:val="en-GB"/>
        </w:rPr>
        <w:t>List any required communication and data exchange requirements with the utility and the national regulatory authority.</w:t>
      </w:r>
      <w:r w:rsidR="001D4932" w:rsidRPr="00316837">
        <w:rPr>
          <w:rFonts w:ascii="Arial" w:hAnsi="Arial" w:cs="Arial"/>
          <w:sz w:val="20"/>
          <w:szCs w:val="20"/>
          <w:lang w:val="en-GB"/>
        </w:rPr>
        <w:t xml:space="preserve"> </w:t>
      </w:r>
    </w:p>
    <w:p w14:paraId="7EE2F0EE" w14:textId="77777777" w:rsidR="00CF0A0C" w:rsidRPr="00316837" w:rsidRDefault="00CF0A0C" w:rsidP="00CF0A0C">
      <w:pPr>
        <w:rPr>
          <w:rFonts w:eastAsia="Calibri"/>
        </w:rPr>
      </w:pPr>
      <w:r w:rsidRPr="00316837">
        <w:rPr>
          <w:rFonts w:eastAsia="Calibri"/>
        </w:rPr>
        <w:t xml:space="preserve">In most cases, the connection of mini-grids can be effectively addressed by the Grid Codes if these are updated to accommodate new generation technologies and effective regulation for smaller generators. </w:t>
      </w:r>
    </w:p>
    <w:p w14:paraId="1BD416E5" w14:textId="45D9157C" w:rsidR="00CF0A0C" w:rsidRPr="00316837" w:rsidRDefault="00CF0A0C" w:rsidP="00CF0A0C">
      <w:pPr>
        <w:rPr>
          <w:rFonts w:eastAsia="Calibri"/>
        </w:rPr>
      </w:pPr>
      <w:r w:rsidRPr="00316837">
        <w:rPr>
          <w:rFonts w:eastAsia="Calibri"/>
        </w:rPr>
        <w:t>Finally, specific provisions should be made not only concerning the options for grid interconnection, but also a specific framework for setting tariffs after this interconnection has taken place.</w:t>
      </w:r>
      <w:r w:rsidR="001D4932" w:rsidRPr="00316837">
        <w:rPr>
          <w:rFonts w:eastAsia="Calibri"/>
        </w:rPr>
        <w:t xml:space="preserve"> </w:t>
      </w:r>
    </w:p>
    <w:p w14:paraId="34C03F68" w14:textId="77777777" w:rsidR="00A21496" w:rsidRPr="00316837" w:rsidRDefault="00A21496" w:rsidP="00F65FDD">
      <w:pPr>
        <w:rPr>
          <w:rFonts w:eastAsia="Calibri"/>
          <w:szCs w:val="22"/>
        </w:rPr>
      </w:pPr>
    </w:p>
    <w:p w14:paraId="6F8F0004" w14:textId="77777777" w:rsidR="005B5A09" w:rsidRPr="00316837" w:rsidRDefault="005B5A09" w:rsidP="0074334B">
      <w:pPr>
        <w:spacing w:before="0" w:line="240" w:lineRule="auto"/>
        <w:jc w:val="left"/>
        <w:sectPr w:rsidR="005B5A09" w:rsidRPr="00316837" w:rsidSect="00A3058D">
          <w:pgSz w:w="11907" w:h="16839" w:code="9"/>
          <w:pgMar w:top="510" w:right="1134" w:bottom="964" w:left="1134" w:header="720" w:footer="567" w:gutter="0"/>
          <w:cols w:space="720"/>
          <w:formProt w:val="0"/>
          <w:docGrid w:linePitch="286"/>
        </w:sectPr>
      </w:pPr>
    </w:p>
    <w:p w14:paraId="17F99F37" w14:textId="33D01949" w:rsidR="002141D1" w:rsidRPr="00316837" w:rsidRDefault="00A12120" w:rsidP="00F65FDD">
      <w:pPr>
        <w:pStyle w:val="Heading1"/>
      </w:pPr>
      <w:bookmarkStart w:id="178" w:name="_Toc77260314"/>
      <w:r w:rsidRPr="00C632F6">
        <w:rPr>
          <w:caps w:val="0"/>
        </w:rPr>
        <w:lastRenderedPageBreak/>
        <w:t xml:space="preserve">GUIDELINES FOR </w:t>
      </w:r>
      <w:r w:rsidR="00744D32" w:rsidRPr="00316837">
        <w:rPr>
          <w:caps w:val="0"/>
        </w:rPr>
        <w:t>TECHNICAL AND OPERATIONAL READINESS</w:t>
      </w:r>
      <w:bookmarkEnd w:id="178"/>
      <w:r w:rsidRPr="00316837">
        <w:rPr>
          <w:caps w:val="0"/>
        </w:rPr>
        <w:t xml:space="preserve"> </w:t>
      </w:r>
    </w:p>
    <w:p w14:paraId="5E5014DA" w14:textId="64B861F7" w:rsidR="006E7E9E" w:rsidRPr="00316837" w:rsidRDefault="001D4932" w:rsidP="006E7E9E">
      <w:pPr>
        <w:rPr>
          <w:rFonts w:eastAsia="Calibri"/>
        </w:rPr>
      </w:pPr>
      <w:r w:rsidRPr="00316837">
        <w:rPr>
          <w:rFonts w:eastAsia="Calibri"/>
        </w:rPr>
        <w:t>T</w:t>
      </w:r>
      <w:r w:rsidR="006E7E9E" w:rsidRPr="00316837">
        <w:rPr>
          <w:rFonts w:eastAsia="Calibri"/>
        </w:rPr>
        <w:t xml:space="preserve">he Technical and Operational Guidelines </w:t>
      </w:r>
      <w:r w:rsidRPr="00316837">
        <w:rPr>
          <w:rFonts w:eastAsia="Calibri"/>
        </w:rPr>
        <w:t>are described hereafter, e</w:t>
      </w:r>
      <w:r w:rsidR="006E7E9E" w:rsidRPr="00316837">
        <w:rPr>
          <w:rFonts w:eastAsia="Calibri"/>
        </w:rPr>
        <w:t>xplain</w:t>
      </w:r>
      <w:r w:rsidRPr="00316837">
        <w:rPr>
          <w:rFonts w:eastAsia="Calibri"/>
        </w:rPr>
        <w:t>ing</w:t>
      </w:r>
      <w:r w:rsidR="006E7E9E" w:rsidRPr="00316837">
        <w:rPr>
          <w:rFonts w:eastAsia="Calibri"/>
        </w:rPr>
        <w:t xml:space="preserve"> the significance of each for implementation of AfSEM. These Guidelines are expected to enhance cross-border electricity trades by encouraging more electricity transactions, at intra- and inter-Power Pool levels.</w:t>
      </w:r>
      <w:r w:rsidRPr="00316837">
        <w:rPr>
          <w:rFonts w:eastAsia="Calibri"/>
        </w:rPr>
        <w:t xml:space="preserve"> </w:t>
      </w:r>
    </w:p>
    <w:p w14:paraId="52B2EFF7" w14:textId="7540B40C" w:rsidR="00BC37E5" w:rsidRPr="00316837" w:rsidRDefault="00A12120" w:rsidP="00B3656B">
      <w:pPr>
        <w:pStyle w:val="Heading2"/>
        <w:rPr>
          <w:rFonts w:eastAsia="Calibri"/>
        </w:rPr>
      </w:pPr>
      <w:bookmarkStart w:id="179" w:name="_Toc77260315"/>
      <w:r w:rsidRPr="00316837">
        <w:rPr>
          <w:rFonts w:eastAsia="Calibri"/>
        </w:rPr>
        <w:t xml:space="preserve">Guidelines 1: </w:t>
      </w:r>
      <w:r w:rsidR="00744D32" w:rsidRPr="00316837">
        <w:rPr>
          <w:rFonts w:eastAsia="Calibri"/>
        </w:rPr>
        <w:t>Role</w:t>
      </w:r>
      <w:r w:rsidR="00681DAA">
        <w:rPr>
          <w:rFonts w:eastAsia="Calibri"/>
        </w:rPr>
        <w:t>s</w:t>
      </w:r>
      <w:r w:rsidR="00744D32" w:rsidRPr="00681DAA">
        <w:rPr>
          <w:rFonts w:eastAsia="Calibri"/>
        </w:rPr>
        <w:t xml:space="preserve"> of </w:t>
      </w:r>
      <w:r w:rsidR="00F45B8A" w:rsidRPr="00316837">
        <w:rPr>
          <w:rFonts w:eastAsia="Calibri"/>
        </w:rPr>
        <w:t>System Operators (</w:t>
      </w:r>
      <w:r w:rsidR="00744D32" w:rsidRPr="00316837">
        <w:rPr>
          <w:rFonts w:eastAsia="Calibri"/>
        </w:rPr>
        <w:t>National</w:t>
      </w:r>
      <w:r w:rsidR="00F45B8A" w:rsidRPr="00316837">
        <w:rPr>
          <w:rFonts w:eastAsia="Calibri"/>
        </w:rPr>
        <w:t xml:space="preserve"> TSOs</w:t>
      </w:r>
      <w:r w:rsidR="00744D32" w:rsidRPr="00316837">
        <w:rPr>
          <w:rFonts w:eastAsia="Calibri"/>
        </w:rPr>
        <w:t xml:space="preserve">, </w:t>
      </w:r>
      <w:r w:rsidR="006E7E9E" w:rsidRPr="00316837">
        <w:rPr>
          <w:rFonts w:eastAsia="Calibri"/>
        </w:rPr>
        <w:t xml:space="preserve">Control </w:t>
      </w:r>
      <w:r w:rsidR="00AD70E2" w:rsidRPr="00316837">
        <w:rPr>
          <w:rFonts w:eastAsia="Calibri"/>
        </w:rPr>
        <w:t>Area Operators</w:t>
      </w:r>
      <w:r w:rsidR="00F45B8A" w:rsidRPr="00316837">
        <w:rPr>
          <w:rFonts w:eastAsia="Calibri"/>
        </w:rPr>
        <w:t>, and RSMOs)</w:t>
      </w:r>
      <w:bookmarkEnd w:id="179"/>
      <w:r w:rsidR="006E7E9E" w:rsidRPr="00316837">
        <w:rPr>
          <w:rFonts w:eastAsia="Calibri"/>
        </w:rPr>
        <w:t xml:space="preserve"> </w:t>
      </w:r>
    </w:p>
    <w:p w14:paraId="0B1B7434" w14:textId="33C59904" w:rsidR="00AD70E2" w:rsidRPr="00316837" w:rsidRDefault="00AD70E2" w:rsidP="00AD70E2">
      <w:pPr>
        <w:rPr>
          <w:rFonts w:eastAsia="Calibri"/>
          <w:szCs w:val="22"/>
        </w:rPr>
      </w:pPr>
      <w:bookmarkStart w:id="180" w:name="_Hlk58230895"/>
      <w:r w:rsidRPr="00316837">
        <w:rPr>
          <w:rFonts w:eastAsia="Calibri"/>
          <w:szCs w:val="22"/>
        </w:rPr>
        <w:t xml:space="preserve">The Guidelines 1 seek to clarify how the </w:t>
      </w:r>
      <w:r w:rsidR="00F45B8A" w:rsidRPr="00316837">
        <w:rPr>
          <w:rFonts w:eastAsia="Calibri"/>
          <w:szCs w:val="22"/>
        </w:rPr>
        <w:t>system operators</w:t>
      </w:r>
      <w:r w:rsidRPr="00316837">
        <w:rPr>
          <w:rFonts w:eastAsia="Calibri"/>
          <w:szCs w:val="22"/>
        </w:rPr>
        <w:t xml:space="preserve"> will carry out their responsibilities in respect of cross-border electricity transactions for the realisation of AfSEM. </w:t>
      </w:r>
      <w:r w:rsidR="00F45B8A" w:rsidRPr="00316837">
        <w:rPr>
          <w:rFonts w:eastAsia="Calibri"/>
          <w:szCs w:val="22"/>
        </w:rPr>
        <w:t>T</w:t>
      </w:r>
      <w:r w:rsidRPr="00316837">
        <w:rPr>
          <w:rFonts w:eastAsia="Calibri"/>
          <w:szCs w:val="22"/>
        </w:rPr>
        <w:t xml:space="preserve">he boundaries of responsibilities </w:t>
      </w:r>
      <w:r w:rsidR="00F45B8A" w:rsidRPr="00316837">
        <w:rPr>
          <w:rFonts w:eastAsia="Calibri"/>
          <w:szCs w:val="22"/>
        </w:rPr>
        <w:t xml:space="preserve">are established </w:t>
      </w:r>
      <w:r w:rsidRPr="00316837">
        <w:rPr>
          <w:rFonts w:eastAsia="Calibri"/>
          <w:szCs w:val="22"/>
        </w:rPr>
        <w:t xml:space="preserve">for </w:t>
      </w:r>
      <w:r w:rsidR="00F45B8A" w:rsidRPr="00316837">
        <w:rPr>
          <w:rFonts w:eastAsia="Calibri"/>
          <w:szCs w:val="22"/>
        </w:rPr>
        <w:t>all involved –</w:t>
      </w:r>
      <w:r w:rsidRPr="00316837">
        <w:rPr>
          <w:rFonts w:eastAsia="Calibri"/>
          <w:szCs w:val="22"/>
        </w:rPr>
        <w:t xml:space="preserve"> the</w:t>
      </w:r>
      <w:r w:rsidR="00F45B8A" w:rsidRPr="00316837">
        <w:rPr>
          <w:rFonts w:eastAsia="Calibri"/>
          <w:szCs w:val="22"/>
        </w:rPr>
        <w:t xml:space="preserve"> </w:t>
      </w:r>
      <w:r w:rsidRPr="00316837">
        <w:rPr>
          <w:rFonts w:eastAsia="Calibri"/>
          <w:szCs w:val="22"/>
        </w:rPr>
        <w:t>national TSOs</w:t>
      </w:r>
      <w:r w:rsidR="00F45B8A" w:rsidRPr="00316837">
        <w:rPr>
          <w:rFonts w:eastAsia="Calibri"/>
          <w:szCs w:val="22"/>
        </w:rPr>
        <w:t>, the Control Area Operators,</w:t>
      </w:r>
      <w:r w:rsidRPr="00316837">
        <w:rPr>
          <w:rFonts w:eastAsia="Calibri"/>
          <w:szCs w:val="22"/>
        </w:rPr>
        <w:t xml:space="preserve"> and the RSMOs </w:t>
      </w:r>
      <w:r w:rsidR="00F45B8A" w:rsidRPr="00316837">
        <w:rPr>
          <w:rFonts w:eastAsia="Calibri"/>
          <w:szCs w:val="22"/>
        </w:rPr>
        <w:t xml:space="preserve">– </w:t>
      </w:r>
      <w:r w:rsidRPr="00316837">
        <w:rPr>
          <w:rFonts w:eastAsia="Calibri"/>
          <w:szCs w:val="22"/>
        </w:rPr>
        <w:t>for</w:t>
      </w:r>
      <w:r w:rsidR="00F45B8A" w:rsidRPr="00316837">
        <w:rPr>
          <w:rFonts w:eastAsia="Calibri"/>
          <w:szCs w:val="22"/>
        </w:rPr>
        <w:t xml:space="preserve"> </w:t>
      </w:r>
      <w:r w:rsidRPr="00316837">
        <w:rPr>
          <w:rFonts w:eastAsia="Calibri"/>
          <w:szCs w:val="22"/>
        </w:rPr>
        <w:t>cross-</w:t>
      </w:r>
      <w:r w:rsidRPr="00316837">
        <w:rPr>
          <w:rFonts w:eastAsia="Calibri"/>
          <w:szCs w:val="20"/>
        </w:rPr>
        <w:t>border electricity transactions</w:t>
      </w:r>
      <w:r w:rsidR="00F45B8A" w:rsidRPr="00316837">
        <w:rPr>
          <w:rFonts w:eastAsia="Calibri"/>
          <w:szCs w:val="20"/>
        </w:rPr>
        <w:t xml:space="preserve"> (see </w:t>
      </w:r>
      <w:r w:rsidR="00F45B8A" w:rsidRPr="00681DAA">
        <w:rPr>
          <w:rFonts w:eastAsia="Calibri"/>
          <w:szCs w:val="20"/>
        </w:rPr>
        <w:fldChar w:fldCharType="begin"/>
      </w:r>
      <w:r w:rsidR="00F45B8A" w:rsidRPr="00316837">
        <w:rPr>
          <w:rFonts w:eastAsia="Calibri"/>
          <w:szCs w:val="20"/>
        </w:rPr>
        <w:instrText xml:space="preserve"> REF _Ref76401706 \h  \* MERGEFORMAT </w:instrText>
      </w:r>
      <w:r w:rsidR="00F45B8A" w:rsidRPr="00681DAA">
        <w:rPr>
          <w:rFonts w:eastAsia="Calibri"/>
          <w:szCs w:val="20"/>
        </w:rPr>
      </w:r>
      <w:r w:rsidR="00F45B8A" w:rsidRPr="00681DAA">
        <w:rPr>
          <w:rFonts w:eastAsia="Calibri"/>
          <w:szCs w:val="20"/>
        </w:rPr>
        <w:fldChar w:fldCharType="separate"/>
      </w:r>
      <w:r w:rsidR="00F45B8A" w:rsidRPr="00681DAA">
        <w:rPr>
          <w:szCs w:val="20"/>
        </w:rPr>
        <w:t>Table 5</w:t>
      </w:r>
      <w:r w:rsidR="00F45B8A" w:rsidRPr="00681DAA">
        <w:rPr>
          <w:szCs w:val="20"/>
        </w:rPr>
        <w:noBreakHyphen/>
        <w:t>1</w:t>
      </w:r>
      <w:r w:rsidR="00F45B8A" w:rsidRPr="00681DAA">
        <w:rPr>
          <w:rFonts w:eastAsia="Calibri"/>
          <w:szCs w:val="20"/>
        </w:rPr>
        <w:fldChar w:fldCharType="end"/>
      </w:r>
      <w:r w:rsidR="00F45B8A" w:rsidRPr="00C632F6">
        <w:rPr>
          <w:rFonts w:eastAsia="Calibri"/>
          <w:szCs w:val="20"/>
        </w:rPr>
        <w:t xml:space="preserve">). Such division of responsibilities </w:t>
      </w:r>
      <w:r w:rsidRPr="00681DAA">
        <w:rPr>
          <w:rFonts w:eastAsia="Calibri"/>
          <w:szCs w:val="20"/>
        </w:rPr>
        <w:t>minimise</w:t>
      </w:r>
      <w:r w:rsidR="00F45B8A" w:rsidRPr="00681DAA">
        <w:rPr>
          <w:rFonts w:eastAsia="Calibri"/>
          <w:szCs w:val="20"/>
        </w:rPr>
        <w:t>s</w:t>
      </w:r>
      <w:r w:rsidRPr="00316837">
        <w:rPr>
          <w:rFonts w:eastAsia="Calibri"/>
          <w:szCs w:val="20"/>
        </w:rPr>
        <w:t xml:space="preserve"> investment risks for</w:t>
      </w:r>
      <w:r w:rsidRPr="00316837">
        <w:rPr>
          <w:rFonts w:eastAsia="Calibri"/>
          <w:szCs w:val="22"/>
        </w:rPr>
        <w:t xml:space="preserve"> investors and customers, while also address</w:t>
      </w:r>
      <w:r w:rsidR="00F45B8A" w:rsidRPr="00316837">
        <w:rPr>
          <w:rFonts w:eastAsia="Calibri"/>
          <w:szCs w:val="22"/>
        </w:rPr>
        <w:t>es</w:t>
      </w:r>
      <w:r w:rsidRPr="00316837">
        <w:rPr>
          <w:rFonts w:eastAsia="Calibri"/>
          <w:szCs w:val="22"/>
        </w:rPr>
        <w:t xml:space="preserve"> potential technical and operational risks to market participants.</w:t>
      </w:r>
      <w:r w:rsidR="00F45B8A" w:rsidRPr="00316837">
        <w:rPr>
          <w:rFonts w:eastAsia="Calibri"/>
          <w:szCs w:val="22"/>
        </w:rPr>
        <w:t xml:space="preserve"> </w:t>
      </w:r>
    </w:p>
    <w:p w14:paraId="57605C83" w14:textId="10E3E299" w:rsidR="00F45B8A" w:rsidRPr="00681DAA" w:rsidRDefault="00F45B8A" w:rsidP="00F45B8A">
      <w:pPr>
        <w:rPr>
          <w:sz w:val="18"/>
          <w:szCs w:val="18"/>
        </w:rPr>
      </w:pPr>
      <w:bookmarkStart w:id="181" w:name="_Ref76401706"/>
      <w:bookmarkStart w:id="182" w:name="_Toc77260256"/>
      <w:r w:rsidRPr="00316837">
        <w:rPr>
          <w:sz w:val="18"/>
          <w:szCs w:val="18"/>
        </w:rPr>
        <w:t xml:space="preserve">Table </w:t>
      </w:r>
      <w:r w:rsidRPr="00681DAA">
        <w:rPr>
          <w:sz w:val="18"/>
          <w:szCs w:val="18"/>
        </w:rPr>
        <w:fldChar w:fldCharType="begin"/>
      </w:r>
      <w:r w:rsidRPr="00316837">
        <w:rPr>
          <w:sz w:val="18"/>
          <w:szCs w:val="18"/>
        </w:rPr>
        <w:instrText xml:space="preserve"> STYLEREF 1 \s </w:instrText>
      </w:r>
      <w:r w:rsidRPr="00681DAA">
        <w:rPr>
          <w:sz w:val="18"/>
          <w:szCs w:val="18"/>
        </w:rPr>
        <w:fldChar w:fldCharType="separate"/>
      </w:r>
      <w:r w:rsidRPr="00681DAA">
        <w:rPr>
          <w:sz w:val="18"/>
          <w:szCs w:val="18"/>
        </w:rPr>
        <w:t>5</w:t>
      </w:r>
      <w:r w:rsidRPr="00681DAA">
        <w:rPr>
          <w:sz w:val="18"/>
          <w:szCs w:val="18"/>
        </w:rPr>
        <w:fldChar w:fldCharType="end"/>
      </w:r>
      <w:r w:rsidRPr="00C632F6">
        <w:rPr>
          <w:sz w:val="18"/>
          <w:szCs w:val="18"/>
        </w:rPr>
        <w:noBreakHyphen/>
      </w:r>
      <w:r w:rsidRPr="00681DAA">
        <w:rPr>
          <w:sz w:val="18"/>
          <w:szCs w:val="18"/>
        </w:rPr>
        <w:fldChar w:fldCharType="begin"/>
      </w:r>
      <w:r w:rsidRPr="00316837">
        <w:rPr>
          <w:sz w:val="18"/>
          <w:szCs w:val="18"/>
        </w:rPr>
        <w:instrText xml:space="preserve"> SEQ Table \* ARABIC \s 1 </w:instrText>
      </w:r>
      <w:r w:rsidRPr="00681DAA">
        <w:rPr>
          <w:sz w:val="18"/>
          <w:szCs w:val="18"/>
        </w:rPr>
        <w:fldChar w:fldCharType="separate"/>
      </w:r>
      <w:r w:rsidRPr="00681DAA">
        <w:rPr>
          <w:sz w:val="18"/>
          <w:szCs w:val="18"/>
        </w:rPr>
        <w:t>1</w:t>
      </w:r>
      <w:r w:rsidRPr="00681DAA">
        <w:rPr>
          <w:sz w:val="18"/>
          <w:szCs w:val="18"/>
        </w:rPr>
        <w:fldChar w:fldCharType="end"/>
      </w:r>
      <w:bookmarkEnd w:id="181"/>
      <w:r w:rsidRPr="00C632F6">
        <w:rPr>
          <w:sz w:val="18"/>
          <w:szCs w:val="18"/>
        </w:rPr>
        <w:t>: Main responsibilities of the national TSOs, the Control Area Operators, and the RSMO</w:t>
      </w:r>
      <w:r w:rsidRPr="00681DAA">
        <w:rPr>
          <w:sz w:val="18"/>
          <w:szCs w:val="18"/>
        </w:rPr>
        <w:t>s</w:t>
      </w:r>
      <w:bookmarkEnd w:id="182"/>
      <w:r w:rsidRPr="00681DAA">
        <w:rPr>
          <w:sz w:val="18"/>
          <w:szCs w:val="18"/>
        </w:rPr>
        <w:t xml:space="preserve"> </w:t>
      </w:r>
    </w:p>
    <w:tbl>
      <w:tblPr>
        <w:tblStyle w:val="TableGrid"/>
        <w:tblW w:w="5000" w:type="pct"/>
        <w:tblLook w:val="04A0" w:firstRow="1" w:lastRow="0" w:firstColumn="1" w:lastColumn="0" w:noHBand="0" w:noVBand="1"/>
      </w:tblPr>
      <w:tblGrid>
        <w:gridCol w:w="2263"/>
        <w:gridCol w:w="2126"/>
        <w:gridCol w:w="5240"/>
      </w:tblGrid>
      <w:tr w:rsidR="00F45B8A" w:rsidRPr="00316837" w14:paraId="79CE55A3" w14:textId="77777777" w:rsidTr="00F45B8A">
        <w:tc>
          <w:tcPr>
            <w:tcW w:w="1175" w:type="pct"/>
            <w:shd w:val="clear" w:color="auto" w:fill="F2F2F2" w:themeFill="background1" w:themeFillShade="F2"/>
          </w:tcPr>
          <w:p w14:paraId="30799A1F" w14:textId="1093321A" w:rsidR="00F45B8A" w:rsidRPr="006273BD" w:rsidRDefault="00F45B8A" w:rsidP="00F45B8A">
            <w:pPr>
              <w:spacing w:before="120" w:after="120"/>
              <w:jc w:val="left"/>
              <w:rPr>
                <w:rFonts w:eastAsia="Calibri"/>
                <w:b/>
                <w:bCs/>
                <w:sz w:val="18"/>
                <w:szCs w:val="18"/>
              </w:rPr>
            </w:pPr>
            <w:r w:rsidRPr="006273BD">
              <w:rPr>
                <w:rFonts w:eastAsia="Calibri"/>
                <w:b/>
                <w:bCs/>
                <w:sz w:val="18"/>
                <w:szCs w:val="18"/>
              </w:rPr>
              <w:t>System operator</w:t>
            </w:r>
            <w:r w:rsidR="001D4932" w:rsidRPr="006273BD">
              <w:rPr>
                <w:rFonts w:eastAsia="Calibri"/>
                <w:b/>
                <w:bCs/>
                <w:sz w:val="18"/>
                <w:szCs w:val="18"/>
              </w:rPr>
              <w:t xml:space="preserve"> </w:t>
            </w:r>
          </w:p>
        </w:tc>
        <w:tc>
          <w:tcPr>
            <w:tcW w:w="3825" w:type="pct"/>
            <w:gridSpan w:val="2"/>
            <w:shd w:val="clear" w:color="auto" w:fill="F2F2F2" w:themeFill="background1" w:themeFillShade="F2"/>
          </w:tcPr>
          <w:p w14:paraId="441A63D7" w14:textId="79F5BC19" w:rsidR="00F45B8A" w:rsidRPr="006273BD" w:rsidRDefault="00F45B8A" w:rsidP="00F45B8A">
            <w:pPr>
              <w:spacing w:before="120" w:after="120"/>
              <w:jc w:val="left"/>
              <w:rPr>
                <w:rFonts w:eastAsia="Calibri"/>
                <w:b/>
                <w:bCs/>
                <w:sz w:val="18"/>
                <w:szCs w:val="18"/>
              </w:rPr>
            </w:pPr>
            <w:r w:rsidRPr="006273BD">
              <w:rPr>
                <w:rFonts w:eastAsia="Calibri"/>
                <w:b/>
                <w:bCs/>
                <w:sz w:val="18"/>
                <w:szCs w:val="18"/>
              </w:rPr>
              <w:t>Responsibilities</w:t>
            </w:r>
            <w:r w:rsidR="001D4932" w:rsidRPr="006273BD">
              <w:rPr>
                <w:rFonts w:eastAsia="Calibri"/>
                <w:b/>
                <w:bCs/>
                <w:sz w:val="18"/>
                <w:szCs w:val="18"/>
              </w:rPr>
              <w:t xml:space="preserve"> </w:t>
            </w:r>
          </w:p>
        </w:tc>
      </w:tr>
      <w:tr w:rsidR="00F45B8A" w:rsidRPr="00316837" w14:paraId="1DBFA236" w14:textId="77777777" w:rsidTr="00F45B8A">
        <w:trPr>
          <w:trHeight w:val="360"/>
        </w:trPr>
        <w:tc>
          <w:tcPr>
            <w:tcW w:w="1175" w:type="pct"/>
            <w:vMerge w:val="restart"/>
          </w:tcPr>
          <w:p w14:paraId="7BB84D37" w14:textId="51C43AEA" w:rsidR="00F45B8A" w:rsidRPr="00316837" w:rsidRDefault="00F45B8A" w:rsidP="00F45B8A">
            <w:pPr>
              <w:spacing w:before="120" w:after="120"/>
              <w:jc w:val="left"/>
              <w:rPr>
                <w:rFonts w:eastAsia="Calibri"/>
                <w:sz w:val="18"/>
                <w:szCs w:val="18"/>
              </w:rPr>
            </w:pPr>
            <w:r w:rsidRPr="00316837">
              <w:rPr>
                <w:rFonts w:eastAsia="Calibri"/>
                <w:sz w:val="18"/>
                <w:szCs w:val="18"/>
              </w:rPr>
              <w:t>National TSOs</w:t>
            </w:r>
          </w:p>
        </w:tc>
        <w:tc>
          <w:tcPr>
            <w:tcW w:w="3825" w:type="pct"/>
            <w:gridSpan w:val="2"/>
          </w:tcPr>
          <w:p w14:paraId="687732AF" w14:textId="4429C0A4" w:rsidR="00F45B8A" w:rsidRPr="00316837" w:rsidRDefault="00F45B8A" w:rsidP="00E92788">
            <w:pPr>
              <w:numPr>
                <w:ilvl w:val="0"/>
                <w:numId w:val="64"/>
              </w:numPr>
              <w:spacing w:before="120" w:after="120"/>
              <w:jc w:val="left"/>
              <w:rPr>
                <w:rFonts w:eastAsia="Calibri"/>
                <w:sz w:val="18"/>
                <w:szCs w:val="18"/>
              </w:rPr>
            </w:pPr>
            <w:r w:rsidRPr="00316837">
              <w:rPr>
                <w:rFonts w:eastAsia="Calibri"/>
                <w:sz w:val="18"/>
                <w:szCs w:val="18"/>
              </w:rPr>
              <w:t xml:space="preserve">Ensure that the level of electricity transmission on the interconnectors under its responsibility as submitted to and agreed with the RSMO is not violated </w:t>
            </w:r>
          </w:p>
        </w:tc>
      </w:tr>
      <w:tr w:rsidR="00F45B8A" w:rsidRPr="00316837" w14:paraId="37DCA451" w14:textId="77777777" w:rsidTr="00F45B8A">
        <w:trPr>
          <w:trHeight w:val="355"/>
        </w:trPr>
        <w:tc>
          <w:tcPr>
            <w:tcW w:w="1175" w:type="pct"/>
            <w:vMerge/>
          </w:tcPr>
          <w:p w14:paraId="02E9A038" w14:textId="77777777" w:rsidR="00F45B8A" w:rsidRPr="00316837" w:rsidRDefault="00F45B8A" w:rsidP="00F45B8A">
            <w:pPr>
              <w:spacing w:before="120" w:after="120"/>
              <w:jc w:val="left"/>
              <w:rPr>
                <w:rFonts w:eastAsia="Calibri"/>
                <w:sz w:val="18"/>
                <w:szCs w:val="18"/>
              </w:rPr>
            </w:pPr>
          </w:p>
        </w:tc>
        <w:tc>
          <w:tcPr>
            <w:tcW w:w="3825" w:type="pct"/>
            <w:gridSpan w:val="2"/>
          </w:tcPr>
          <w:p w14:paraId="57B43831" w14:textId="10D02B19" w:rsidR="00F45B8A" w:rsidRPr="00316837" w:rsidRDefault="00F45B8A" w:rsidP="00E92788">
            <w:pPr>
              <w:numPr>
                <w:ilvl w:val="0"/>
                <w:numId w:val="64"/>
              </w:numPr>
              <w:spacing w:before="120" w:after="120"/>
              <w:jc w:val="left"/>
              <w:rPr>
                <w:rFonts w:eastAsia="Calibri"/>
                <w:sz w:val="18"/>
                <w:szCs w:val="18"/>
              </w:rPr>
            </w:pPr>
            <w:r w:rsidRPr="00316837">
              <w:rPr>
                <w:rFonts w:eastAsia="Calibri"/>
                <w:sz w:val="18"/>
                <w:szCs w:val="18"/>
              </w:rPr>
              <w:t xml:space="preserve">Ensure that the operating ranges for the technical parameters for the interconnectors under its responsibility are adhered to </w:t>
            </w:r>
          </w:p>
        </w:tc>
      </w:tr>
      <w:tr w:rsidR="00F45B8A" w:rsidRPr="00316837" w14:paraId="2FC0906C" w14:textId="77777777" w:rsidTr="00F45B8A">
        <w:trPr>
          <w:trHeight w:val="355"/>
        </w:trPr>
        <w:tc>
          <w:tcPr>
            <w:tcW w:w="1175" w:type="pct"/>
            <w:vMerge/>
          </w:tcPr>
          <w:p w14:paraId="26989337" w14:textId="77777777" w:rsidR="00F45B8A" w:rsidRPr="00316837" w:rsidRDefault="00F45B8A" w:rsidP="00F45B8A">
            <w:pPr>
              <w:spacing w:before="120" w:after="120"/>
              <w:jc w:val="left"/>
              <w:rPr>
                <w:rFonts w:eastAsia="Calibri"/>
                <w:sz w:val="18"/>
                <w:szCs w:val="18"/>
              </w:rPr>
            </w:pPr>
          </w:p>
        </w:tc>
        <w:tc>
          <w:tcPr>
            <w:tcW w:w="3825" w:type="pct"/>
            <w:gridSpan w:val="2"/>
          </w:tcPr>
          <w:p w14:paraId="46546C03" w14:textId="1D12178E" w:rsidR="00F45B8A" w:rsidRPr="00316837" w:rsidRDefault="00F45B8A" w:rsidP="00E92788">
            <w:pPr>
              <w:numPr>
                <w:ilvl w:val="0"/>
                <w:numId w:val="64"/>
              </w:numPr>
              <w:spacing w:before="120" w:after="120"/>
              <w:jc w:val="left"/>
              <w:rPr>
                <w:rFonts w:eastAsia="Calibri"/>
                <w:sz w:val="18"/>
                <w:szCs w:val="18"/>
              </w:rPr>
            </w:pPr>
            <w:r w:rsidRPr="00316837">
              <w:rPr>
                <w:rFonts w:eastAsia="Calibri"/>
                <w:sz w:val="18"/>
                <w:szCs w:val="18"/>
              </w:rPr>
              <w:t xml:space="preserve">Monitor and ensure that the national interconnected system is operated in a safe manner and to prevent cascading effects on other interconnected power systems </w:t>
            </w:r>
          </w:p>
        </w:tc>
      </w:tr>
      <w:tr w:rsidR="00F45B8A" w:rsidRPr="00316837" w14:paraId="7DE32C86" w14:textId="77777777" w:rsidTr="00F45B8A">
        <w:trPr>
          <w:trHeight w:val="355"/>
        </w:trPr>
        <w:tc>
          <w:tcPr>
            <w:tcW w:w="1175" w:type="pct"/>
            <w:vMerge/>
          </w:tcPr>
          <w:p w14:paraId="09715734" w14:textId="77777777" w:rsidR="00F45B8A" w:rsidRPr="00316837" w:rsidRDefault="00F45B8A" w:rsidP="00F45B8A">
            <w:pPr>
              <w:spacing w:before="120" w:after="120"/>
              <w:jc w:val="left"/>
              <w:rPr>
                <w:rFonts w:eastAsia="Calibri"/>
                <w:sz w:val="18"/>
                <w:szCs w:val="18"/>
              </w:rPr>
            </w:pPr>
          </w:p>
        </w:tc>
        <w:tc>
          <w:tcPr>
            <w:tcW w:w="3825" w:type="pct"/>
            <w:gridSpan w:val="2"/>
          </w:tcPr>
          <w:p w14:paraId="5C2B22CE" w14:textId="5A1E6246" w:rsidR="00F45B8A" w:rsidRPr="00316837" w:rsidRDefault="00F45B8A" w:rsidP="00E92788">
            <w:pPr>
              <w:numPr>
                <w:ilvl w:val="0"/>
                <w:numId w:val="64"/>
              </w:numPr>
              <w:spacing w:before="120" w:after="120"/>
              <w:jc w:val="left"/>
              <w:rPr>
                <w:rFonts w:eastAsia="Calibri"/>
                <w:sz w:val="18"/>
                <w:szCs w:val="18"/>
              </w:rPr>
            </w:pPr>
            <w:r w:rsidRPr="00316837">
              <w:rPr>
                <w:rFonts w:eastAsia="Calibri"/>
                <w:sz w:val="18"/>
                <w:szCs w:val="18"/>
              </w:rPr>
              <w:t xml:space="preserve">Support provision of ancillary services and other services when called upon by the Control Area Operator or the RSMO, in times of emergencies to other interconnected systems </w:t>
            </w:r>
          </w:p>
        </w:tc>
      </w:tr>
      <w:tr w:rsidR="00F45B8A" w:rsidRPr="00316837" w14:paraId="24A5B6CE" w14:textId="77777777" w:rsidTr="00F45B8A">
        <w:trPr>
          <w:trHeight w:val="355"/>
        </w:trPr>
        <w:tc>
          <w:tcPr>
            <w:tcW w:w="1175" w:type="pct"/>
            <w:vMerge/>
          </w:tcPr>
          <w:p w14:paraId="0F2FFBE8" w14:textId="77777777" w:rsidR="00F45B8A" w:rsidRPr="00316837" w:rsidRDefault="00F45B8A" w:rsidP="00F45B8A">
            <w:pPr>
              <w:spacing w:before="120" w:after="120"/>
              <w:jc w:val="left"/>
              <w:rPr>
                <w:rFonts w:eastAsia="Calibri"/>
                <w:sz w:val="18"/>
                <w:szCs w:val="18"/>
              </w:rPr>
            </w:pPr>
          </w:p>
        </w:tc>
        <w:tc>
          <w:tcPr>
            <w:tcW w:w="3825" w:type="pct"/>
            <w:gridSpan w:val="2"/>
          </w:tcPr>
          <w:p w14:paraId="3EDFA40F" w14:textId="3AA1FB91" w:rsidR="00F45B8A" w:rsidRPr="00316837" w:rsidRDefault="00F45B8A" w:rsidP="00E92788">
            <w:pPr>
              <w:numPr>
                <w:ilvl w:val="0"/>
                <w:numId w:val="64"/>
              </w:numPr>
              <w:spacing w:before="120" w:after="120"/>
              <w:jc w:val="left"/>
              <w:rPr>
                <w:rFonts w:eastAsia="Calibri"/>
                <w:sz w:val="18"/>
                <w:szCs w:val="18"/>
              </w:rPr>
            </w:pPr>
            <w:r w:rsidRPr="00316837">
              <w:rPr>
                <w:rFonts w:eastAsia="Calibri"/>
                <w:sz w:val="18"/>
                <w:szCs w:val="18"/>
              </w:rPr>
              <w:t xml:space="preserve">Maintain constant communication with its Control Area Operator in line with established procedures </w:t>
            </w:r>
          </w:p>
        </w:tc>
      </w:tr>
      <w:tr w:rsidR="00F45B8A" w:rsidRPr="00316837" w14:paraId="6BA537CB" w14:textId="77777777" w:rsidTr="00F45B8A">
        <w:trPr>
          <w:trHeight w:val="355"/>
        </w:trPr>
        <w:tc>
          <w:tcPr>
            <w:tcW w:w="1175" w:type="pct"/>
            <w:vMerge/>
          </w:tcPr>
          <w:p w14:paraId="0462D122" w14:textId="77777777" w:rsidR="00F45B8A" w:rsidRPr="00316837" w:rsidRDefault="00F45B8A" w:rsidP="00F45B8A">
            <w:pPr>
              <w:spacing w:before="120" w:after="120"/>
              <w:jc w:val="left"/>
              <w:rPr>
                <w:rFonts w:eastAsia="Calibri"/>
                <w:sz w:val="18"/>
                <w:szCs w:val="18"/>
              </w:rPr>
            </w:pPr>
          </w:p>
        </w:tc>
        <w:tc>
          <w:tcPr>
            <w:tcW w:w="3825" w:type="pct"/>
            <w:gridSpan w:val="2"/>
          </w:tcPr>
          <w:p w14:paraId="5DFDC617" w14:textId="7DF7472E" w:rsidR="00F45B8A" w:rsidRPr="00316837" w:rsidRDefault="00F45B8A" w:rsidP="00E92788">
            <w:pPr>
              <w:numPr>
                <w:ilvl w:val="0"/>
                <w:numId w:val="64"/>
              </w:numPr>
              <w:spacing w:before="120" w:after="120"/>
              <w:jc w:val="left"/>
              <w:rPr>
                <w:rFonts w:eastAsia="Calibri"/>
                <w:sz w:val="18"/>
                <w:szCs w:val="18"/>
              </w:rPr>
            </w:pPr>
            <w:r w:rsidRPr="00316837">
              <w:rPr>
                <w:rFonts w:eastAsia="Calibri"/>
                <w:sz w:val="18"/>
                <w:szCs w:val="18"/>
              </w:rPr>
              <w:t xml:space="preserve">Maintain the needed communication with the RSMO when required </w:t>
            </w:r>
          </w:p>
        </w:tc>
      </w:tr>
      <w:tr w:rsidR="00F45B8A" w:rsidRPr="00316837" w14:paraId="4B41D579" w14:textId="77777777" w:rsidTr="00F45B8A">
        <w:trPr>
          <w:trHeight w:val="344"/>
        </w:trPr>
        <w:tc>
          <w:tcPr>
            <w:tcW w:w="1175" w:type="pct"/>
            <w:vMerge w:val="restart"/>
          </w:tcPr>
          <w:p w14:paraId="5BBEA53E" w14:textId="7A42D28A"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Control Area Operators </w:t>
            </w:r>
          </w:p>
        </w:tc>
        <w:tc>
          <w:tcPr>
            <w:tcW w:w="3825" w:type="pct"/>
            <w:gridSpan w:val="2"/>
          </w:tcPr>
          <w:p w14:paraId="3BD61B22" w14:textId="1272B59C" w:rsidR="00F45B8A" w:rsidRPr="00316837" w:rsidRDefault="00F45B8A" w:rsidP="00E92788">
            <w:pPr>
              <w:numPr>
                <w:ilvl w:val="0"/>
                <w:numId w:val="66"/>
              </w:numPr>
              <w:spacing w:before="120" w:after="120"/>
              <w:jc w:val="left"/>
              <w:rPr>
                <w:rFonts w:eastAsia="Calibri"/>
                <w:sz w:val="18"/>
                <w:szCs w:val="18"/>
              </w:rPr>
            </w:pPr>
            <w:r w:rsidRPr="00316837">
              <w:rPr>
                <w:rFonts w:eastAsia="Calibri"/>
                <w:sz w:val="18"/>
                <w:szCs w:val="18"/>
              </w:rPr>
              <w:t xml:space="preserve">Ensuring that inter-area flows are not violated </w:t>
            </w:r>
          </w:p>
        </w:tc>
      </w:tr>
      <w:tr w:rsidR="00F45B8A" w:rsidRPr="00316837" w14:paraId="51AE9B2A" w14:textId="77777777" w:rsidTr="00F45B8A">
        <w:trPr>
          <w:trHeight w:val="343"/>
        </w:trPr>
        <w:tc>
          <w:tcPr>
            <w:tcW w:w="1175" w:type="pct"/>
            <w:vMerge/>
          </w:tcPr>
          <w:p w14:paraId="6814D836" w14:textId="77777777" w:rsidR="00F45B8A" w:rsidRPr="00316837" w:rsidRDefault="00F45B8A" w:rsidP="00F45B8A">
            <w:pPr>
              <w:spacing w:before="120" w:after="120"/>
              <w:jc w:val="left"/>
              <w:rPr>
                <w:rFonts w:eastAsia="Calibri"/>
                <w:sz w:val="18"/>
                <w:szCs w:val="18"/>
              </w:rPr>
            </w:pPr>
          </w:p>
        </w:tc>
        <w:tc>
          <w:tcPr>
            <w:tcW w:w="3825" w:type="pct"/>
            <w:gridSpan w:val="2"/>
          </w:tcPr>
          <w:p w14:paraId="02B76BC8" w14:textId="55ADEBED" w:rsidR="00F45B8A" w:rsidRPr="00316837" w:rsidRDefault="00F45B8A" w:rsidP="00E92788">
            <w:pPr>
              <w:numPr>
                <w:ilvl w:val="0"/>
                <w:numId w:val="66"/>
              </w:numPr>
              <w:spacing w:before="120" w:after="120"/>
              <w:jc w:val="left"/>
              <w:rPr>
                <w:rFonts w:eastAsia="Calibri"/>
                <w:sz w:val="18"/>
                <w:szCs w:val="18"/>
              </w:rPr>
            </w:pPr>
            <w:r w:rsidRPr="00316837">
              <w:rPr>
                <w:rFonts w:eastAsia="Calibri"/>
                <w:sz w:val="18"/>
                <w:szCs w:val="18"/>
              </w:rPr>
              <w:t xml:space="preserve">Ensuring the safe and secured operation within each Control Area </w:t>
            </w:r>
          </w:p>
        </w:tc>
      </w:tr>
      <w:tr w:rsidR="00F45B8A" w:rsidRPr="00316837" w14:paraId="558C06F4" w14:textId="77777777" w:rsidTr="00F45B8A">
        <w:trPr>
          <w:trHeight w:val="343"/>
        </w:trPr>
        <w:tc>
          <w:tcPr>
            <w:tcW w:w="1175" w:type="pct"/>
            <w:vMerge/>
          </w:tcPr>
          <w:p w14:paraId="32838D5A" w14:textId="77777777" w:rsidR="00F45B8A" w:rsidRPr="00316837" w:rsidRDefault="00F45B8A" w:rsidP="00F45B8A">
            <w:pPr>
              <w:spacing w:before="120" w:after="120"/>
              <w:jc w:val="left"/>
              <w:rPr>
                <w:rFonts w:eastAsia="Calibri"/>
                <w:sz w:val="18"/>
                <w:szCs w:val="18"/>
              </w:rPr>
            </w:pPr>
          </w:p>
        </w:tc>
        <w:tc>
          <w:tcPr>
            <w:tcW w:w="3825" w:type="pct"/>
            <w:gridSpan w:val="2"/>
          </w:tcPr>
          <w:p w14:paraId="7BD2802C" w14:textId="0C40BD2A" w:rsidR="00F45B8A" w:rsidRPr="00316837" w:rsidRDefault="00F45B8A" w:rsidP="00E92788">
            <w:pPr>
              <w:numPr>
                <w:ilvl w:val="0"/>
                <w:numId w:val="66"/>
              </w:numPr>
              <w:spacing w:before="120" w:after="120"/>
              <w:jc w:val="left"/>
              <w:rPr>
                <w:rFonts w:eastAsia="Calibri"/>
                <w:sz w:val="18"/>
                <w:szCs w:val="18"/>
              </w:rPr>
            </w:pPr>
            <w:r w:rsidRPr="00316837">
              <w:rPr>
                <w:rFonts w:eastAsia="Calibri"/>
                <w:sz w:val="18"/>
                <w:szCs w:val="18"/>
              </w:rPr>
              <w:t xml:space="preserve">Maintaining constant communication with the RSMOs so that flow levels in the interconnectors are maintained and technical parameters are not breached </w:t>
            </w:r>
          </w:p>
        </w:tc>
      </w:tr>
      <w:tr w:rsidR="00F45B8A" w:rsidRPr="00316837" w14:paraId="1C158FCB" w14:textId="77777777" w:rsidTr="00F45B8A">
        <w:trPr>
          <w:trHeight w:val="343"/>
        </w:trPr>
        <w:tc>
          <w:tcPr>
            <w:tcW w:w="1175" w:type="pct"/>
            <w:vMerge/>
          </w:tcPr>
          <w:p w14:paraId="77F398ED" w14:textId="77777777" w:rsidR="00F45B8A" w:rsidRPr="00316837" w:rsidRDefault="00F45B8A" w:rsidP="00F45B8A">
            <w:pPr>
              <w:spacing w:before="120" w:after="120"/>
              <w:jc w:val="left"/>
              <w:rPr>
                <w:rFonts w:eastAsia="Calibri"/>
                <w:sz w:val="18"/>
                <w:szCs w:val="18"/>
              </w:rPr>
            </w:pPr>
          </w:p>
        </w:tc>
        <w:tc>
          <w:tcPr>
            <w:tcW w:w="3825" w:type="pct"/>
            <w:gridSpan w:val="2"/>
          </w:tcPr>
          <w:p w14:paraId="573EB794" w14:textId="745DE7E9" w:rsidR="00F45B8A" w:rsidRPr="00316837" w:rsidRDefault="00F45B8A" w:rsidP="00E92788">
            <w:pPr>
              <w:numPr>
                <w:ilvl w:val="0"/>
                <w:numId w:val="66"/>
              </w:numPr>
              <w:spacing w:before="120" w:after="120"/>
              <w:jc w:val="left"/>
              <w:rPr>
                <w:rFonts w:eastAsia="Calibri"/>
                <w:sz w:val="18"/>
                <w:szCs w:val="18"/>
              </w:rPr>
            </w:pPr>
            <w:r w:rsidRPr="00316837">
              <w:rPr>
                <w:rFonts w:eastAsia="Calibri"/>
                <w:sz w:val="18"/>
                <w:szCs w:val="18"/>
              </w:rPr>
              <w:t xml:space="preserve">Communicating and working collaboratively with other Control Area Operators, as well as the national TSOs within its Control Area during times of emergency </w:t>
            </w:r>
          </w:p>
        </w:tc>
      </w:tr>
      <w:tr w:rsidR="00F45B8A" w:rsidRPr="00316837" w14:paraId="5EDA0451" w14:textId="77777777" w:rsidTr="00F45B8A">
        <w:trPr>
          <w:trHeight w:val="343"/>
        </w:trPr>
        <w:tc>
          <w:tcPr>
            <w:tcW w:w="1175" w:type="pct"/>
            <w:vMerge/>
          </w:tcPr>
          <w:p w14:paraId="023A2F39" w14:textId="77777777" w:rsidR="00F45B8A" w:rsidRPr="00316837" w:rsidRDefault="00F45B8A" w:rsidP="00F45B8A">
            <w:pPr>
              <w:spacing w:before="120" w:after="120"/>
              <w:jc w:val="left"/>
              <w:rPr>
                <w:rFonts w:eastAsia="Calibri"/>
                <w:sz w:val="18"/>
                <w:szCs w:val="18"/>
              </w:rPr>
            </w:pPr>
          </w:p>
        </w:tc>
        <w:tc>
          <w:tcPr>
            <w:tcW w:w="3825" w:type="pct"/>
            <w:gridSpan w:val="2"/>
          </w:tcPr>
          <w:p w14:paraId="0D325455" w14:textId="1EBCC3DD" w:rsidR="00F45B8A" w:rsidRPr="00316837" w:rsidRDefault="00F45B8A" w:rsidP="00E92788">
            <w:pPr>
              <w:numPr>
                <w:ilvl w:val="0"/>
                <w:numId w:val="66"/>
              </w:numPr>
              <w:spacing w:before="120" w:after="120"/>
              <w:jc w:val="left"/>
              <w:rPr>
                <w:rFonts w:eastAsia="Calibri"/>
                <w:sz w:val="18"/>
                <w:szCs w:val="18"/>
              </w:rPr>
            </w:pPr>
            <w:r w:rsidRPr="00316837">
              <w:rPr>
                <w:rFonts w:eastAsia="Calibri"/>
                <w:sz w:val="18"/>
                <w:szCs w:val="18"/>
              </w:rPr>
              <w:t xml:space="preserve">Adhere to the RSMOs procedure for restoring the system back to normal within its Control Area, during times of emergencies </w:t>
            </w:r>
          </w:p>
        </w:tc>
      </w:tr>
      <w:tr w:rsidR="00F45B8A" w:rsidRPr="00316837" w14:paraId="2FA57A39" w14:textId="77777777" w:rsidTr="00F45B8A">
        <w:trPr>
          <w:trHeight w:val="56"/>
        </w:trPr>
        <w:tc>
          <w:tcPr>
            <w:tcW w:w="1175" w:type="pct"/>
            <w:vMerge w:val="restart"/>
          </w:tcPr>
          <w:p w14:paraId="37A76E08" w14:textId="43DB9FE6"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RSMOs </w:t>
            </w:r>
          </w:p>
        </w:tc>
        <w:tc>
          <w:tcPr>
            <w:tcW w:w="1104" w:type="pct"/>
          </w:tcPr>
          <w:p w14:paraId="71876BD2" w14:textId="1E754CAC" w:rsidR="00F45B8A" w:rsidRPr="00316837" w:rsidRDefault="00F45B8A" w:rsidP="00E92788">
            <w:pPr>
              <w:numPr>
                <w:ilvl w:val="0"/>
                <w:numId w:val="65"/>
              </w:numPr>
              <w:spacing w:before="120" w:after="120"/>
              <w:jc w:val="left"/>
              <w:rPr>
                <w:rFonts w:eastAsia="Calibri"/>
                <w:sz w:val="18"/>
                <w:szCs w:val="18"/>
              </w:rPr>
            </w:pPr>
            <w:r w:rsidRPr="00316837">
              <w:rPr>
                <w:rFonts w:eastAsia="Calibri"/>
                <w:sz w:val="18"/>
                <w:szCs w:val="18"/>
              </w:rPr>
              <w:t xml:space="preserve">System Operation Coordination </w:t>
            </w:r>
          </w:p>
        </w:tc>
        <w:tc>
          <w:tcPr>
            <w:tcW w:w="2720" w:type="pct"/>
          </w:tcPr>
          <w:p w14:paraId="5B57AA83" w14:textId="4AB2C8C1"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Coordinating and scheduling Power Pool interconnectors </w:t>
            </w:r>
          </w:p>
          <w:p w14:paraId="4D354FC9" w14:textId="47CC7B4A"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Monitoring load flows and taking action on variances through coordination of the national TSOs and Control Area Operators </w:t>
            </w:r>
          </w:p>
          <w:p w14:paraId="2D34F20A" w14:textId="0AA2A44C" w:rsidR="00F45B8A" w:rsidRPr="00316837" w:rsidRDefault="00F45B8A" w:rsidP="00F45B8A">
            <w:pPr>
              <w:spacing w:before="120" w:after="120"/>
              <w:jc w:val="left"/>
              <w:rPr>
                <w:rFonts w:eastAsia="Calibri"/>
                <w:sz w:val="18"/>
                <w:szCs w:val="18"/>
              </w:rPr>
            </w:pPr>
            <w:r w:rsidRPr="00316837">
              <w:rPr>
                <w:rFonts w:eastAsia="Calibri"/>
                <w:sz w:val="18"/>
                <w:szCs w:val="18"/>
              </w:rPr>
              <w:lastRenderedPageBreak/>
              <w:t xml:space="preserve">Acting as a balancing market counterparty for imbalance settlement </w:t>
            </w:r>
          </w:p>
        </w:tc>
      </w:tr>
      <w:tr w:rsidR="00F45B8A" w:rsidRPr="00316837" w14:paraId="0D70B40B" w14:textId="77777777" w:rsidTr="00F45B8A">
        <w:trPr>
          <w:trHeight w:val="55"/>
        </w:trPr>
        <w:tc>
          <w:tcPr>
            <w:tcW w:w="1175" w:type="pct"/>
            <w:vMerge/>
          </w:tcPr>
          <w:p w14:paraId="7890E936" w14:textId="77777777" w:rsidR="00F45B8A" w:rsidRPr="00316837" w:rsidRDefault="00F45B8A" w:rsidP="00F45B8A">
            <w:pPr>
              <w:spacing w:before="120" w:after="120"/>
              <w:jc w:val="left"/>
              <w:rPr>
                <w:rFonts w:eastAsia="Calibri"/>
                <w:sz w:val="18"/>
                <w:szCs w:val="18"/>
              </w:rPr>
            </w:pPr>
          </w:p>
        </w:tc>
        <w:tc>
          <w:tcPr>
            <w:tcW w:w="1104" w:type="pct"/>
          </w:tcPr>
          <w:p w14:paraId="3CEC51AC" w14:textId="633E152C" w:rsidR="00F45B8A" w:rsidRPr="00316837" w:rsidRDefault="00F45B8A" w:rsidP="00E92788">
            <w:pPr>
              <w:numPr>
                <w:ilvl w:val="0"/>
                <w:numId w:val="65"/>
              </w:numPr>
              <w:spacing w:before="120" w:after="120"/>
              <w:jc w:val="left"/>
              <w:rPr>
                <w:rFonts w:eastAsia="Calibri"/>
                <w:sz w:val="18"/>
                <w:szCs w:val="18"/>
              </w:rPr>
            </w:pPr>
            <w:r w:rsidRPr="00316837">
              <w:rPr>
                <w:rFonts w:eastAsia="Calibri"/>
                <w:sz w:val="18"/>
                <w:szCs w:val="18"/>
              </w:rPr>
              <w:t>Market Administration</w:t>
            </w:r>
            <w:r w:rsidR="001D4932" w:rsidRPr="00316837">
              <w:rPr>
                <w:rFonts w:eastAsia="Calibri"/>
                <w:sz w:val="18"/>
                <w:szCs w:val="18"/>
              </w:rPr>
              <w:t xml:space="preserve"> </w:t>
            </w:r>
          </w:p>
        </w:tc>
        <w:tc>
          <w:tcPr>
            <w:tcW w:w="2720" w:type="pct"/>
          </w:tcPr>
          <w:p w14:paraId="09762E21" w14:textId="1C85A5FE"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Market monitoring and surveillance </w:t>
            </w:r>
          </w:p>
          <w:p w14:paraId="15D455EC" w14:textId="4E3DC575"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Contracts administration </w:t>
            </w:r>
          </w:p>
          <w:p w14:paraId="0DF0FF7A" w14:textId="32CCFE95"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Dispute management </w:t>
            </w:r>
          </w:p>
          <w:p w14:paraId="6A4FAB6F" w14:textId="6C51A091"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Membership registration and administration </w:t>
            </w:r>
          </w:p>
        </w:tc>
      </w:tr>
      <w:tr w:rsidR="00F45B8A" w:rsidRPr="00316837" w14:paraId="352F16BD" w14:textId="77777777" w:rsidTr="00F45B8A">
        <w:trPr>
          <w:trHeight w:val="55"/>
        </w:trPr>
        <w:tc>
          <w:tcPr>
            <w:tcW w:w="1175" w:type="pct"/>
            <w:vMerge/>
          </w:tcPr>
          <w:p w14:paraId="37B7C0FF" w14:textId="77777777" w:rsidR="00F45B8A" w:rsidRPr="00316837" w:rsidRDefault="00F45B8A" w:rsidP="00F45B8A">
            <w:pPr>
              <w:spacing w:before="120" w:after="120"/>
              <w:jc w:val="left"/>
              <w:rPr>
                <w:rFonts w:eastAsia="Calibri"/>
                <w:sz w:val="18"/>
                <w:szCs w:val="18"/>
              </w:rPr>
            </w:pPr>
          </w:p>
        </w:tc>
        <w:tc>
          <w:tcPr>
            <w:tcW w:w="1104" w:type="pct"/>
          </w:tcPr>
          <w:p w14:paraId="6D5F471F" w14:textId="5FBF3032" w:rsidR="00F45B8A" w:rsidRPr="00316837" w:rsidRDefault="00F45B8A" w:rsidP="00E92788">
            <w:pPr>
              <w:numPr>
                <w:ilvl w:val="0"/>
                <w:numId w:val="65"/>
              </w:numPr>
              <w:spacing w:before="120" w:after="120"/>
              <w:jc w:val="left"/>
              <w:rPr>
                <w:rFonts w:eastAsia="Calibri"/>
                <w:sz w:val="18"/>
                <w:szCs w:val="18"/>
              </w:rPr>
            </w:pPr>
            <w:r w:rsidRPr="00316837">
              <w:rPr>
                <w:rFonts w:eastAsia="Calibri"/>
                <w:sz w:val="18"/>
                <w:szCs w:val="18"/>
              </w:rPr>
              <w:t>Market Operation</w:t>
            </w:r>
            <w:r w:rsidR="001D4932" w:rsidRPr="00316837">
              <w:rPr>
                <w:rFonts w:eastAsia="Calibri"/>
                <w:sz w:val="18"/>
                <w:szCs w:val="18"/>
              </w:rPr>
              <w:t xml:space="preserve"> </w:t>
            </w:r>
          </w:p>
        </w:tc>
        <w:tc>
          <w:tcPr>
            <w:tcW w:w="2720" w:type="pct"/>
          </w:tcPr>
          <w:p w14:paraId="0CD0169A" w14:textId="1289BAD0"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Managing the forward physical market with monthly or weekly auctions </w:t>
            </w:r>
          </w:p>
          <w:p w14:paraId="25FFC220" w14:textId="48D072D6"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Managing the day-ahead and intraday markets </w:t>
            </w:r>
          </w:p>
          <w:p w14:paraId="1F73B68E" w14:textId="44019D1A"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Managing the regional balancing market </w:t>
            </w:r>
          </w:p>
        </w:tc>
      </w:tr>
      <w:tr w:rsidR="00F45B8A" w:rsidRPr="00316837" w14:paraId="2D9F82A1" w14:textId="77777777" w:rsidTr="00F45B8A">
        <w:trPr>
          <w:trHeight w:val="55"/>
        </w:trPr>
        <w:tc>
          <w:tcPr>
            <w:tcW w:w="1175" w:type="pct"/>
            <w:vMerge/>
          </w:tcPr>
          <w:p w14:paraId="6A88307E" w14:textId="77777777" w:rsidR="00F45B8A" w:rsidRPr="00316837" w:rsidRDefault="00F45B8A" w:rsidP="00F45B8A">
            <w:pPr>
              <w:spacing w:before="120" w:after="120"/>
              <w:jc w:val="left"/>
              <w:rPr>
                <w:rFonts w:eastAsia="Calibri"/>
                <w:sz w:val="18"/>
                <w:szCs w:val="18"/>
              </w:rPr>
            </w:pPr>
          </w:p>
        </w:tc>
        <w:tc>
          <w:tcPr>
            <w:tcW w:w="1104" w:type="pct"/>
          </w:tcPr>
          <w:p w14:paraId="3A8C4C3C" w14:textId="44A8C7A1" w:rsidR="00F45B8A" w:rsidRPr="00316837" w:rsidRDefault="00F45B8A" w:rsidP="00E92788">
            <w:pPr>
              <w:numPr>
                <w:ilvl w:val="0"/>
                <w:numId w:val="65"/>
              </w:numPr>
              <w:spacing w:before="120" w:after="120"/>
              <w:jc w:val="left"/>
              <w:rPr>
                <w:rFonts w:eastAsia="Calibri"/>
                <w:sz w:val="18"/>
                <w:szCs w:val="18"/>
              </w:rPr>
            </w:pPr>
            <w:r w:rsidRPr="00316837">
              <w:rPr>
                <w:rFonts w:eastAsia="Calibri"/>
                <w:sz w:val="18"/>
                <w:szCs w:val="18"/>
              </w:rPr>
              <w:t>Settlement</w:t>
            </w:r>
            <w:r w:rsidR="001D4932" w:rsidRPr="00316837">
              <w:rPr>
                <w:rFonts w:eastAsia="Calibri"/>
                <w:sz w:val="18"/>
                <w:szCs w:val="18"/>
              </w:rPr>
              <w:t xml:space="preserve"> </w:t>
            </w:r>
          </w:p>
        </w:tc>
        <w:tc>
          <w:tcPr>
            <w:tcW w:w="2720" w:type="pct"/>
          </w:tcPr>
          <w:p w14:paraId="3BE74827" w14:textId="0CF4C5BD"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Carrying out meter read administration </w:t>
            </w:r>
          </w:p>
          <w:p w14:paraId="32C7E386" w14:textId="2552AE97"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Carrying out forward physical market settlement </w:t>
            </w:r>
          </w:p>
          <w:p w14:paraId="39705FFA" w14:textId="7000A2E8"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Carrying out day-ahead and intraday markets settlement </w:t>
            </w:r>
          </w:p>
          <w:p w14:paraId="271EBA8F" w14:textId="63768621"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Undertaking balancing market billing </w:t>
            </w:r>
          </w:p>
          <w:p w14:paraId="05B937D4" w14:textId="2C1DD983"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Dealing with settlement, billing and payment </w:t>
            </w:r>
          </w:p>
        </w:tc>
      </w:tr>
      <w:tr w:rsidR="00F45B8A" w:rsidRPr="00316837" w14:paraId="7F963604" w14:textId="77777777" w:rsidTr="00F45B8A">
        <w:trPr>
          <w:trHeight w:val="55"/>
        </w:trPr>
        <w:tc>
          <w:tcPr>
            <w:tcW w:w="1175" w:type="pct"/>
            <w:vMerge/>
          </w:tcPr>
          <w:p w14:paraId="5B632052" w14:textId="77777777" w:rsidR="00F45B8A" w:rsidRPr="00316837" w:rsidRDefault="00F45B8A" w:rsidP="00F45B8A">
            <w:pPr>
              <w:spacing w:before="120" w:after="120"/>
              <w:jc w:val="left"/>
              <w:rPr>
                <w:rFonts w:eastAsia="Calibri"/>
                <w:sz w:val="18"/>
                <w:szCs w:val="18"/>
              </w:rPr>
            </w:pPr>
          </w:p>
        </w:tc>
        <w:tc>
          <w:tcPr>
            <w:tcW w:w="1104" w:type="pct"/>
          </w:tcPr>
          <w:p w14:paraId="3AEFE560" w14:textId="19FF40AF" w:rsidR="00F45B8A" w:rsidRPr="00316837" w:rsidRDefault="00F45B8A" w:rsidP="00E92788">
            <w:pPr>
              <w:numPr>
                <w:ilvl w:val="0"/>
                <w:numId w:val="65"/>
              </w:numPr>
              <w:spacing w:before="120" w:after="120"/>
              <w:jc w:val="left"/>
              <w:rPr>
                <w:rFonts w:eastAsia="Calibri"/>
                <w:sz w:val="18"/>
                <w:szCs w:val="18"/>
              </w:rPr>
            </w:pPr>
            <w:r w:rsidRPr="00316837">
              <w:rPr>
                <w:rFonts w:eastAsia="Calibri"/>
                <w:sz w:val="18"/>
                <w:szCs w:val="18"/>
              </w:rPr>
              <w:t>System Operations</w:t>
            </w:r>
            <w:r w:rsidR="001D4932" w:rsidRPr="00316837">
              <w:rPr>
                <w:rFonts w:eastAsia="Calibri"/>
                <w:sz w:val="18"/>
                <w:szCs w:val="18"/>
              </w:rPr>
              <w:t xml:space="preserve"> </w:t>
            </w:r>
          </w:p>
        </w:tc>
        <w:tc>
          <w:tcPr>
            <w:tcW w:w="2720" w:type="pct"/>
          </w:tcPr>
          <w:p w14:paraId="4EE32B09" w14:textId="102E35E8"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Providing oversight on technical aspects of the integrated regional market </w:t>
            </w:r>
          </w:p>
          <w:p w14:paraId="7BF6C96A" w14:textId="57D6CB6A"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Ensuring fair and non-discriminatory access to grid and cross-border interconnections </w:t>
            </w:r>
          </w:p>
          <w:p w14:paraId="4599DCD8" w14:textId="66467BF2"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Coordinating efforts of the national TSOs to dispatch electricity through the international interconnectors </w:t>
            </w:r>
          </w:p>
          <w:p w14:paraId="3ABA35B1" w14:textId="390DD5F8"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Operational planning of interconnectors </w:t>
            </w:r>
          </w:p>
          <w:p w14:paraId="04DBCEB9" w14:textId="62D669E0" w:rsidR="00F45B8A" w:rsidRPr="00316837" w:rsidRDefault="00F45B8A" w:rsidP="00F45B8A">
            <w:pPr>
              <w:spacing w:before="120" w:after="120"/>
              <w:jc w:val="left"/>
              <w:rPr>
                <w:rFonts w:eastAsia="Calibri"/>
                <w:sz w:val="18"/>
                <w:szCs w:val="18"/>
              </w:rPr>
            </w:pPr>
            <w:r w:rsidRPr="00316837">
              <w:rPr>
                <w:rFonts w:eastAsia="Calibri"/>
                <w:sz w:val="18"/>
                <w:szCs w:val="18"/>
              </w:rPr>
              <w:t xml:space="preserve">Capacity allocation and congestion management </w:t>
            </w:r>
          </w:p>
        </w:tc>
      </w:tr>
    </w:tbl>
    <w:p w14:paraId="19407008" w14:textId="4E3D8FE2" w:rsidR="00AD70E2" w:rsidRPr="00316837" w:rsidRDefault="00AD70E2" w:rsidP="00AD70E2">
      <w:pPr>
        <w:rPr>
          <w:rFonts w:eastAsia="Calibri"/>
          <w:szCs w:val="22"/>
        </w:rPr>
      </w:pPr>
      <w:r w:rsidRPr="00316837">
        <w:rPr>
          <w:rFonts w:eastAsia="Calibri"/>
          <w:szCs w:val="22"/>
        </w:rPr>
        <w:t xml:space="preserve">Based on the above discussions, the Guidelines </w:t>
      </w:r>
      <w:r w:rsidR="00F45B8A" w:rsidRPr="00316837">
        <w:rPr>
          <w:rFonts w:eastAsia="Calibri"/>
          <w:szCs w:val="22"/>
        </w:rPr>
        <w:t xml:space="preserve">1 </w:t>
      </w:r>
      <w:r w:rsidRPr="00316837">
        <w:rPr>
          <w:rFonts w:eastAsia="Calibri"/>
          <w:szCs w:val="22"/>
        </w:rPr>
        <w:t xml:space="preserve">for the national TSO, </w:t>
      </w:r>
      <w:r w:rsidR="00F45B8A" w:rsidRPr="00316837">
        <w:rPr>
          <w:rFonts w:eastAsia="Calibri"/>
          <w:szCs w:val="22"/>
        </w:rPr>
        <w:t xml:space="preserve">the </w:t>
      </w:r>
      <w:r w:rsidRPr="00316837">
        <w:rPr>
          <w:rFonts w:eastAsia="Calibri"/>
          <w:szCs w:val="22"/>
        </w:rPr>
        <w:t>Control Area Operators</w:t>
      </w:r>
      <w:r w:rsidR="00F45B8A" w:rsidRPr="00316837">
        <w:rPr>
          <w:rFonts w:eastAsia="Calibri"/>
          <w:szCs w:val="22"/>
        </w:rPr>
        <w:t>, and</w:t>
      </w:r>
      <w:r w:rsidRPr="00316837">
        <w:rPr>
          <w:rFonts w:eastAsia="Calibri"/>
          <w:szCs w:val="22"/>
        </w:rPr>
        <w:t xml:space="preserve"> </w:t>
      </w:r>
      <w:r w:rsidR="00F45B8A" w:rsidRPr="00316837">
        <w:rPr>
          <w:rFonts w:eastAsia="Calibri"/>
          <w:szCs w:val="22"/>
        </w:rPr>
        <w:t xml:space="preserve">the RSMOs </w:t>
      </w:r>
      <w:r w:rsidRPr="00316837">
        <w:rPr>
          <w:rFonts w:eastAsia="Calibri"/>
          <w:szCs w:val="22"/>
        </w:rPr>
        <w:t xml:space="preserve">are formulated as follows: </w:t>
      </w:r>
    </w:p>
    <w:p w14:paraId="7801476A" w14:textId="70E572C4" w:rsidR="00A21496" w:rsidRPr="00C632F6" w:rsidRDefault="009E4AED" w:rsidP="003F6A2E">
      <w:pPr>
        <w:rPr>
          <w:rFonts w:eastAsia="Calibri"/>
          <w:szCs w:val="22"/>
        </w:rPr>
      </w:pPr>
      <w:r w:rsidRPr="006273BD">
        <w:rPr>
          <w:rFonts w:eastAsia="Calibri" w:cs="Arial"/>
          <w:noProof/>
          <w:szCs w:val="20"/>
          <w:lang w:eastAsia="en-GB"/>
        </w:rPr>
        <mc:AlternateContent>
          <mc:Choice Requires="wps">
            <w:drawing>
              <wp:inline distT="0" distB="0" distL="0" distR="0" wp14:anchorId="6403D497" wp14:editId="2D0876FD">
                <wp:extent cx="6112800" cy="2689200"/>
                <wp:effectExtent l="0" t="0" r="21590" b="16510"/>
                <wp:docPr id="12" name="Text Box 12"/>
                <wp:cNvGraphicFramePr/>
                <a:graphic xmlns:a="http://schemas.openxmlformats.org/drawingml/2006/main">
                  <a:graphicData uri="http://schemas.microsoft.com/office/word/2010/wordprocessingShape">
                    <wps:wsp>
                      <wps:cNvSpPr txBox="1"/>
                      <wps:spPr>
                        <a:xfrm>
                          <a:off x="0" y="0"/>
                          <a:ext cx="6112800" cy="2689200"/>
                        </a:xfrm>
                        <a:prstGeom prst="rect">
                          <a:avLst/>
                        </a:prstGeom>
                        <a:solidFill>
                          <a:srgbClr val="9BBB59">
                            <a:lumMod val="20000"/>
                            <a:lumOff val="80000"/>
                          </a:srgbClr>
                        </a:solidFill>
                        <a:ln w="6350">
                          <a:solidFill>
                            <a:prstClr val="black"/>
                          </a:solidFill>
                        </a:ln>
                        <a:effectLst/>
                      </wps:spPr>
                      <wps:txbx>
                        <w:txbxContent>
                          <w:p w14:paraId="242EEA9A" w14:textId="5774303F" w:rsidR="005276A4" w:rsidRPr="009E4AED" w:rsidRDefault="005276A4" w:rsidP="006B0F78">
                            <w:pPr>
                              <w:jc w:val="left"/>
                              <w:rPr>
                                <w:bCs/>
                              </w:rPr>
                            </w:pPr>
                            <w:r w:rsidRPr="009E4AED">
                              <w:rPr>
                                <w:bCs/>
                              </w:rPr>
                              <w:t>Guideline</w:t>
                            </w:r>
                            <w:r>
                              <w:rPr>
                                <w:bCs/>
                              </w:rPr>
                              <w:t>s</w:t>
                            </w:r>
                            <w:r w:rsidRPr="009E4AED">
                              <w:rPr>
                                <w:bCs/>
                              </w:rPr>
                              <w:t xml:space="preserve"> 1.1</w:t>
                            </w:r>
                            <w:r>
                              <w:rPr>
                                <w:bCs/>
                              </w:rPr>
                              <w:t>:</w:t>
                            </w:r>
                            <w:r w:rsidRPr="009E4AED">
                              <w:rPr>
                                <w:bCs/>
                              </w:rPr>
                              <w:t xml:space="preserve"> Role of </w:t>
                            </w:r>
                            <w:r>
                              <w:rPr>
                                <w:bCs/>
                              </w:rPr>
                              <w:t xml:space="preserve">the </w:t>
                            </w:r>
                            <w:r w:rsidRPr="009E4AED">
                              <w:rPr>
                                <w:bCs/>
                              </w:rPr>
                              <w:t>National T</w:t>
                            </w:r>
                            <w:r w:rsidR="00316837">
                              <w:rPr>
                                <w:bCs/>
                              </w:rPr>
                              <w:t xml:space="preserve">ransmission </w:t>
                            </w:r>
                            <w:r w:rsidRPr="009E4AED">
                              <w:rPr>
                                <w:bCs/>
                              </w:rPr>
                              <w:t>S</w:t>
                            </w:r>
                            <w:r w:rsidR="00316837">
                              <w:rPr>
                                <w:bCs/>
                              </w:rPr>
                              <w:t xml:space="preserve">ystem </w:t>
                            </w:r>
                            <w:r w:rsidRPr="009E4AED">
                              <w:rPr>
                                <w:bCs/>
                              </w:rPr>
                              <w:t>O</w:t>
                            </w:r>
                            <w:r w:rsidR="00316837">
                              <w:rPr>
                                <w:bCs/>
                              </w:rPr>
                              <w:t>perator</w:t>
                            </w:r>
                            <w:r w:rsidRPr="009E4AED">
                              <w:rPr>
                                <w:bCs/>
                              </w:rPr>
                              <w:t>s</w:t>
                            </w:r>
                            <w:r>
                              <w:rPr>
                                <w:bCs/>
                              </w:rPr>
                              <w:t xml:space="preserve"> </w:t>
                            </w:r>
                            <w:r w:rsidR="00316837">
                              <w:rPr>
                                <w:bCs/>
                              </w:rPr>
                              <w:t xml:space="preserve">(TSOs) </w:t>
                            </w:r>
                          </w:p>
                          <w:p w14:paraId="36EAC9DF" w14:textId="5894BAAE" w:rsidR="005276A4" w:rsidRPr="009E4AED"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9E4AED">
                              <w:rPr>
                                <w:rFonts w:ascii="Arial" w:hAnsi="Arial" w:cs="Arial"/>
                                <w:bCs/>
                                <w:color w:val="000000" w:themeColor="text1"/>
                                <w:sz w:val="20"/>
                                <w:szCs w:val="20"/>
                                <w:lang w:val="en-GB"/>
                              </w:rPr>
                              <w:t>For the safe, secured</w:t>
                            </w:r>
                            <w:r>
                              <w:rPr>
                                <w:rFonts w:ascii="Arial" w:hAnsi="Arial" w:cs="Arial"/>
                                <w:bCs/>
                                <w:color w:val="000000" w:themeColor="text1"/>
                                <w:sz w:val="20"/>
                                <w:szCs w:val="20"/>
                                <w:lang w:val="en-GB"/>
                              </w:rPr>
                              <w:t>,</w:t>
                            </w:r>
                            <w:r w:rsidRPr="009E4AED">
                              <w:rPr>
                                <w:rFonts w:ascii="Arial" w:hAnsi="Arial" w:cs="Arial"/>
                                <w:bCs/>
                                <w:color w:val="000000" w:themeColor="text1"/>
                                <w:sz w:val="20"/>
                                <w:szCs w:val="20"/>
                                <w:lang w:val="en-GB"/>
                              </w:rPr>
                              <w:t xml:space="preserve"> and reliable operation of the interconnected power system, the national TSOs will need to act within the powers and duties prescribed in the licence issued by the </w:t>
                            </w:r>
                            <w:r>
                              <w:rPr>
                                <w:rFonts w:ascii="Arial" w:hAnsi="Arial" w:cs="Arial"/>
                                <w:bCs/>
                                <w:color w:val="000000" w:themeColor="text1"/>
                                <w:sz w:val="20"/>
                                <w:szCs w:val="20"/>
                                <w:lang w:val="en-GB"/>
                              </w:rPr>
                              <w:t xml:space="preserve">national </w:t>
                            </w:r>
                            <w:r w:rsidRPr="009E4AED">
                              <w:rPr>
                                <w:rFonts w:ascii="Arial" w:hAnsi="Arial" w:cs="Arial"/>
                                <w:bCs/>
                                <w:color w:val="000000" w:themeColor="text1"/>
                                <w:sz w:val="20"/>
                                <w:szCs w:val="20"/>
                                <w:lang w:val="en-GB"/>
                              </w:rPr>
                              <w:t>regulator</w:t>
                            </w:r>
                            <w:r>
                              <w:rPr>
                                <w:rFonts w:ascii="Arial" w:hAnsi="Arial" w:cs="Arial"/>
                                <w:bCs/>
                                <w:color w:val="000000" w:themeColor="text1"/>
                                <w:sz w:val="20"/>
                                <w:szCs w:val="20"/>
                                <w:lang w:val="en-GB"/>
                              </w:rPr>
                              <w:t>y authorities</w:t>
                            </w:r>
                            <w:r w:rsidRPr="009E4AED">
                              <w:rPr>
                                <w:rFonts w:ascii="Arial" w:hAnsi="Arial" w:cs="Arial"/>
                                <w:bCs/>
                                <w:color w:val="000000" w:themeColor="text1"/>
                                <w:sz w:val="20"/>
                                <w:szCs w:val="20"/>
                                <w:lang w:val="en-GB"/>
                              </w:rPr>
                              <w:t xml:space="preserve"> and in the legislation. </w:t>
                            </w:r>
                          </w:p>
                          <w:p w14:paraId="684F4521" w14:textId="16C7FF47" w:rsidR="005276A4" w:rsidRPr="009E4AED"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9E4AED">
                              <w:rPr>
                                <w:rFonts w:ascii="Arial" w:hAnsi="Arial" w:cs="Arial"/>
                                <w:bCs/>
                                <w:color w:val="000000" w:themeColor="text1"/>
                                <w:sz w:val="20"/>
                                <w:szCs w:val="20"/>
                                <w:lang w:val="en-GB"/>
                              </w:rPr>
                              <w:t xml:space="preserve">For cross-border </w:t>
                            </w:r>
                            <w:r>
                              <w:rPr>
                                <w:rFonts w:ascii="Arial" w:hAnsi="Arial" w:cs="Arial"/>
                                <w:bCs/>
                                <w:color w:val="000000" w:themeColor="text1"/>
                                <w:sz w:val="20"/>
                                <w:szCs w:val="20"/>
                                <w:lang w:val="en-GB"/>
                              </w:rPr>
                              <w:t xml:space="preserve">electricity </w:t>
                            </w:r>
                            <w:r w:rsidRPr="009E4AED">
                              <w:rPr>
                                <w:rFonts w:ascii="Arial" w:hAnsi="Arial" w:cs="Arial"/>
                                <w:bCs/>
                                <w:color w:val="000000" w:themeColor="text1"/>
                                <w:sz w:val="20"/>
                                <w:szCs w:val="20"/>
                                <w:lang w:val="en-GB"/>
                              </w:rPr>
                              <w:t xml:space="preserve">trading under AfSEM, the </w:t>
                            </w:r>
                            <w:r>
                              <w:rPr>
                                <w:rFonts w:ascii="Arial" w:hAnsi="Arial" w:cs="Arial"/>
                                <w:bCs/>
                                <w:color w:val="000000" w:themeColor="text1"/>
                                <w:sz w:val="20"/>
                                <w:szCs w:val="20"/>
                                <w:lang w:val="en-GB"/>
                              </w:rPr>
                              <w:t xml:space="preserve">national </w:t>
                            </w:r>
                            <w:r w:rsidRPr="009E4AED">
                              <w:rPr>
                                <w:rFonts w:ascii="Arial" w:hAnsi="Arial" w:cs="Arial"/>
                                <w:bCs/>
                                <w:color w:val="000000" w:themeColor="text1"/>
                                <w:sz w:val="20"/>
                                <w:szCs w:val="20"/>
                                <w:lang w:val="en-GB"/>
                              </w:rPr>
                              <w:t>TSOs will ensure that the level of flows on the interconnectors under its jurisdiction, are within the accepted level and within the operating ranges so that the technical parameters are not v</w:t>
                            </w:r>
                            <w:r>
                              <w:rPr>
                                <w:rFonts w:ascii="Arial" w:hAnsi="Arial" w:cs="Arial"/>
                                <w:bCs/>
                                <w:color w:val="000000" w:themeColor="text1"/>
                                <w:sz w:val="20"/>
                                <w:szCs w:val="20"/>
                                <w:lang w:val="en-GB"/>
                              </w:rPr>
                              <w:t>i</w:t>
                            </w:r>
                            <w:r w:rsidRPr="009E4AED">
                              <w:rPr>
                                <w:rFonts w:ascii="Arial" w:hAnsi="Arial" w:cs="Arial"/>
                                <w:bCs/>
                                <w:color w:val="000000" w:themeColor="text1"/>
                                <w:sz w:val="20"/>
                                <w:szCs w:val="20"/>
                                <w:lang w:val="en-GB"/>
                              </w:rPr>
                              <w:t xml:space="preserve">olated. </w:t>
                            </w:r>
                          </w:p>
                          <w:p w14:paraId="441BEA04" w14:textId="6EDA2EA0" w:rsidR="005276A4" w:rsidRPr="009E4AED"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9E4AED">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 xml:space="preserve">national </w:t>
                            </w:r>
                            <w:r w:rsidRPr="009E4AED">
                              <w:rPr>
                                <w:rFonts w:ascii="Arial" w:hAnsi="Arial" w:cs="Arial"/>
                                <w:bCs/>
                                <w:color w:val="000000" w:themeColor="text1"/>
                                <w:sz w:val="20"/>
                                <w:szCs w:val="20"/>
                                <w:lang w:val="en-GB"/>
                              </w:rPr>
                              <w:t xml:space="preserve">TSOs </w:t>
                            </w:r>
                            <w:r>
                              <w:rPr>
                                <w:rFonts w:ascii="Arial" w:hAnsi="Arial" w:cs="Arial"/>
                                <w:bCs/>
                                <w:color w:val="000000" w:themeColor="text1"/>
                                <w:sz w:val="20"/>
                                <w:szCs w:val="20"/>
                                <w:lang w:val="en-GB"/>
                              </w:rPr>
                              <w:t>will</w:t>
                            </w:r>
                            <w:r w:rsidRPr="009E4AED">
                              <w:rPr>
                                <w:rFonts w:ascii="Arial" w:hAnsi="Arial" w:cs="Arial"/>
                                <w:bCs/>
                                <w:color w:val="000000" w:themeColor="text1"/>
                                <w:sz w:val="20"/>
                                <w:szCs w:val="20"/>
                                <w:lang w:val="en-GB"/>
                              </w:rPr>
                              <w:t xml:space="preserve"> be required to provide support when called upon by the </w:t>
                            </w:r>
                            <w:r>
                              <w:rPr>
                                <w:rFonts w:ascii="Arial" w:hAnsi="Arial" w:cs="Arial"/>
                                <w:bCs/>
                                <w:color w:val="000000" w:themeColor="text1"/>
                                <w:sz w:val="20"/>
                                <w:szCs w:val="20"/>
                                <w:lang w:val="en-GB"/>
                              </w:rPr>
                              <w:t>R</w:t>
                            </w:r>
                            <w:r w:rsidRPr="009E4AED">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9E4AED">
                              <w:rPr>
                                <w:rFonts w:ascii="Arial" w:hAnsi="Arial" w:cs="Arial"/>
                                <w:bCs/>
                                <w:color w:val="000000" w:themeColor="text1"/>
                                <w:sz w:val="20"/>
                                <w:szCs w:val="20"/>
                                <w:lang w:val="en-GB"/>
                              </w:rPr>
                              <w:t xml:space="preserve"> and the Control Area </w:t>
                            </w:r>
                            <w:r>
                              <w:rPr>
                                <w:rFonts w:ascii="Arial" w:hAnsi="Arial" w:cs="Arial"/>
                                <w:bCs/>
                                <w:color w:val="000000" w:themeColor="text1"/>
                                <w:sz w:val="20"/>
                                <w:szCs w:val="20"/>
                                <w:lang w:val="en-GB"/>
                              </w:rPr>
                              <w:t>Operators</w:t>
                            </w:r>
                            <w:r w:rsidRPr="009E4AED">
                              <w:rPr>
                                <w:rFonts w:ascii="Arial" w:hAnsi="Arial" w:cs="Arial"/>
                                <w:bCs/>
                                <w:color w:val="000000" w:themeColor="text1"/>
                                <w:sz w:val="20"/>
                                <w:szCs w:val="20"/>
                                <w:lang w:val="en-GB"/>
                              </w:rPr>
                              <w:t xml:space="preserve"> in times of emergencies</w:t>
                            </w:r>
                            <w:r>
                              <w:rPr>
                                <w:rFonts w:ascii="Arial" w:hAnsi="Arial" w:cs="Arial"/>
                                <w:bCs/>
                                <w:color w:val="000000" w:themeColor="text1"/>
                                <w:sz w:val="20"/>
                                <w:szCs w:val="20"/>
                                <w:lang w:val="en-GB"/>
                              </w:rPr>
                              <w:t xml:space="preserve">. </w:t>
                            </w:r>
                          </w:p>
                          <w:p w14:paraId="7DED6BEC" w14:textId="3234A767" w:rsidR="005276A4" w:rsidRPr="009E4AED"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9E4AED">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 xml:space="preserve">national </w:t>
                            </w:r>
                            <w:r w:rsidRPr="009E4AED">
                              <w:rPr>
                                <w:rFonts w:ascii="Arial" w:hAnsi="Arial" w:cs="Arial"/>
                                <w:bCs/>
                                <w:color w:val="000000" w:themeColor="text1"/>
                                <w:sz w:val="20"/>
                                <w:szCs w:val="20"/>
                                <w:lang w:val="en-GB"/>
                              </w:rPr>
                              <w:t>TSO</w:t>
                            </w:r>
                            <w:r>
                              <w:rPr>
                                <w:rFonts w:ascii="Arial" w:hAnsi="Arial" w:cs="Arial"/>
                                <w:bCs/>
                                <w:color w:val="000000" w:themeColor="text1"/>
                                <w:sz w:val="20"/>
                                <w:szCs w:val="20"/>
                                <w:lang w:val="en-GB"/>
                              </w:rPr>
                              <w:t>s</w:t>
                            </w:r>
                            <w:r w:rsidRPr="009E4AED">
                              <w:rPr>
                                <w:rFonts w:ascii="Arial" w:hAnsi="Arial" w:cs="Arial"/>
                                <w:bCs/>
                                <w:color w:val="000000" w:themeColor="text1"/>
                                <w:sz w:val="20"/>
                                <w:szCs w:val="20"/>
                                <w:lang w:val="en-GB"/>
                              </w:rPr>
                              <w:t xml:space="preserve"> will need to maintain constant communication with its Control Area </w:t>
                            </w:r>
                            <w:r>
                              <w:rPr>
                                <w:rFonts w:ascii="Arial" w:hAnsi="Arial" w:cs="Arial"/>
                                <w:bCs/>
                                <w:color w:val="000000" w:themeColor="text1"/>
                                <w:sz w:val="20"/>
                                <w:szCs w:val="20"/>
                                <w:lang w:val="en-GB"/>
                              </w:rPr>
                              <w:t xml:space="preserve">Operators </w:t>
                            </w:r>
                            <w:r w:rsidRPr="009E4AED">
                              <w:rPr>
                                <w:rFonts w:ascii="Arial" w:hAnsi="Arial" w:cs="Arial"/>
                                <w:bCs/>
                                <w:color w:val="000000" w:themeColor="text1"/>
                                <w:sz w:val="20"/>
                                <w:szCs w:val="20"/>
                                <w:lang w:val="en-GB"/>
                              </w:rPr>
                              <w:t xml:space="preserve">and with the </w:t>
                            </w:r>
                            <w:r>
                              <w:rPr>
                                <w:rFonts w:ascii="Arial" w:hAnsi="Arial" w:cs="Arial"/>
                                <w:bCs/>
                                <w:color w:val="000000" w:themeColor="text1"/>
                                <w:sz w:val="20"/>
                                <w:szCs w:val="20"/>
                                <w:lang w:val="en-GB"/>
                              </w:rPr>
                              <w:t>R</w:t>
                            </w:r>
                            <w:r w:rsidRPr="009E4AED">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9E4AED">
                              <w:rPr>
                                <w:rFonts w:ascii="Arial" w:hAnsi="Arial" w:cs="Arial"/>
                                <w:bCs/>
                                <w:color w:val="000000" w:themeColor="text1"/>
                                <w:sz w:val="20"/>
                                <w:szCs w:val="20"/>
                                <w:lang w:val="en-GB"/>
                              </w:rPr>
                              <w:t xml:space="preserve"> at all times.</w:t>
                            </w:r>
                            <w:r>
                              <w:rPr>
                                <w:rFonts w:ascii="Arial" w:hAnsi="Arial" w:cs="Arial"/>
                                <w:bCs/>
                                <w:color w:val="000000" w:themeColor="text1"/>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403D497" id="_x0000_t202" coordsize="21600,21600" o:spt="202" path="m,l,21600r21600,l21600,xe">
                <v:stroke joinstyle="miter"/>
                <v:path gradientshapeok="t" o:connecttype="rect"/>
              </v:shapetype>
              <v:shape id="Text Box 12" o:spid="_x0000_s1026" type="#_x0000_t202" style="width:481.3pt;height:2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" fillcolor="#ebf1de" strokeweight=".5pt">
                <v:textbox>
                  <w:txbxContent>
                    <w:p w14:paraId="242EEA9A" w14:textId="5774303F" w:rsidR="005276A4" w:rsidRPr="009E4AED" w:rsidRDefault="005276A4" w:rsidP="006B0F78">
                      <w:pPr>
                        <w:jc w:val="left"/>
                        <w:rPr>
                          <w:bCs/>
                        </w:rPr>
                      </w:pPr>
                      <w:r w:rsidRPr="009E4AED">
                        <w:rPr>
                          <w:bCs/>
                        </w:rPr>
                        <w:t>Guideline</w:t>
                      </w:r>
                      <w:r>
                        <w:rPr>
                          <w:bCs/>
                        </w:rPr>
                        <w:t>s</w:t>
                      </w:r>
                      <w:r w:rsidRPr="009E4AED">
                        <w:rPr>
                          <w:bCs/>
                        </w:rPr>
                        <w:t xml:space="preserve"> 1.1</w:t>
                      </w:r>
                      <w:r>
                        <w:rPr>
                          <w:bCs/>
                        </w:rPr>
                        <w:t>:</w:t>
                      </w:r>
                      <w:r w:rsidRPr="009E4AED">
                        <w:rPr>
                          <w:bCs/>
                        </w:rPr>
                        <w:t xml:space="preserve"> Role of </w:t>
                      </w:r>
                      <w:r>
                        <w:rPr>
                          <w:bCs/>
                        </w:rPr>
                        <w:t xml:space="preserve">the </w:t>
                      </w:r>
                      <w:r w:rsidRPr="009E4AED">
                        <w:rPr>
                          <w:bCs/>
                        </w:rPr>
                        <w:t>National T</w:t>
                      </w:r>
                      <w:r w:rsidR="00316837">
                        <w:rPr>
                          <w:bCs/>
                        </w:rPr>
                        <w:t xml:space="preserve">ransmission </w:t>
                      </w:r>
                      <w:r w:rsidRPr="009E4AED">
                        <w:rPr>
                          <w:bCs/>
                        </w:rPr>
                        <w:t>S</w:t>
                      </w:r>
                      <w:r w:rsidR="00316837">
                        <w:rPr>
                          <w:bCs/>
                        </w:rPr>
                        <w:t xml:space="preserve">ystem </w:t>
                      </w:r>
                      <w:r w:rsidRPr="009E4AED">
                        <w:rPr>
                          <w:bCs/>
                        </w:rPr>
                        <w:t>O</w:t>
                      </w:r>
                      <w:r w:rsidR="00316837">
                        <w:rPr>
                          <w:bCs/>
                        </w:rPr>
                        <w:t>perator</w:t>
                      </w:r>
                      <w:r w:rsidRPr="009E4AED">
                        <w:rPr>
                          <w:bCs/>
                        </w:rPr>
                        <w:t>s</w:t>
                      </w:r>
                      <w:r>
                        <w:rPr>
                          <w:bCs/>
                        </w:rPr>
                        <w:t xml:space="preserve"> </w:t>
                      </w:r>
                      <w:r w:rsidR="00316837">
                        <w:rPr>
                          <w:bCs/>
                        </w:rPr>
                        <w:t xml:space="preserve">(TSOs) </w:t>
                      </w:r>
                    </w:p>
                    <w:p w14:paraId="36EAC9DF" w14:textId="5894BAAE" w:rsidR="005276A4" w:rsidRPr="009E4AED"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9E4AED">
                        <w:rPr>
                          <w:rFonts w:ascii="Arial" w:hAnsi="Arial" w:cs="Arial"/>
                          <w:bCs/>
                          <w:color w:val="000000" w:themeColor="text1"/>
                          <w:sz w:val="20"/>
                          <w:szCs w:val="20"/>
                          <w:lang w:val="en-GB"/>
                        </w:rPr>
                        <w:t>For the safe, secured</w:t>
                      </w:r>
                      <w:r>
                        <w:rPr>
                          <w:rFonts w:ascii="Arial" w:hAnsi="Arial" w:cs="Arial"/>
                          <w:bCs/>
                          <w:color w:val="000000" w:themeColor="text1"/>
                          <w:sz w:val="20"/>
                          <w:szCs w:val="20"/>
                          <w:lang w:val="en-GB"/>
                        </w:rPr>
                        <w:t>,</w:t>
                      </w:r>
                      <w:r w:rsidRPr="009E4AED">
                        <w:rPr>
                          <w:rFonts w:ascii="Arial" w:hAnsi="Arial" w:cs="Arial"/>
                          <w:bCs/>
                          <w:color w:val="000000" w:themeColor="text1"/>
                          <w:sz w:val="20"/>
                          <w:szCs w:val="20"/>
                          <w:lang w:val="en-GB"/>
                        </w:rPr>
                        <w:t xml:space="preserve"> and reliable operation of the interconnected power system, the national TSOs will need to act within the powers and duties prescribed in the licence issued by the </w:t>
                      </w:r>
                      <w:r>
                        <w:rPr>
                          <w:rFonts w:ascii="Arial" w:hAnsi="Arial" w:cs="Arial"/>
                          <w:bCs/>
                          <w:color w:val="000000" w:themeColor="text1"/>
                          <w:sz w:val="20"/>
                          <w:szCs w:val="20"/>
                          <w:lang w:val="en-GB"/>
                        </w:rPr>
                        <w:t xml:space="preserve">national </w:t>
                      </w:r>
                      <w:r w:rsidRPr="009E4AED">
                        <w:rPr>
                          <w:rFonts w:ascii="Arial" w:hAnsi="Arial" w:cs="Arial"/>
                          <w:bCs/>
                          <w:color w:val="000000" w:themeColor="text1"/>
                          <w:sz w:val="20"/>
                          <w:szCs w:val="20"/>
                          <w:lang w:val="en-GB"/>
                        </w:rPr>
                        <w:t>regulator</w:t>
                      </w:r>
                      <w:r>
                        <w:rPr>
                          <w:rFonts w:ascii="Arial" w:hAnsi="Arial" w:cs="Arial"/>
                          <w:bCs/>
                          <w:color w:val="000000" w:themeColor="text1"/>
                          <w:sz w:val="20"/>
                          <w:szCs w:val="20"/>
                          <w:lang w:val="en-GB"/>
                        </w:rPr>
                        <w:t>y authorities</w:t>
                      </w:r>
                      <w:r w:rsidRPr="009E4AED">
                        <w:rPr>
                          <w:rFonts w:ascii="Arial" w:hAnsi="Arial" w:cs="Arial"/>
                          <w:bCs/>
                          <w:color w:val="000000" w:themeColor="text1"/>
                          <w:sz w:val="20"/>
                          <w:szCs w:val="20"/>
                          <w:lang w:val="en-GB"/>
                        </w:rPr>
                        <w:t xml:space="preserve"> and in the legislation. </w:t>
                      </w:r>
                    </w:p>
                    <w:p w14:paraId="684F4521" w14:textId="16C7FF47" w:rsidR="005276A4" w:rsidRPr="009E4AED"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9E4AED">
                        <w:rPr>
                          <w:rFonts w:ascii="Arial" w:hAnsi="Arial" w:cs="Arial"/>
                          <w:bCs/>
                          <w:color w:val="000000" w:themeColor="text1"/>
                          <w:sz w:val="20"/>
                          <w:szCs w:val="20"/>
                          <w:lang w:val="en-GB"/>
                        </w:rPr>
                        <w:t xml:space="preserve">For cross-border </w:t>
                      </w:r>
                      <w:r>
                        <w:rPr>
                          <w:rFonts w:ascii="Arial" w:hAnsi="Arial" w:cs="Arial"/>
                          <w:bCs/>
                          <w:color w:val="000000" w:themeColor="text1"/>
                          <w:sz w:val="20"/>
                          <w:szCs w:val="20"/>
                          <w:lang w:val="en-GB"/>
                        </w:rPr>
                        <w:t xml:space="preserve">electricity </w:t>
                      </w:r>
                      <w:r w:rsidRPr="009E4AED">
                        <w:rPr>
                          <w:rFonts w:ascii="Arial" w:hAnsi="Arial" w:cs="Arial"/>
                          <w:bCs/>
                          <w:color w:val="000000" w:themeColor="text1"/>
                          <w:sz w:val="20"/>
                          <w:szCs w:val="20"/>
                          <w:lang w:val="en-GB"/>
                        </w:rPr>
                        <w:t xml:space="preserve">trading under AfSEM, the </w:t>
                      </w:r>
                      <w:r>
                        <w:rPr>
                          <w:rFonts w:ascii="Arial" w:hAnsi="Arial" w:cs="Arial"/>
                          <w:bCs/>
                          <w:color w:val="000000" w:themeColor="text1"/>
                          <w:sz w:val="20"/>
                          <w:szCs w:val="20"/>
                          <w:lang w:val="en-GB"/>
                        </w:rPr>
                        <w:t xml:space="preserve">national </w:t>
                      </w:r>
                      <w:r w:rsidRPr="009E4AED">
                        <w:rPr>
                          <w:rFonts w:ascii="Arial" w:hAnsi="Arial" w:cs="Arial"/>
                          <w:bCs/>
                          <w:color w:val="000000" w:themeColor="text1"/>
                          <w:sz w:val="20"/>
                          <w:szCs w:val="20"/>
                          <w:lang w:val="en-GB"/>
                        </w:rPr>
                        <w:t>TSOs will ensure that the level of flows on the interconnectors under its jurisdiction, are within the accepted level and within the operating ranges so that the technical parameters are not v</w:t>
                      </w:r>
                      <w:r>
                        <w:rPr>
                          <w:rFonts w:ascii="Arial" w:hAnsi="Arial" w:cs="Arial"/>
                          <w:bCs/>
                          <w:color w:val="000000" w:themeColor="text1"/>
                          <w:sz w:val="20"/>
                          <w:szCs w:val="20"/>
                          <w:lang w:val="en-GB"/>
                        </w:rPr>
                        <w:t>i</w:t>
                      </w:r>
                      <w:r w:rsidRPr="009E4AED">
                        <w:rPr>
                          <w:rFonts w:ascii="Arial" w:hAnsi="Arial" w:cs="Arial"/>
                          <w:bCs/>
                          <w:color w:val="000000" w:themeColor="text1"/>
                          <w:sz w:val="20"/>
                          <w:szCs w:val="20"/>
                          <w:lang w:val="en-GB"/>
                        </w:rPr>
                        <w:t xml:space="preserve">olated. </w:t>
                      </w:r>
                    </w:p>
                    <w:p w14:paraId="441BEA04" w14:textId="6EDA2EA0" w:rsidR="005276A4" w:rsidRPr="009E4AED"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9E4AED">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 xml:space="preserve">national </w:t>
                      </w:r>
                      <w:r w:rsidRPr="009E4AED">
                        <w:rPr>
                          <w:rFonts w:ascii="Arial" w:hAnsi="Arial" w:cs="Arial"/>
                          <w:bCs/>
                          <w:color w:val="000000" w:themeColor="text1"/>
                          <w:sz w:val="20"/>
                          <w:szCs w:val="20"/>
                          <w:lang w:val="en-GB"/>
                        </w:rPr>
                        <w:t xml:space="preserve">TSOs </w:t>
                      </w:r>
                      <w:r>
                        <w:rPr>
                          <w:rFonts w:ascii="Arial" w:hAnsi="Arial" w:cs="Arial"/>
                          <w:bCs/>
                          <w:color w:val="000000" w:themeColor="text1"/>
                          <w:sz w:val="20"/>
                          <w:szCs w:val="20"/>
                          <w:lang w:val="en-GB"/>
                        </w:rPr>
                        <w:t>will</w:t>
                      </w:r>
                      <w:r w:rsidRPr="009E4AED">
                        <w:rPr>
                          <w:rFonts w:ascii="Arial" w:hAnsi="Arial" w:cs="Arial"/>
                          <w:bCs/>
                          <w:color w:val="000000" w:themeColor="text1"/>
                          <w:sz w:val="20"/>
                          <w:szCs w:val="20"/>
                          <w:lang w:val="en-GB"/>
                        </w:rPr>
                        <w:t xml:space="preserve"> be required to provide support when called upon by the </w:t>
                      </w:r>
                      <w:r>
                        <w:rPr>
                          <w:rFonts w:ascii="Arial" w:hAnsi="Arial" w:cs="Arial"/>
                          <w:bCs/>
                          <w:color w:val="000000" w:themeColor="text1"/>
                          <w:sz w:val="20"/>
                          <w:szCs w:val="20"/>
                          <w:lang w:val="en-GB"/>
                        </w:rPr>
                        <w:t>R</w:t>
                      </w:r>
                      <w:r w:rsidRPr="009E4AED">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9E4AED">
                        <w:rPr>
                          <w:rFonts w:ascii="Arial" w:hAnsi="Arial" w:cs="Arial"/>
                          <w:bCs/>
                          <w:color w:val="000000" w:themeColor="text1"/>
                          <w:sz w:val="20"/>
                          <w:szCs w:val="20"/>
                          <w:lang w:val="en-GB"/>
                        </w:rPr>
                        <w:t xml:space="preserve"> and the Control Area </w:t>
                      </w:r>
                      <w:r>
                        <w:rPr>
                          <w:rFonts w:ascii="Arial" w:hAnsi="Arial" w:cs="Arial"/>
                          <w:bCs/>
                          <w:color w:val="000000" w:themeColor="text1"/>
                          <w:sz w:val="20"/>
                          <w:szCs w:val="20"/>
                          <w:lang w:val="en-GB"/>
                        </w:rPr>
                        <w:t>Operators</w:t>
                      </w:r>
                      <w:r w:rsidRPr="009E4AED">
                        <w:rPr>
                          <w:rFonts w:ascii="Arial" w:hAnsi="Arial" w:cs="Arial"/>
                          <w:bCs/>
                          <w:color w:val="000000" w:themeColor="text1"/>
                          <w:sz w:val="20"/>
                          <w:szCs w:val="20"/>
                          <w:lang w:val="en-GB"/>
                        </w:rPr>
                        <w:t xml:space="preserve"> in times of emergencies</w:t>
                      </w:r>
                      <w:r>
                        <w:rPr>
                          <w:rFonts w:ascii="Arial" w:hAnsi="Arial" w:cs="Arial"/>
                          <w:bCs/>
                          <w:color w:val="000000" w:themeColor="text1"/>
                          <w:sz w:val="20"/>
                          <w:szCs w:val="20"/>
                          <w:lang w:val="en-GB"/>
                        </w:rPr>
                        <w:t xml:space="preserve">. </w:t>
                      </w:r>
                    </w:p>
                    <w:p w14:paraId="7DED6BEC" w14:textId="3234A767" w:rsidR="005276A4" w:rsidRPr="009E4AED"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9E4AED">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 xml:space="preserve">national </w:t>
                      </w:r>
                      <w:r w:rsidRPr="009E4AED">
                        <w:rPr>
                          <w:rFonts w:ascii="Arial" w:hAnsi="Arial" w:cs="Arial"/>
                          <w:bCs/>
                          <w:color w:val="000000" w:themeColor="text1"/>
                          <w:sz w:val="20"/>
                          <w:szCs w:val="20"/>
                          <w:lang w:val="en-GB"/>
                        </w:rPr>
                        <w:t>TSO</w:t>
                      </w:r>
                      <w:r>
                        <w:rPr>
                          <w:rFonts w:ascii="Arial" w:hAnsi="Arial" w:cs="Arial"/>
                          <w:bCs/>
                          <w:color w:val="000000" w:themeColor="text1"/>
                          <w:sz w:val="20"/>
                          <w:szCs w:val="20"/>
                          <w:lang w:val="en-GB"/>
                        </w:rPr>
                        <w:t>s</w:t>
                      </w:r>
                      <w:r w:rsidRPr="009E4AED">
                        <w:rPr>
                          <w:rFonts w:ascii="Arial" w:hAnsi="Arial" w:cs="Arial"/>
                          <w:bCs/>
                          <w:color w:val="000000" w:themeColor="text1"/>
                          <w:sz w:val="20"/>
                          <w:szCs w:val="20"/>
                          <w:lang w:val="en-GB"/>
                        </w:rPr>
                        <w:t xml:space="preserve"> will need to maintain constant communication with its Control Area </w:t>
                      </w:r>
                      <w:r>
                        <w:rPr>
                          <w:rFonts w:ascii="Arial" w:hAnsi="Arial" w:cs="Arial"/>
                          <w:bCs/>
                          <w:color w:val="000000" w:themeColor="text1"/>
                          <w:sz w:val="20"/>
                          <w:szCs w:val="20"/>
                          <w:lang w:val="en-GB"/>
                        </w:rPr>
                        <w:t xml:space="preserve">Operators </w:t>
                      </w:r>
                      <w:r w:rsidRPr="009E4AED">
                        <w:rPr>
                          <w:rFonts w:ascii="Arial" w:hAnsi="Arial" w:cs="Arial"/>
                          <w:bCs/>
                          <w:color w:val="000000" w:themeColor="text1"/>
                          <w:sz w:val="20"/>
                          <w:szCs w:val="20"/>
                          <w:lang w:val="en-GB"/>
                        </w:rPr>
                        <w:t xml:space="preserve">and with the </w:t>
                      </w:r>
                      <w:r>
                        <w:rPr>
                          <w:rFonts w:ascii="Arial" w:hAnsi="Arial" w:cs="Arial"/>
                          <w:bCs/>
                          <w:color w:val="000000" w:themeColor="text1"/>
                          <w:sz w:val="20"/>
                          <w:szCs w:val="20"/>
                          <w:lang w:val="en-GB"/>
                        </w:rPr>
                        <w:t>R</w:t>
                      </w:r>
                      <w:r w:rsidRPr="009E4AED">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9E4AED">
                        <w:rPr>
                          <w:rFonts w:ascii="Arial" w:hAnsi="Arial" w:cs="Arial"/>
                          <w:bCs/>
                          <w:color w:val="000000" w:themeColor="text1"/>
                          <w:sz w:val="20"/>
                          <w:szCs w:val="20"/>
                          <w:lang w:val="en-GB"/>
                        </w:rPr>
                        <w:t xml:space="preserve"> at all times.</w:t>
                      </w:r>
                      <w:r>
                        <w:rPr>
                          <w:rFonts w:ascii="Arial" w:hAnsi="Arial" w:cs="Arial"/>
                          <w:bCs/>
                          <w:color w:val="000000" w:themeColor="text1"/>
                          <w:sz w:val="20"/>
                          <w:szCs w:val="20"/>
                          <w:lang w:val="en-GB"/>
                        </w:rPr>
                        <w:t xml:space="preserve"> </w:t>
                      </w:r>
                    </w:p>
                  </w:txbxContent>
                </v:textbox>
                <w10:anchorlock/>
              </v:shape>
            </w:pict>
          </mc:Fallback>
        </mc:AlternateContent>
      </w:r>
    </w:p>
    <w:p w14:paraId="050A1864" w14:textId="2A9C0290" w:rsidR="00AD70E2" w:rsidRPr="00C632F6" w:rsidRDefault="008B7146" w:rsidP="003F6A2E">
      <w:pPr>
        <w:rPr>
          <w:rFonts w:eastAsia="Calibri"/>
          <w:szCs w:val="22"/>
        </w:rPr>
      </w:pPr>
      <w:r w:rsidRPr="006273BD">
        <w:rPr>
          <w:rFonts w:eastAsia="Calibri" w:cs="Arial"/>
          <w:noProof/>
          <w:szCs w:val="20"/>
          <w:lang w:eastAsia="en-GB"/>
        </w:rPr>
        <w:lastRenderedPageBreak/>
        <mc:AlternateContent>
          <mc:Choice Requires="wps">
            <w:drawing>
              <wp:inline distT="0" distB="0" distL="0" distR="0" wp14:anchorId="3E1B1366" wp14:editId="2AF617A5">
                <wp:extent cx="6112800" cy="2174358"/>
                <wp:effectExtent l="0" t="0" r="21590" b="16510"/>
                <wp:docPr id="19" name="Text Box 19"/>
                <wp:cNvGraphicFramePr/>
                <a:graphic xmlns:a="http://schemas.openxmlformats.org/drawingml/2006/main">
                  <a:graphicData uri="http://schemas.microsoft.com/office/word/2010/wordprocessingShape">
                    <wps:wsp>
                      <wps:cNvSpPr txBox="1"/>
                      <wps:spPr>
                        <a:xfrm>
                          <a:off x="0" y="0"/>
                          <a:ext cx="6112800" cy="2174358"/>
                        </a:xfrm>
                        <a:prstGeom prst="rect">
                          <a:avLst/>
                        </a:prstGeom>
                        <a:solidFill>
                          <a:srgbClr val="9BBB59">
                            <a:lumMod val="20000"/>
                            <a:lumOff val="80000"/>
                          </a:srgbClr>
                        </a:solidFill>
                        <a:ln w="6350">
                          <a:solidFill>
                            <a:prstClr val="black"/>
                          </a:solidFill>
                        </a:ln>
                        <a:effectLst/>
                      </wps:spPr>
                      <wps:txbx>
                        <w:txbxContent>
                          <w:p w14:paraId="20E8CDB2" w14:textId="0FE0AB09" w:rsidR="005276A4" w:rsidRPr="008B7146" w:rsidRDefault="005276A4" w:rsidP="006B0F78">
                            <w:pPr>
                              <w:jc w:val="left"/>
                              <w:rPr>
                                <w:bCs/>
                              </w:rPr>
                            </w:pPr>
                            <w:r w:rsidRPr="008B7146">
                              <w:rPr>
                                <w:bCs/>
                              </w:rPr>
                              <w:t>Guideline</w:t>
                            </w:r>
                            <w:r>
                              <w:rPr>
                                <w:bCs/>
                              </w:rPr>
                              <w:t>s</w:t>
                            </w:r>
                            <w:r w:rsidRPr="008B7146">
                              <w:rPr>
                                <w:bCs/>
                              </w:rPr>
                              <w:t xml:space="preserve"> 1.</w:t>
                            </w:r>
                            <w:r>
                              <w:rPr>
                                <w:bCs/>
                              </w:rPr>
                              <w:t>2:</w:t>
                            </w:r>
                            <w:r w:rsidRPr="008B7146">
                              <w:rPr>
                                <w:bCs/>
                              </w:rPr>
                              <w:t xml:space="preserve"> Role of Control Area Operators</w:t>
                            </w:r>
                            <w:r>
                              <w:rPr>
                                <w:bCs/>
                              </w:rPr>
                              <w:t xml:space="preserve"> </w:t>
                            </w:r>
                          </w:p>
                          <w:p w14:paraId="1E27FB4F" w14:textId="1269E810" w:rsidR="005276A4" w:rsidRPr="008B7146"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8B7146">
                              <w:rPr>
                                <w:rFonts w:ascii="Arial" w:hAnsi="Arial" w:cs="Arial"/>
                                <w:bCs/>
                                <w:color w:val="000000" w:themeColor="text1"/>
                                <w:sz w:val="20"/>
                                <w:szCs w:val="20"/>
                                <w:lang w:val="en-GB"/>
                              </w:rPr>
                              <w:t xml:space="preserve">Each </w:t>
                            </w:r>
                            <w:r>
                              <w:rPr>
                                <w:rFonts w:ascii="Arial" w:hAnsi="Arial" w:cs="Arial"/>
                                <w:bCs/>
                                <w:color w:val="000000" w:themeColor="text1"/>
                                <w:sz w:val="20"/>
                                <w:szCs w:val="20"/>
                                <w:lang w:val="en-GB"/>
                              </w:rPr>
                              <w:t>Power</w:t>
                            </w:r>
                            <w:r w:rsidRPr="008B7146">
                              <w:rPr>
                                <w:rFonts w:ascii="Arial" w:hAnsi="Arial" w:cs="Arial"/>
                                <w:bCs/>
                                <w:color w:val="000000" w:themeColor="text1"/>
                                <w:sz w:val="20"/>
                                <w:szCs w:val="20"/>
                                <w:lang w:val="en-GB"/>
                              </w:rPr>
                              <w:t xml:space="preserve"> </w:t>
                            </w:r>
                            <w:r>
                              <w:rPr>
                                <w:rFonts w:ascii="Arial" w:hAnsi="Arial" w:cs="Arial"/>
                                <w:bCs/>
                                <w:color w:val="000000" w:themeColor="text1"/>
                                <w:sz w:val="20"/>
                                <w:szCs w:val="20"/>
                                <w:lang w:val="en-GB"/>
                              </w:rPr>
                              <w:t>P</w:t>
                            </w:r>
                            <w:r w:rsidRPr="008B7146">
                              <w:rPr>
                                <w:rFonts w:ascii="Arial" w:hAnsi="Arial" w:cs="Arial"/>
                                <w:bCs/>
                                <w:color w:val="000000" w:themeColor="text1"/>
                                <w:sz w:val="20"/>
                                <w:szCs w:val="20"/>
                                <w:lang w:val="en-GB"/>
                              </w:rPr>
                              <w:t>ool will be grouped into a number of Control Areas for operational purposes.</w:t>
                            </w:r>
                            <w:r>
                              <w:rPr>
                                <w:rFonts w:ascii="Arial" w:hAnsi="Arial" w:cs="Arial"/>
                                <w:bCs/>
                                <w:color w:val="000000" w:themeColor="text1"/>
                                <w:sz w:val="20"/>
                                <w:szCs w:val="20"/>
                                <w:lang w:val="en-GB"/>
                              </w:rPr>
                              <w:t xml:space="preserve"> </w:t>
                            </w:r>
                          </w:p>
                          <w:p w14:paraId="7EE0D0C6" w14:textId="067ACFCE" w:rsidR="005276A4" w:rsidRPr="008B7146"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8B7146">
                              <w:rPr>
                                <w:rFonts w:ascii="Arial" w:hAnsi="Arial" w:cs="Arial"/>
                                <w:bCs/>
                                <w:color w:val="000000" w:themeColor="text1"/>
                                <w:sz w:val="20"/>
                                <w:szCs w:val="20"/>
                                <w:lang w:val="en-GB"/>
                              </w:rPr>
                              <w:t xml:space="preserve">Each Control Area </w:t>
                            </w:r>
                            <w:r>
                              <w:rPr>
                                <w:rFonts w:ascii="Arial" w:hAnsi="Arial" w:cs="Arial"/>
                                <w:bCs/>
                                <w:color w:val="000000" w:themeColor="text1"/>
                                <w:sz w:val="20"/>
                                <w:szCs w:val="20"/>
                                <w:lang w:val="en-GB"/>
                              </w:rPr>
                              <w:t xml:space="preserve">Operator </w:t>
                            </w:r>
                            <w:r w:rsidRPr="008B7146">
                              <w:rPr>
                                <w:rFonts w:ascii="Arial" w:hAnsi="Arial" w:cs="Arial"/>
                                <w:bCs/>
                                <w:color w:val="000000" w:themeColor="text1"/>
                                <w:sz w:val="20"/>
                                <w:szCs w:val="20"/>
                                <w:lang w:val="en-GB"/>
                              </w:rPr>
                              <w:t xml:space="preserve">will coordinate its operations with the national TSOs within its area of operation, in accordance with the regional technical operations manual developed by the </w:t>
                            </w:r>
                            <w:r>
                              <w:rPr>
                                <w:rFonts w:ascii="Arial" w:hAnsi="Arial" w:cs="Arial"/>
                                <w:bCs/>
                                <w:color w:val="000000" w:themeColor="text1"/>
                                <w:sz w:val="20"/>
                                <w:szCs w:val="20"/>
                                <w:lang w:val="en-GB"/>
                              </w:rPr>
                              <w:t>R</w:t>
                            </w:r>
                            <w:r w:rsidRPr="008B7146">
                              <w:rPr>
                                <w:rFonts w:ascii="Arial" w:hAnsi="Arial" w:cs="Arial"/>
                                <w:bCs/>
                                <w:color w:val="000000" w:themeColor="text1"/>
                                <w:sz w:val="20"/>
                                <w:szCs w:val="20"/>
                                <w:lang w:val="en-GB"/>
                              </w:rPr>
                              <w:t xml:space="preserve">SMO and approved by the regional regulatory authority. This will ensure that interconnector flows with other areas are not violated but rather maintained according to the agreed schedule. </w:t>
                            </w:r>
                          </w:p>
                          <w:p w14:paraId="173375D8" w14:textId="37E0969F" w:rsidR="005276A4" w:rsidRPr="008B7146"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8B7146">
                              <w:rPr>
                                <w:rFonts w:ascii="Arial" w:hAnsi="Arial" w:cs="Arial"/>
                                <w:bCs/>
                                <w:color w:val="000000" w:themeColor="text1"/>
                                <w:sz w:val="20"/>
                                <w:szCs w:val="20"/>
                                <w:lang w:val="en-GB"/>
                              </w:rPr>
                              <w:t>The Control Area</w:t>
                            </w:r>
                            <w:r>
                              <w:rPr>
                                <w:rFonts w:ascii="Arial" w:hAnsi="Arial" w:cs="Arial"/>
                                <w:bCs/>
                                <w:color w:val="000000" w:themeColor="text1"/>
                                <w:sz w:val="20"/>
                                <w:szCs w:val="20"/>
                                <w:lang w:val="en-GB"/>
                              </w:rPr>
                              <w:t xml:space="preserve"> Operator</w:t>
                            </w:r>
                            <w:r w:rsidRPr="008B7146">
                              <w:rPr>
                                <w:rFonts w:ascii="Arial" w:hAnsi="Arial" w:cs="Arial"/>
                                <w:bCs/>
                                <w:color w:val="000000" w:themeColor="text1"/>
                                <w:sz w:val="20"/>
                                <w:szCs w:val="20"/>
                                <w:lang w:val="en-GB"/>
                              </w:rPr>
                              <w:t xml:space="preserve">s will undertake technical and operational roles and will not be involved in the commercial aspects of cross-border </w:t>
                            </w:r>
                            <w:r>
                              <w:rPr>
                                <w:rFonts w:ascii="Arial" w:hAnsi="Arial" w:cs="Arial"/>
                                <w:bCs/>
                                <w:color w:val="000000" w:themeColor="text1"/>
                                <w:sz w:val="20"/>
                                <w:szCs w:val="20"/>
                                <w:lang w:val="en-GB"/>
                              </w:rPr>
                              <w:t xml:space="preserve">electricity </w:t>
                            </w:r>
                            <w:r w:rsidRPr="008B7146">
                              <w:rPr>
                                <w:rFonts w:ascii="Arial" w:hAnsi="Arial" w:cs="Arial"/>
                                <w:bCs/>
                                <w:color w:val="000000" w:themeColor="text1"/>
                                <w:sz w:val="20"/>
                                <w:szCs w:val="20"/>
                                <w:lang w:val="en-GB"/>
                              </w:rPr>
                              <w:t xml:space="preserve">trading between the countries or parties.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1B1366" id="Text Box 19" o:spid="_x0000_s1027" type="#_x0000_t202" style="width:481.3pt;height:1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" fillcolor="#ebf1de" strokeweight=".5pt">
                <v:textbox>
                  <w:txbxContent>
                    <w:p w14:paraId="20E8CDB2" w14:textId="0FE0AB09" w:rsidR="005276A4" w:rsidRPr="008B7146" w:rsidRDefault="005276A4" w:rsidP="006B0F78">
                      <w:pPr>
                        <w:jc w:val="left"/>
                        <w:rPr>
                          <w:bCs/>
                        </w:rPr>
                      </w:pPr>
                      <w:r w:rsidRPr="008B7146">
                        <w:rPr>
                          <w:bCs/>
                        </w:rPr>
                        <w:t>Guideline</w:t>
                      </w:r>
                      <w:r>
                        <w:rPr>
                          <w:bCs/>
                        </w:rPr>
                        <w:t>s</w:t>
                      </w:r>
                      <w:r w:rsidRPr="008B7146">
                        <w:rPr>
                          <w:bCs/>
                        </w:rPr>
                        <w:t xml:space="preserve"> 1.</w:t>
                      </w:r>
                      <w:r>
                        <w:rPr>
                          <w:bCs/>
                        </w:rPr>
                        <w:t>2:</w:t>
                      </w:r>
                      <w:r w:rsidRPr="008B7146">
                        <w:rPr>
                          <w:bCs/>
                        </w:rPr>
                        <w:t xml:space="preserve"> Role of Control Area Operators</w:t>
                      </w:r>
                      <w:r>
                        <w:rPr>
                          <w:bCs/>
                        </w:rPr>
                        <w:t xml:space="preserve"> </w:t>
                      </w:r>
                    </w:p>
                    <w:p w14:paraId="1E27FB4F" w14:textId="1269E810" w:rsidR="005276A4" w:rsidRPr="008B7146"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8B7146">
                        <w:rPr>
                          <w:rFonts w:ascii="Arial" w:hAnsi="Arial" w:cs="Arial"/>
                          <w:bCs/>
                          <w:color w:val="000000" w:themeColor="text1"/>
                          <w:sz w:val="20"/>
                          <w:szCs w:val="20"/>
                          <w:lang w:val="en-GB"/>
                        </w:rPr>
                        <w:t xml:space="preserve">Each </w:t>
                      </w:r>
                      <w:r>
                        <w:rPr>
                          <w:rFonts w:ascii="Arial" w:hAnsi="Arial" w:cs="Arial"/>
                          <w:bCs/>
                          <w:color w:val="000000" w:themeColor="text1"/>
                          <w:sz w:val="20"/>
                          <w:szCs w:val="20"/>
                          <w:lang w:val="en-GB"/>
                        </w:rPr>
                        <w:t>Power</w:t>
                      </w:r>
                      <w:r w:rsidRPr="008B7146">
                        <w:rPr>
                          <w:rFonts w:ascii="Arial" w:hAnsi="Arial" w:cs="Arial"/>
                          <w:bCs/>
                          <w:color w:val="000000" w:themeColor="text1"/>
                          <w:sz w:val="20"/>
                          <w:szCs w:val="20"/>
                          <w:lang w:val="en-GB"/>
                        </w:rPr>
                        <w:t xml:space="preserve"> </w:t>
                      </w:r>
                      <w:r>
                        <w:rPr>
                          <w:rFonts w:ascii="Arial" w:hAnsi="Arial" w:cs="Arial"/>
                          <w:bCs/>
                          <w:color w:val="000000" w:themeColor="text1"/>
                          <w:sz w:val="20"/>
                          <w:szCs w:val="20"/>
                          <w:lang w:val="en-GB"/>
                        </w:rPr>
                        <w:t>P</w:t>
                      </w:r>
                      <w:r w:rsidRPr="008B7146">
                        <w:rPr>
                          <w:rFonts w:ascii="Arial" w:hAnsi="Arial" w:cs="Arial"/>
                          <w:bCs/>
                          <w:color w:val="000000" w:themeColor="text1"/>
                          <w:sz w:val="20"/>
                          <w:szCs w:val="20"/>
                          <w:lang w:val="en-GB"/>
                        </w:rPr>
                        <w:t>ool will be grouped into a number of Control Areas for operational purposes.</w:t>
                      </w:r>
                      <w:r>
                        <w:rPr>
                          <w:rFonts w:ascii="Arial" w:hAnsi="Arial" w:cs="Arial"/>
                          <w:bCs/>
                          <w:color w:val="000000" w:themeColor="text1"/>
                          <w:sz w:val="20"/>
                          <w:szCs w:val="20"/>
                          <w:lang w:val="en-GB"/>
                        </w:rPr>
                        <w:t xml:space="preserve"> </w:t>
                      </w:r>
                    </w:p>
                    <w:p w14:paraId="7EE0D0C6" w14:textId="067ACFCE" w:rsidR="005276A4" w:rsidRPr="008B7146"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8B7146">
                        <w:rPr>
                          <w:rFonts w:ascii="Arial" w:hAnsi="Arial" w:cs="Arial"/>
                          <w:bCs/>
                          <w:color w:val="000000" w:themeColor="text1"/>
                          <w:sz w:val="20"/>
                          <w:szCs w:val="20"/>
                          <w:lang w:val="en-GB"/>
                        </w:rPr>
                        <w:t xml:space="preserve">Each Control Area </w:t>
                      </w:r>
                      <w:r>
                        <w:rPr>
                          <w:rFonts w:ascii="Arial" w:hAnsi="Arial" w:cs="Arial"/>
                          <w:bCs/>
                          <w:color w:val="000000" w:themeColor="text1"/>
                          <w:sz w:val="20"/>
                          <w:szCs w:val="20"/>
                          <w:lang w:val="en-GB"/>
                        </w:rPr>
                        <w:t xml:space="preserve">Operator </w:t>
                      </w:r>
                      <w:r w:rsidRPr="008B7146">
                        <w:rPr>
                          <w:rFonts w:ascii="Arial" w:hAnsi="Arial" w:cs="Arial"/>
                          <w:bCs/>
                          <w:color w:val="000000" w:themeColor="text1"/>
                          <w:sz w:val="20"/>
                          <w:szCs w:val="20"/>
                          <w:lang w:val="en-GB"/>
                        </w:rPr>
                        <w:t xml:space="preserve">will coordinate its operations with the national TSOs within its area of operation, in accordance with the regional technical operations manual developed by the </w:t>
                      </w:r>
                      <w:r>
                        <w:rPr>
                          <w:rFonts w:ascii="Arial" w:hAnsi="Arial" w:cs="Arial"/>
                          <w:bCs/>
                          <w:color w:val="000000" w:themeColor="text1"/>
                          <w:sz w:val="20"/>
                          <w:szCs w:val="20"/>
                          <w:lang w:val="en-GB"/>
                        </w:rPr>
                        <w:t>R</w:t>
                      </w:r>
                      <w:r w:rsidRPr="008B7146">
                        <w:rPr>
                          <w:rFonts w:ascii="Arial" w:hAnsi="Arial" w:cs="Arial"/>
                          <w:bCs/>
                          <w:color w:val="000000" w:themeColor="text1"/>
                          <w:sz w:val="20"/>
                          <w:szCs w:val="20"/>
                          <w:lang w:val="en-GB"/>
                        </w:rPr>
                        <w:t xml:space="preserve">SMO and approved by the regional regulatory authority. This will ensure that interconnector flows with other areas are not violated but rather maintained according to the agreed schedule. </w:t>
                      </w:r>
                    </w:p>
                    <w:p w14:paraId="173375D8" w14:textId="37E0969F" w:rsidR="005276A4" w:rsidRPr="008B7146" w:rsidRDefault="005276A4" w:rsidP="00E92788">
                      <w:pPr>
                        <w:pStyle w:val="ListParagraph"/>
                        <w:numPr>
                          <w:ilvl w:val="0"/>
                          <w:numId w:val="67"/>
                        </w:numPr>
                        <w:spacing w:before="160" w:after="0" w:line="288" w:lineRule="auto"/>
                        <w:jc w:val="left"/>
                        <w:rPr>
                          <w:rFonts w:ascii="Arial" w:hAnsi="Arial" w:cs="Arial"/>
                          <w:bCs/>
                          <w:color w:val="000000" w:themeColor="text1"/>
                          <w:sz w:val="20"/>
                          <w:szCs w:val="20"/>
                          <w:lang w:val="en-GB"/>
                        </w:rPr>
                      </w:pPr>
                      <w:r w:rsidRPr="008B7146">
                        <w:rPr>
                          <w:rFonts w:ascii="Arial" w:hAnsi="Arial" w:cs="Arial"/>
                          <w:bCs/>
                          <w:color w:val="000000" w:themeColor="text1"/>
                          <w:sz w:val="20"/>
                          <w:szCs w:val="20"/>
                          <w:lang w:val="en-GB"/>
                        </w:rPr>
                        <w:t>The Control Area</w:t>
                      </w:r>
                      <w:r>
                        <w:rPr>
                          <w:rFonts w:ascii="Arial" w:hAnsi="Arial" w:cs="Arial"/>
                          <w:bCs/>
                          <w:color w:val="000000" w:themeColor="text1"/>
                          <w:sz w:val="20"/>
                          <w:szCs w:val="20"/>
                          <w:lang w:val="en-GB"/>
                        </w:rPr>
                        <w:t xml:space="preserve"> Operator</w:t>
                      </w:r>
                      <w:r w:rsidRPr="008B7146">
                        <w:rPr>
                          <w:rFonts w:ascii="Arial" w:hAnsi="Arial" w:cs="Arial"/>
                          <w:bCs/>
                          <w:color w:val="000000" w:themeColor="text1"/>
                          <w:sz w:val="20"/>
                          <w:szCs w:val="20"/>
                          <w:lang w:val="en-GB"/>
                        </w:rPr>
                        <w:t xml:space="preserve">s will undertake technical and operational roles and will not be involved in the commercial aspects of cross-border </w:t>
                      </w:r>
                      <w:r>
                        <w:rPr>
                          <w:rFonts w:ascii="Arial" w:hAnsi="Arial" w:cs="Arial"/>
                          <w:bCs/>
                          <w:color w:val="000000" w:themeColor="text1"/>
                          <w:sz w:val="20"/>
                          <w:szCs w:val="20"/>
                          <w:lang w:val="en-GB"/>
                        </w:rPr>
                        <w:t xml:space="preserve">electricity </w:t>
                      </w:r>
                      <w:r w:rsidRPr="008B7146">
                        <w:rPr>
                          <w:rFonts w:ascii="Arial" w:hAnsi="Arial" w:cs="Arial"/>
                          <w:bCs/>
                          <w:color w:val="000000" w:themeColor="text1"/>
                          <w:sz w:val="20"/>
                          <w:szCs w:val="20"/>
                          <w:lang w:val="en-GB"/>
                        </w:rPr>
                        <w:t xml:space="preserve">trading between the countries or parties. </w:t>
                      </w:r>
                    </w:p>
                  </w:txbxContent>
                </v:textbox>
                <w10:anchorlock/>
              </v:shape>
            </w:pict>
          </mc:Fallback>
        </mc:AlternateContent>
      </w:r>
    </w:p>
    <w:p w14:paraId="21B12CE1" w14:textId="0A0D0BCB" w:rsidR="00A21496" w:rsidRPr="00C632F6" w:rsidRDefault="00D60A99" w:rsidP="003F6A2E">
      <w:pPr>
        <w:rPr>
          <w:rFonts w:eastAsia="Calibri"/>
          <w:szCs w:val="22"/>
        </w:rPr>
      </w:pPr>
      <w:r w:rsidRPr="006273BD">
        <w:rPr>
          <w:rFonts w:eastAsia="Calibri" w:cs="Arial"/>
          <w:noProof/>
          <w:szCs w:val="20"/>
          <w:lang w:eastAsia="en-GB"/>
        </w:rPr>
        <mc:AlternateContent>
          <mc:Choice Requires="wps">
            <w:drawing>
              <wp:inline distT="0" distB="0" distL="0" distR="0" wp14:anchorId="318A29D6" wp14:editId="1C927391">
                <wp:extent cx="6112800" cy="3264195"/>
                <wp:effectExtent l="0" t="0" r="21590" b="12700"/>
                <wp:docPr id="21" name="Text Box 21"/>
                <wp:cNvGraphicFramePr/>
                <a:graphic xmlns:a="http://schemas.openxmlformats.org/drawingml/2006/main">
                  <a:graphicData uri="http://schemas.microsoft.com/office/word/2010/wordprocessingShape">
                    <wps:wsp>
                      <wps:cNvSpPr txBox="1"/>
                      <wps:spPr>
                        <a:xfrm>
                          <a:off x="0" y="0"/>
                          <a:ext cx="6112800" cy="3264195"/>
                        </a:xfrm>
                        <a:prstGeom prst="rect">
                          <a:avLst/>
                        </a:prstGeom>
                        <a:solidFill>
                          <a:srgbClr val="9BBB59">
                            <a:lumMod val="20000"/>
                            <a:lumOff val="80000"/>
                          </a:srgbClr>
                        </a:solidFill>
                        <a:ln w="6350">
                          <a:solidFill>
                            <a:prstClr val="black"/>
                          </a:solidFill>
                        </a:ln>
                        <a:effectLst/>
                      </wps:spPr>
                      <wps:txbx>
                        <w:txbxContent>
                          <w:p w14:paraId="2F556B09" w14:textId="33473F17" w:rsidR="005276A4" w:rsidRPr="00D60A99" w:rsidRDefault="005276A4" w:rsidP="006B0F78">
                            <w:pPr>
                              <w:jc w:val="left"/>
                              <w:rPr>
                                <w:bCs/>
                              </w:rPr>
                            </w:pPr>
                            <w:r w:rsidRPr="00D60A99">
                              <w:rPr>
                                <w:bCs/>
                              </w:rPr>
                              <w:t>Guideline</w:t>
                            </w:r>
                            <w:r>
                              <w:rPr>
                                <w:bCs/>
                              </w:rPr>
                              <w:t>s</w:t>
                            </w:r>
                            <w:r w:rsidRPr="00D60A99">
                              <w:rPr>
                                <w:bCs/>
                              </w:rPr>
                              <w:t xml:space="preserve"> 1.</w:t>
                            </w:r>
                            <w:r>
                              <w:rPr>
                                <w:bCs/>
                              </w:rPr>
                              <w:t xml:space="preserve">3: </w:t>
                            </w:r>
                            <w:r w:rsidRPr="00D60A99">
                              <w:rPr>
                                <w:bCs/>
                              </w:rPr>
                              <w:t xml:space="preserve">Role of </w:t>
                            </w:r>
                            <w:r>
                              <w:rPr>
                                <w:bCs/>
                              </w:rPr>
                              <w:t xml:space="preserve">the </w:t>
                            </w:r>
                            <w:r w:rsidRPr="00D60A99">
                              <w:rPr>
                                <w:bCs/>
                              </w:rPr>
                              <w:t>R</w:t>
                            </w:r>
                            <w:r>
                              <w:rPr>
                                <w:bCs/>
                              </w:rPr>
                              <w:t>egional S</w:t>
                            </w:r>
                            <w:r w:rsidR="00316837">
                              <w:rPr>
                                <w:bCs/>
                              </w:rPr>
                              <w:t xml:space="preserve">ystem </w:t>
                            </w:r>
                            <w:r>
                              <w:rPr>
                                <w:bCs/>
                              </w:rPr>
                              <w:t>M</w:t>
                            </w:r>
                            <w:r w:rsidR="00316837">
                              <w:rPr>
                                <w:bCs/>
                              </w:rPr>
                              <w:t xml:space="preserve">arket </w:t>
                            </w:r>
                            <w:r>
                              <w:rPr>
                                <w:bCs/>
                              </w:rPr>
                              <w:t>O</w:t>
                            </w:r>
                            <w:r w:rsidR="00316837">
                              <w:rPr>
                                <w:bCs/>
                              </w:rPr>
                              <w:t>perator</w:t>
                            </w:r>
                            <w:r>
                              <w:rPr>
                                <w:bCs/>
                              </w:rPr>
                              <w:t>s (RSMOs)</w:t>
                            </w:r>
                            <w:r w:rsidRPr="00D60A99">
                              <w:rPr>
                                <w:bCs/>
                              </w:rPr>
                              <w:t xml:space="preserve"> </w:t>
                            </w:r>
                          </w:p>
                          <w:p w14:paraId="7AF80631" w14:textId="71EF9DBF" w:rsidR="005276A4" w:rsidRPr="00D60A99"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60A99">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R</w:t>
                            </w:r>
                            <w:r w:rsidRPr="00D60A99">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D60A99">
                              <w:rPr>
                                <w:rFonts w:ascii="Arial" w:hAnsi="Arial" w:cs="Arial"/>
                                <w:bCs/>
                                <w:color w:val="000000" w:themeColor="text1"/>
                                <w:sz w:val="20"/>
                                <w:szCs w:val="20"/>
                                <w:lang w:val="en-GB"/>
                              </w:rPr>
                              <w:t xml:space="preserve"> will be responsible for system operation coordination, market administration, market operation, and settlement. </w:t>
                            </w:r>
                          </w:p>
                          <w:p w14:paraId="18128269" w14:textId="70614134" w:rsidR="005276A4" w:rsidRPr="00D60A99"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60A99">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R</w:t>
                            </w:r>
                            <w:r w:rsidRPr="00D60A99">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D60A99">
                              <w:rPr>
                                <w:rFonts w:ascii="Arial" w:hAnsi="Arial" w:cs="Arial"/>
                                <w:bCs/>
                                <w:color w:val="000000" w:themeColor="text1"/>
                                <w:sz w:val="20"/>
                                <w:szCs w:val="20"/>
                                <w:lang w:val="en-GB"/>
                              </w:rPr>
                              <w:t xml:space="preserve"> will provide oversight on technical aspects of the integrated </w:t>
                            </w:r>
                            <w:r>
                              <w:rPr>
                                <w:rFonts w:ascii="Arial" w:hAnsi="Arial" w:cs="Arial"/>
                                <w:bCs/>
                                <w:color w:val="000000" w:themeColor="text1"/>
                                <w:sz w:val="20"/>
                                <w:szCs w:val="20"/>
                                <w:lang w:val="en-GB"/>
                              </w:rPr>
                              <w:t xml:space="preserve">regional </w:t>
                            </w:r>
                            <w:r w:rsidRPr="00D60A99">
                              <w:rPr>
                                <w:rFonts w:ascii="Arial" w:hAnsi="Arial" w:cs="Arial"/>
                                <w:bCs/>
                                <w:color w:val="000000" w:themeColor="text1"/>
                                <w:sz w:val="20"/>
                                <w:szCs w:val="20"/>
                                <w:lang w:val="en-GB"/>
                              </w:rPr>
                              <w:t xml:space="preserve">electricity market and ensure fair and non-discriminatory access to grid and international interconnections. </w:t>
                            </w:r>
                            <w:r>
                              <w:rPr>
                                <w:rFonts w:ascii="Arial" w:hAnsi="Arial" w:cs="Arial"/>
                                <w:bCs/>
                                <w:color w:val="000000" w:themeColor="text1"/>
                                <w:sz w:val="20"/>
                                <w:szCs w:val="20"/>
                                <w:lang w:val="en-GB"/>
                              </w:rPr>
                              <w:t>They</w:t>
                            </w:r>
                            <w:r w:rsidRPr="00D60A99">
                              <w:rPr>
                                <w:rFonts w:ascii="Arial" w:hAnsi="Arial" w:cs="Arial"/>
                                <w:bCs/>
                                <w:color w:val="000000" w:themeColor="text1"/>
                                <w:sz w:val="20"/>
                                <w:szCs w:val="20"/>
                                <w:lang w:val="en-GB"/>
                              </w:rPr>
                              <w:t xml:space="preserve"> will coordinate the efforts of </w:t>
                            </w:r>
                            <w:r>
                              <w:rPr>
                                <w:rFonts w:ascii="Arial" w:hAnsi="Arial" w:cs="Arial"/>
                                <w:bCs/>
                                <w:color w:val="000000" w:themeColor="text1"/>
                                <w:sz w:val="20"/>
                                <w:szCs w:val="20"/>
                                <w:lang w:val="en-GB"/>
                              </w:rPr>
                              <w:t xml:space="preserve">the Control Area Operators and support them in coordination of the </w:t>
                            </w:r>
                            <w:r w:rsidRPr="00D60A99">
                              <w:rPr>
                                <w:rFonts w:ascii="Arial" w:hAnsi="Arial" w:cs="Arial"/>
                                <w:bCs/>
                                <w:color w:val="000000" w:themeColor="text1"/>
                                <w:sz w:val="20"/>
                                <w:szCs w:val="20"/>
                                <w:lang w:val="en-GB"/>
                              </w:rPr>
                              <w:t>national TSOs in the Control Areas to dispatch electricity through the cross-border interconnectors.</w:t>
                            </w:r>
                            <w:r>
                              <w:rPr>
                                <w:rFonts w:ascii="Arial" w:hAnsi="Arial" w:cs="Arial"/>
                                <w:bCs/>
                                <w:color w:val="000000" w:themeColor="text1"/>
                                <w:sz w:val="20"/>
                                <w:szCs w:val="20"/>
                                <w:lang w:val="en-GB"/>
                              </w:rPr>
                              <w:t xml:space="preserve"> </w:t>
                            </w:r>
                          </w:p>
                          <w:p w14:paraId="1921AC52" w14:textId="5E0F5A9B" w:rsidR="005276A4" w:rsidRPr="00D60A99"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60A99">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R</w:t>
                            </w:r>
                            <w:r w:rsidRPr="00D60A99">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D60A99">
                              <w:rPr>
                                <w:rFonts w:ascii="Arial" w:hAnsi="Arial" w:cs="Arial"/>
                                <w:bCs/>
                                <w:color w:val="000000" w:themeColor="text1"/>
                                <w:sz w:val="20"/>
                                <w:szCs w:val="20"/>
                                <w:lang w:val="en-GB"/>
                              </w:rPr>
                              <w:t xml:space="preserve"> will be responsible for managing the different types of </w:t>
                            </w:r>
                            <w:r>
                              <w:rPr>
                                <w:rFonts w:ascii="Arial" w:hAnsi="Arial" w:cs="Arial"/>
                                <w:bCs/>
                                <w:color w:val="000000" w:themeColor="text1"/>
                                <w:sz w:val="20"/>
                                <w:szCs w:val="20"/>
                                <w:lang w:val="en-GB"/>
                              </w:rPr>
                              <w:t xml:space="preserve">energy </w:t>
                            </w:r>
                            <w:r w:rsidRPr="00D60A99">
                              <w:rPr>
                                <w:rFonts w:ascii="Arial" w:hAnsi="Arial" w:cs="Arial"/>
                                <w:bCs/>
                                <w:color w:val="000000" w:themeColor="text1"/>
                                <w:sz w:val="20"/>
                                <w:szCs w:val="20"/>
                                <w:lang w:val="en-GB"/>
                              </w:rPr>
                              <w:t xml:space="preserve">markets (Bilateral, </w:t>
                            </w:r>
                            <w:r>
                              <w:rPr>
                                <w:rFonts w:ascii="Arial" w:hAnsi="Arial" w:cs="Arial"/>
                                <w:bCs/>
                                <w:color w:val="000000" w:themeColor="text1"/>
                                <w:sz w:val="20"/>
                                <w:szCs w:val="20"/>
                                <w:lang w:val="en-GB"/>
                              </w:rPr>
                              <w:t xml:space="preserve">Forward Physical, </w:t>
                            </w:r>
                            <w:r w:rsidRPr="00D60A99">
                              <w:rPr>
                                <w:rFonts w:ascii="Arial" w:hAnsi="Arial" w:cs="Arial"/>
                                <w:bCs/>
                                <w:color w:val="000000" w:themeColor="text1"/>
                                <w:sz w:val="20"/>
                                <w:szCs w:val="20"/>
                                <w:lang w:val="en-GB"/>
                              </w:rPr>
                              <w:t>Day-Ahead</w:t>
                            </w:r>
                            <w:r>
                              <w:rPr>
                                <w:rFonts w:ascii="Arial" w:hAnsi="Arial" w:cs="Arial"/>
                                <w:bCs/>
                                <w:color w:val="000000" w:themeColor="text1"/>
                                <w:sz w:val="20"/>
                                <w:szCs w:val="20"/>
                                <w:lang w:val="en-GB"/>
                              </w:rPr>
                              <w:t>,</w:t>
                            </w:r>
                            <w:r w:rsidRPr="00D60A99">
                              <w:rPr>
                                <w:rFonts w:ascii="Arial" w:hAnsi="Arial" w:cs="Arial"/>
                                <w:bCs/>
                                <w:color w:val="000000" w:themeColor="text1"/>
                                <w:sz w:val="20"/>
                                <w:szCs w:val="20"/>
                                <w:lang w:val="en-GB"/>
                              </w:rPr>
                              <w:t xml:space="preserve"> </w:t>
                            </w:r>
                            <w:r>
                              <w:rPr>
                                <w:rFonts w:ascii="Arial" w:hAnsi="Arial" w:cs="Arial"/>
                                <w:bCs/>
                                <w:color w:val="000000" w:themeColor="text1"/>
                                <w:sz w:val="20"/>
                                <w:szCs w:val="20"/>
                                <w:lang w:val="en-GB"/>
                              </w:rPr>
                              <w:t>I</w:t>
                            </w:r>
                            <w:r w:rsidRPr="00D60A99">
                              <w:rPr>
                                <w:rFonts w:ascii="Arial" w:hAnsi="Arial" w:cs="Arial"/>
                                <w:bCs/>
                                <w:color w:val="000000" w:themeColor="text1"/>
                                <w:sz w:val="20"/>
                                <w:szCs w:val="20"/>
                                <w:lang w:val="en-GB"/>
                              </w:rPr>
                              <w:t>ntraday</w:t>
                            </w:r>
                            <w:r>
                              <w:rPr>
                                <w:rFonts w:ascii="Arial" w:hAnsi="Arial" w:cs="Arial"/>
                                <w:bCs/>
                                <w:color w:val="000000" w:themeColor="text1"/>
                                <w:sz w:val="20"/>
                                <w:szCs w:val="20"/>
                                <w:lang w:val="en-GB"/>
                              </w:rPr>
                              <w:t>, and Balancing</w:t>
                            </w:r>
                            <w:r w:rsidRPr="00D60A99">
                              <w:rPr>
                                <w:rFonts w:ascii="Arial" w:hAnsi="Arial" w:cs="Arial"/>
                                <w:bCs/>
                                <w:color w:val="000000" w:themeColor="text1"/>
                                <w:sz w:val="20"/>
                                <w:szCs w:val="20"/>
                                <w:lang w:val="en-GB"/>
                              </w:rPr>
                              <w:t xml:space="preserve">) and </w:t>
                            </w:r>
                            <w:r>
                              <w:rPr>
                                <w:rFonts w:ascii="Arial" w:hAnsi="Arial" w:cs="Arial"/>
                                <w:bCs/>
                                <w:color w:val="000000" w:themeColor="text1"/>
                                <w:sz w:val="20"/>
                                <w:szCs w:val="20"/>
                                <w:lang w:val="en-GB"/>
                              </w:rPr>
                              <w:t xml:space="preserve">the </w:t>
                            </w:r>
                            <w:r w:rsidRPr="00D60A99">
                              <w:rPr>
                                <w:rFonts w:ascii="Arial" w:hAnsi="Arial" w:cs="Arial"/>
                                <w:bCs/>
                                <w:color w:val="000000" w:themeColor="text1"/>
                                <w:sz w:val="20"/>
                                <w:szCs w:val="20"/>
                                <w:lang w:val="en-GB"/>
                              </w:rPr>
                              <w:t>Ancillary Services Market.</w:t>
                            </w:r>
                            <w:r>
                              <w:rPr>
                                <w:rFonts w:ascii="Arial" w:hAnsi="Arial" w:cs="Arial"/>
                                <w:bCs/>
                                <w:color w:val="000000" w:themeColor="text1"/>
                                <w:sz w:val="20"/>
                                <w:szCs w:val="20"/>
                                <w:lang w:val="en-GB"/>
                              </w:rPr>
                              <w:t xml:space="preserve"> </w:t>
                            </w:r>
                          </w:p>
                          <w:p w14:paraId="3BDC85C7" w14:textId="62DF0F4F" w:rsidR="005276A4" w:rsidRPr="00D60A99"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60A99">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RS</w:t>
                            </w:r>
                            <w:r w:rsidRPr="00D60A99">
                              <w:rPr>
                                <w:rFonts w:ascii="Arial" w:hAnsi="Arial" w:cs="Arial"/>
                                <w:bCs/>
                                <w:color w:val="000000" w:themeColor="text1"/>
                                <w:sz w:val="20"/>
                                <w:szCs w:val="20"/>
                                <w:lang w:val="en-GB"/>
                              </w:rPr>
                              <w:t>MO</w:t>
                            </w:r>
                            <w:r>
                              <w:rPr>
                                <w:rFonts w:ascii="Arial" w:hAnsi="Arial" w:cs="Arial"/>
                                <w:bCs/>
                                <w:color w:val="000000" w:themeColor="text1"/>
                                <w:sz w:val="20"/>
                                <w:szCs w:val="20"/>
                                <w:lang w:val="en-GB"/>
                              </w:rPr>
                              <w:t>s</w:t>
                            </w:r>
                            <w:r w:rsidRPr="00D60A99">
                              <w:rPr>
                                <w:rFonts w:ascii="Arial" w:hAnsi="Arial" w:cs="Arial"/>
                                <w:bCs/>
                                <w:color w:val="000000" w:themeColor="text1"/>
                                <w:sz w:val="20"/>
                                <w:szCs w:val="20"/>
                                <w:lang w:val="en-GB"/>
                              </w:rPr>
                              <w:t xml:space="preserve"> will coordinate its operations with the different Control Area</w:t>
                            </w:r>
                            <w:r>
                              <w:rPr>
                                <w:rFonts w:ascii="Arial" w:hAnsi="Arial" w:cs="Arial"/>
                                <w:bCs/>
                                <w:color w:val="000000" w:themeColor="text1"/>
                                <w:sz w:val="20"/>
                                <w:szCs w:val="20"/>
                                <w:lang w:val="en-GB"/>
                              </w:rPr>
                              <w:t xml:space="preserve"> Operator</w:t>
                            </w:r>
                            <w:r w:rsidRPr="00D60A99">
                              <w:rPr>
                                <w:rFonts w:ascii="Arial" w:hAnsi="Arial" w:cs="Arial"/>
                                <w:bCs/>
                                <w:color w:val="000000" w:themeColor="text1"/>
                                <w:sz w:val="20"/>
                                <w:szCs w:val="20"/>
                                <w:lang w:val="en-GB"/>
                              </w:rPr>
                              <w:t>s, undertake market monitoring and surveillance to assess the performance and operations of the market</w:t>
                            </w:r>
                            <w:r>
                              <w:rPr>
                                <w:rFonts w:ascii="Arial" w:hAnsi="Arial" w:cs="Arial"/>
                                <w:bCs/>
                                <w:color w:val="000000" w:themeColor="text1"/>
                                <w:sz w:val="20"/>
                                <w:szCs w:val="20"/>
                                <w:lang w:val="en-GB"/>
                              </w:rPr>
                              <w:t>.</w:t>
                            </w:r>
                            <w:r w:rsidRPr="00D60A99">
                              <w:rPr>
                                <w:rFonts w:ascii="Arial" w:hAnsi="Arial" w:cs="Arial"/>
                                <w:bCs/>
                                <w:color w:val="000000" w:themeColor="text1"/>
                                <w:sz w:val="20"/>
                                <w:szCs w:val="20"/>
                                <w:lang w:val="en-GB"/>
                              </w:rPr>
                              <w:t xml:space="preserve"> </w:t>
                            </w:r>
                          </w:p>
                          <w:p w14:paraId="160501C8" w14:textId="1B52870D" w:rsidR="005276A4" w:rsidRPr="00D60A99"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60A99">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R</w:t>
                            </w:r>
                            <w:r w:rsidRPr="00D60A99">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D60A99">
                              <w:rPr>
                                <w:rFonts w:ascii="Arial" w:hAnsi="Arial" w:cs="Arial"/>
                                <w:bCs/>
                                <w:color w:val="000000" w:themeColor="text1"/>
                                <w:sz w:val="20"/>
                                <w:szCs w:val="20"/>
                                <w:lang w:val="en-GB"/>
                              </w:rPr>
                              <w:t xml:space="preserve"> will manage the settlement of market fees and other charges including allocation of payments to cover compensation for ancillary services and network losses.</w:t>
                            </w:r>
                            <w:r>
                              <w:rPr>
                                <w:rFonts w:ascii="Arial" w:hAnsi="Arial" w:cs="Arial"/>
                                <w:bCs/>
                                <w:color w:val="000000" w:themeColor="text1"/>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8A29D6" id="Text Box 21" o:spid="_x0000_s1028" type="#_x0000_t202" style="width:481.3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" fillcolor="#ebf1de" strokeweight=".5pt">
                <v:textbox>
                  <w:txbxContent>
                    <w:p w14:paraId="2F556B09" w14:textId="33473F17" w:rsidR="005276A4" w:rsidRPr="00D60A99" w:rsidRDefault="005276A4" w:rsidP="006B0F78">
                      <w:pPr>
                        <w:jc w:val="left"/>
                        <w:rPr>
                          <w:bCs/>
                        </w:rPr>
                      </w:pPr>
                      <w:r w:rsidRPr="00D60A99">
                        <w:rPr>
                          <w:bCs/>
                        </w:rPr>
                        <w:t>Guideline</w:t>
                      </w:r>
                      <w:r>
                        <w:rPr>
                          <w:bCs/>
                        </w:rPr>
                        <w:t>s</w:t>
                      </w:r>
                      <w:r w:rsidRPr="00D60A99">
                        <w:rPr>
                          <w:bCs/>
                        </w:rPr>
                        <w:t xml:space="preserve"> 1.</w:t>
                      </w:r>
                      <w:r>
                        <w:rPr>
                          <w:bCs/>
                        </w:rPr>
                        <w:t xml:space="preserve">3: </w:t>
                      </w:r>
                      <w:r w:rsidRPr="00D60A99">
                        <w:rPr>
                          <w:bCs/>
                        </w:rPr>
                        <w:t xml:space="preserve">Role of </w:t>
                      </w:r>
                      <w:r>
                        <w:rPr>
                          <w:bCs/>
                        </w:rPr>
                        <w:t xml:space="preserve">the </w:t>
                      </w:r>
                      <w:r w:rsidRPr="00D60A99">
                        <w:rPr>
                          <w:bCs/>
                        </w:rPr>
                        <w:t>R</w:t>
                      </w:r>
                      <w:r>
                        <w:rPr>
                          <w:bCs/>
                        </w:rPr>
                        <w:t>egional S</w:t>
                      </w:r>
                      <w:r w:rsidR="00316837">
                        <w:rPr>
                          <w:bCs/>
                        </w:rPr>
                        <w:t xml:space="preserve">ystem </w:t>
                      </w:r>
                      <w:r>
                        <w:rPr>
                          <w:bCs/>
                        </w:rPr>
                        <w:t>M</w:t>
                      </w:r>
                      <w:r w:rsidR="00316837">
                        <w:rPr>
                          <w:bCs/>
                        </w:rPr>
                        <w:t xml:space="preserve">arket </w:t>
                      </w:r>
                      <w:r>
                        <w:rPr>
                          <w:bCs/>
                        </w:rPr>
                        <w:t>O</w:t>
                      </w:r>
                      <w:r w:rsidR="00316837">
                        <w:rPr>
                          <w:bCs/>
                        </w:rPr>
                        <w:t>perator</w:t>
                      </w:r>
                      <w:r>
                        <w:rPr>
                          <w:bCs/>
                        </w:rPr>
                        <w:t>s (RSMOs)</w:t>
                      </w:r>
                      <w:r w:rsidRPr="00D60A99">
                        <w:rPr>
                          <w:bCs/>
                        </w:rPr>
                        <w:t xml:space="preserve"> </w:t>
                      </w:r>
                    </w:p>
                    <w:p w14:paraId="7AF80631" w14:textId="71EF9DBF" w:rsidR="005276A4" w:rsidRPr="00D60A99"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60A99">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R</w:t>
                      </w:r>
                      <w:r w:rsidRPr="00D60A99">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D60A99">
                        <w:rPr>
                          <w:rFonts w:ascii="Arial" w:hAnsi="Arial" w:cs="Arial"/>
                          <w:bCs/>
                          <w:color w:val="000000" w:themeColor="text1"/>
                          <w:sz w:val="20"/>
                          <w:szCs w:val="20"/>
                          <w:lang w:val="en-GB"/>
                        </w:rPr>
                        <w:t xml:space="preserve"> will be responsible for system operation coordination, market administration, market operation, and settlement. </w:t>
                      </w:r>
                    </w:p>
                    <w:p w14:paraId="18128269" w14:textId="70614134" w:rsidR="005276A4" w:rsidRPr="00D60A99"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60A99">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R</w:t>
                      </w:r>
                      <w:r w:rsidRPr="00D60A99">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D60A99">
                        <w:rPr>
                          <w:rFonts w:ascii="Arial" w:hAnsi="Arial" w:cs="Arial"/>
                          <w:bCs/>
                          <w:color w:val="000000" w:themeColor="text1"/>
                          <w:sz w:val="20"/>
                          <w:szCs w:val="20"/>
                          <w:lang w:val="en-GB"/>
                        </w:rPr>
                        <w:t xml:space="preserve"> will provide oversight on technical aspects of the integrated </w:t>
                      </w:r>
                      <w:r>
                        <w:rPr>
                          <w:rFonts w:ascii="Arial" w:hAnsi="Arial" w:cs="Arial"/>
                          <w:bCs/>
                          <w:color w:val="000000" w:themeColor="text1"/>
                          <w:sz w:val="20"/>
                          <w:szCs w:val="20"/>
                          <w:lang w:val="en-GB"/>
                        </w:rPr>
                        <w:t xml:space="preserve">regional </w:t>
                      </w:r>
                      <w:r w:rsidRPr="00D60A99">
                        <w:rPr>
                          <w:rFonts w:ascii="Arial" w:hAnsi="Arial" w:cs="Arial"/>
                          <w:bCs/>
                          <w:color w:val="000000" w:themeColor="text1"/>
                          <w:sz w:val="20"/>
                          <w:szCs w:val="20"/>
                          <w:lang w:val="en-GB"/>
                        </w:rPr>
                        <w:t xml:space="preserve">electricity market and ensure fair and non-discriminatory access to grid and international interconnections. </w:t>
                      </w:r>
                      <w:r>
                        <w:rPr>
                          <w:rFonts w:ascii="Arial" w:hAnsi="Arial" w:cs="Arial"/>
                          <w:bCs/>
                          <w:color w:val="000000" w:themeColor="text1"/>
                          <w:sz w:val="20"/>
                          <w:szCs w:val="20"/>
                          <w:lang w:val="en-GB"/>
                        </w:rPr>
                        <w:t>They</w:t>
                      </w:r>
                      <w:r w:rsidRPr="00D60A99">
                        <w:rPr>
                          <w:rFonts w:ascii="Arial" w:hAnsi="Arial" w:cs="Arial"/>
                          <w:bCs/>
                          <w:color w:val="000000" w:themeColor="text1"/>
                          <w:sz w:val="20"/>
                          <w:szCs w:val="20"/>
                          <w:lang w:val="en-GB"/>
                        </w:rPr>
                        <w:t xml:space="preserve"> will coordinate the efforts of </w:t>
                      </w:r>
                      <w:r>
                        <w:rPr>
                          <w:rFonts w:ascii="Arial" w:hAnsi="Arial" w:cs="Arial"/>
                          <w:bCs/>
                          <w:color w:val="000000" w:themeColor="text1"/>
                          <w:sz w:val="20"/>
                          <w:szCs w:val="20"/>
                          <w:lang w:val="en-GB"/>
                        </w:rPr>
                        <w:t xml:space="preserve">the Control Area Operators and support them in coordination of the </w:t>
                      </w:r>
                      <w:r w:rsidRPr="00D60A99">
                        <w:rPr>
                          <w:rFonts w:ascii="Arial" w:hAnsi="Arial" w:cs="Arial"/>
                          <w:bCs/>
                          <w:color w:val="000000" w:themeColor="text1"/>
                          <w:sz w:val="20"/>
                          <w:szCs w:val="20"/>
                          <w:lang w:val="en-GB"/>
                        </w:rPr>
                        <w:t>national TSOs in the Control Areas to dispatch electricity through the cross-border interconnectors.</w:t>
                      </w:r>
                      <w:r>
                        <w:rPr>
                          <w:rFonts w:ascii="Arial" w:hAnsi="Arial" w:cs="Arial"/>
                          <w:bCs/>
                          <w:color w:val="000000" w:themeColor="text1"/>
                          <w:sz w:val="20"/>
                          <w:szCs w:val="20"/>
                          <w:lang w:val="en-GB"/>
                        </w:rPr>
                        <w:t xml:space="preserve"> </w:t>
                      </w:r>
                    </w:p>
                    <w:p w14:paraId="1921AC52" w14:textId="5E0F5A9B" w:rsidR="005276A4" w:rsidRPr="00D60A99"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60A99">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R</w:t>
                      </w:r>
                      <w:r w:rsidRPr="00D60A99">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D60A99">
                        <w:rPr>
                          <w:rFonts w:ascii="Arial" w:hAnsi="Arial" w:cs="Arial"/>
                          <w:bCs/>
                          <w:color w:val="000000" w:themeColor="text1"/>
                          <w:sz w:val="20"/>
                          <w:szCs w:val="20"/>
                          <w:lang w:val="en-GB"/>
                        </w:rPr>
                        <w:t xml:space="preserve"> will be responsible for managing the different types of </w:t>
                      </w:r>
                      <w:r>
                        <w:rPr>
                          <w:rFonts w:ascii="Arial" w:hAnsi="Arial" w:cs="Arial"/>
                          <w:bCs/>
                          <w:color w:val="000000" w:themeColor="text1"/>
                          <w:sz w:val="20"/>
                          <w:szCs w:val="20"/>
                          <w:lang w:val="en-GB"/>
                        </w:rPr>
                        <w:t xml:space="preserve">energy </w:t>
                      </w:r>
                      <w:r w:rsidRPr="00D60A99">
                        <w:rPr>
                          <w:rFonts w:ascii="Arial" w:hAnsi="Arial" w:cs="Arial"/>
                          <w:bCs/>
                          <w:color w:val="000000" w:themeColor="text1"/>
                          <w:sz w:val="20"/>
                          <w:szCs w:val="20"/>
                          <w:lang w:val="en-GB"/>
                        </w:rPr>
                        <w:t xml:space="preserve">markets (Bilateral, </w:t>
                      </w:r>
                      <w:r>
                        <w:rPr>
                          <w:rFonts w:ascii="Arial" w:hAnsi="Arial" w:cs="Arial"/>
                          <w:bCs/>
                          <w:color w:val="000000" w:themeColor="text1"/>
                          <w:sz w:val="20"/>
                          <w:szCs w:val="20"/>
                          <w:lang w:val="en-GB"/>
                        </w:rPr>
                        <w:t xml:space="preserve">Forward Physical, </w:t>
                      </w:r>
                      <w:r w:rsidRPr="00D60A99">
                        <w:rPr>
                          <w:rFonts w:ascii="Arial" w:hAnsi="Arial" w:cs="Arial"/>
                          <w:bCs/>
                          <w:color w:val="000000" w:themeColor="text1"/>
                          <w:sz w:val="20"/>
                          <w:szCs w:val="20"/>
                          <w:lang w:val="en-GB"/>
                        </w:rPr>
                        <w:t>Day-Ahead</w:t>
                      </w:r>
                      <w:r>
                        <w:rPr>
                          <w:rFonts w:ascii="Arial" w:hAnsi="Arial" w:cs="Arial"/>
                          <w:bCs/>
                          <w:color w:val="000000" w:themeColor="text1"/>
                          <w:sz w:val="20"/>
                          <w:szCs w:val="20"/>
                          <w:lang w:val="en-GB"/>
                        </w:rPr>
                        <w:t>,</w:t>
                      </w:r>
                      <w:r w:rsidRPr="00D60A99">
                        <w:rPr>
                          <w:rFonts w:ascii="Arial" w:hAnsi="Arial" w:cs="Arial"/>
                          <w:bCs/>
                          <w:color w:val="000000" w:themeColor="text1"/>
                          <w:sz w:val="20"/>
                          <w:szCs w:val="20"/>
                          <w:lang w:val="en-GB"/>
                        </w:rPr>
                        <w:t xml:space="preserve"> </w:t>
                      </w:r>
                      <w:r>
                        <w:rPr>
                          <w:rFonts w:ascii="Arial" w:hAnsi="Arial" w:cs="Arial"/>
                          <w:bCs/>
                          <w:color w:val="000000" w:themeColor="text1"/>
                          <w:sz w:val="20"/>
                          <w:szCs w:val="20"/>
                          <w:lang w:val="en-GB"/>
                        </w:rPr>
                        <w:t>I</w:t>
                      </w:r>
                      <w:r w:rsidRPr="00D60A99">
                        <w:rPr>
                          <w:rFonts w:ascii="Arial" w:hAnsi="Arial" w:cs="Arial"/>
                          <w:bCs/>
                          <w:color w:val="000000" w:themeColor="text1"/>
                          <w:sz w:val="20"/>
                          <w:szCs w:val="20"/>
                          <w:lang w:val="en-GB"/>
                        </w:rPr>
                        <w:t>ntraday</w:t>
                      </w:r>
                      <w:r>
                        <w:rPr>
                          <w:rFonts w:ascii="Arial" w:hAnsi="Arial" w:cs="Arial"/>
                          <w:bCs/>
                          <w:color w:val="000000" w:themeColor="text1"/>
                          <w:sz w:val="20"/>
                          <w:szCs w:val="20"/>
                          <w:lang w:val="en-GB"/>
                        </w:rPr>
                        <w:t>, and Balancing</w:t>
                      </w:r>
                      <w:r w:rsidRPr="00D60A99">
                        <w:rPr>
                          <w:rFonts w:ascii="Arial" w:hAnsi="Arial" w:cs="Arial"/>
                          <w:bCs/>
                          <w:color w:val="000000" w:themeColor="text1"/>
                          <w:sz w:val="20"/>
                          <w:szCs w:val="20"/>
                          <w:lang w:val="en-GB"/>
                        </w:rPr>
                        <w:t xml:space="preserve">) and </w:t>
                      </w:r>
                      <w:r>
                        <w:rPr>
                          <w:rFonts w:ascii="Arial" w:hAnsi="Arial" w:cs="Arial"/>
                          <w:bCs/>
                          <w:color w:val="000000" w:themeColor="text1"/>
                          <w:sz w:val="20"/>
                          <w:szCs w:val="20"/>
                          <w:lang w:val="en-GB"/>
                        </w:rPr>
                        <w:t xml:space="preserve">the </w:t>
                      </w:r>
                      <w:r w:rsidRPr="00D60A99">
                        <w:rPr>
                          <w:rFonts w:ascii="Arial" w:hAnsi="Arial" w:cs="Arial"/>
                          <w:bCs/>
                          <w:color w:val="000000" w:themeColor="text1"/>
                          <w:sz w:val="20"/>
                          <w:szCs w:val="20"/>
                          <w:lang w:val="en-GB"/>
                        </w:rPr>
                        <w:t>Ancillary Services Market.</w:t>
                      </w:r>
                      <w:r>
                        <w:rPr>
                          <w:rFonts w:ascii="Arial" w:hAnsi="Arial" w:cs="Arial"/>
                          <w:bCs/>
                          <w:color w:val="000000" w:themeColor="text1"/>
                          <w:sz w:val="20"/>
                          <w:szCs w:val="20"/>
                          <w:lang w:val="en-GB"/>
                        </w:rPr>
                        <w:t xml:space="preserve"> </w:t>
                      </w:r>
                    </w:p>
                    <w:p w14:paraId="3BDC85C7" w14:textId="62DF0F4F" w:rsidR="005276A4" w:rsidRPr="00D60A99"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60A99">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RS</w:t>
                      </w:r>
                      <w:r w:rsidRPr="00D60A99">
                        <w:rPr>
                          <w:rFonts w:ascii="Arial" w:hAnsi="Arial" w:cs="Arial"/>
                          <w:bCs/>
                          <w:color w:val="000000" w:themeColor="text1"/>
                          <w:sz w:val="20"/>
                          <w:szCs w:val="20"/>
                          <w:lang w:val="en-GB"/>
                        </w:rPr>
                        <w:t>MO</w:t>
                      </w:r>
                      <w:r>
                        <w:rPr>
                          <w:rFonts w:ascii="Arial" w:hAnsi="Arial" w:cs="Arial"/>
                          <w:bCs/>
                          <w:color w:val="000000" w:themeColor="text1"/>
                          <w:sz w:val="20"/>
                          <w:szCs w:val="20"/>
                          <w:lang w:val="en-GB"/>
                        </w:rPr>
                        <w:t>s</w:t>
                      </w:r>
                      <w:r w:rsidRPr="00D60A99">
                        <w:rPr>
                          <w:rFonts w:ascii="Arial" w:hAnsi="Arial" w:cs="Arial"/>
                          <w:bCs/>
                          <w:color w:val="000000" w:themeColor="text1"/>
                          <w:sz w:val="20"/>
                          <w:szCs w:val="20"/>
                          <w:lang w:val="en-GB"/>
                        </w:rPr>
                        <w:t xml:space="preserve"> will coordinate its operations with the different Control Area</w:t>
                      </w:r>
                      <w:r>
                        <w:rPr>
                          <w:rFonts w:ascii="Arial" w:hAnsi="Arial" w:cs="Arial"/>
                          <w:bCs/>
                          <w:color w:val="000000" w:themeColor="text1"/>
                          <w:sz w:val="20"/>
                          <w:szCs w:val="20"/>
                          <w:lang w:val="en-GB"/>
                        </w:rPr>
                        <w:t xml:space="preserve"> Operator</w:t>
                      </w:r>
                      <w:r w:rsidRPr="00D60A99">
                        <w:rPr>
                          <w:rFonts w:ascii="Arial" w:hAnsi="Arial" w:cs="Arial"/>
                          <w:bCs/>
                          <w:color w:val="000000" w:themeColor="text1"/>
                          <w:sz w:val="20"/>
                          <w:szCs w:val="20"/>
                          <w:lang w:val="en-GB"/>
                        </w:rPr>
                        <w:t>s, undertake market monitoring and surveillance to assess the performance and operations of the market</w:t>
                      </w:r>
                      <w:r>
                        <w:rPr>
                          <w:rFonts w:ascii="Arial" w:hAnsi="Arial" w:cs="Arial"/>
                          <w:bCs/>
                          <w:color w:val="000000" w:themeColor="text1"/>
                          <w:sz w:val="20"/>
                          <w:szCs w:val="20"/>
                          <w:lang w:val="en-GB"/>
                        </w:rPr>
                        <w:t>.</w:t>
                      </w:r>
                      <w:r w:rsidRPr="00D60A99">
                        <w:rPr>
                          <w:rFonts w:ascii="Arial" w:hAnsi="Arial" w:cs="Arial"/>
                          <w:bCs/>
                          <w:color w:val="000000" w:themeColor="text1"/>
                          <w:sz w:val="20"/>
                          <w:szCs w:val="20"/>
                          <w:lang w:val="en-GB"/>
                        </w:rPr>
                        <w:t xml:space="preserve"> </w:t>
                      </w:r>
                    </w:p>
                    <w:p w14:paraId="160501C8" w14:textId="1B52870D" w:rsidR="005276A4" w:rsidRPr="00D60A99"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60A99">
                        <w:rPr>
                          <w:rFonts w:ascii="Arial" w:hAnsi="Arial" w:cs="Arial"/>
                          <w:bCs/>
                          <w:color w:val="000000" w:themeColor="text1"/>
                          <w:sz w:val="20"/>
                          <w:szCs w:val="20"/>
                          <w:lang w:val="en-GB"/>
                        </w:rPr>
                        <w:t xml:space="preserve">The </w:t>
                      </w:r>
                      <w:r>
                        <w:rPr>
                          <w:rFonts w:ascii="Arial" w:hAnsi="Arial" w:cs="Arial"/>
                          <w:bCs/>
                          <w:color w:val="000000" w:themeColor="text1"/>
                          <w:sz w:val="20"/>
                          <w:szCs w:val="20"/>
                          <w:lang w:val="en-GB"/>
                        </w:rPr>
                        <w:t>R</w:t>
                      </w:r>
                      <w:r w:rsidRPr="00D60A99">
                        <w:rPr>
                          <w:rFonts w:ascii="Arial" w:hAnsi="Arial" w:cs="Arial"/>
                          <w:bCs/>
                          <w:color w:val="000000" w:themeColor="text1"/>
                          <w:sz w:val="20"/>
                          <w:szCs w:val="20"/>
                          <w:lang w:val="en-GB"/>
                        </w:rPr>
                        <w:t>SMO</w:t>
                      </w:r>
                      <w:r>
                        <w:rPr>
                          <w:rFonts w:ascii="Arial" w:hAnsi="Arial" w:cs="Arial"/>
                          <w:bCs/>
                          <w:color w:val="000000" w:themeColor="text1"/>
                          <w:sz w:val="20"/>
                          <w:szCs w:val="20"/>
                          <w:lang w:val="en-GB"/>
                        </w:rPr>
                        <w:t>s</w:t>
                      </w:r>
                      <w:r w:rsidRPr="00D60A99">
                        <w:rPr>
                          <w:rFonts w:ascii="Arial" w:hAnsi="Arial" w:cs="Arial"/>
                          <w:bCs/>
                          <w:color w:val="000000" w:themeColor="text1"/>
                          <w:sz w:val="20"/>
                          <w:szCs w:val="20"/>
                          <w:lang w:val="en-GB"/>
                        </w:rPr>
                        <w:t xml:space="preserve"> will manage the settlement of market fees and other charges including allocation of payments to cover compensation for ancillary services and network losses.</w:t>
                      </w:r>
                      <w:r>
                        <w:rPr>
                          <w:rFonts w:ascii="Arial" w:hAnsi="Arial" w:cs="Arial"/>
                          <w:bCs/>
                          <w:color w:val="000000" w:themeColor="text1"/>
                          <w:sz w:val="20"/>
                          <w:szCs w:val="20"/>
                          <w:lang w:val="en-GB"/>
                        </w:rPr>
                        <w:t xml:space="preserve"> </w:t>
                      </w:r>
                    </w:p>
                  </w:txbxContent>
                </v:textbox>
                <w10:anchorlock/>
              </v:shape>
            </w:pict>
          </mc:Fallback>
        </mc:AlternateContent>
      </w:r>
    </w:p>
    <w:p w14:paraId="6825C0C1" w14:textId="1811EB61" w:rsidR="00A12120" w:rsidRPr="00316837" w:rsidRDefault="00A12120" w:rsidP="00A12120">
      <w:pPr>
        <w:pStyle w:val="Heading2"/>
        <w:rPr>
          <w:rFonts w:eastAsia="Calibri"/>
        </w:rPr>
      </w:pPr>
      <w:bookmarkStart w:id="183" w:name="_Toc77260316"/>
      <w:r w:rsidRPr="00681DAA">
        <w:rPr>
          <w:rFonts w:eastAsia="Calibri"/>
        </w:rPr>
        <w:t xml:space="preserve">Guidelines </w:t>
      </w:r>
      <w:r w:rsidR="00483DE9" w:rsidRPr="00316837">
        <w:rPr>
          <w:rFonts w:eastAsia="Calibri"/>
        </w:rPr>
        <w:t>2</w:t>
      </w:r>
      <w:r w:rsidRPr="00316837">
        <w:rPr>
          <w:rFonts w:eastAsia="Calibri"/>
        </w:rPr>
        <w:t xml:space="preserve">: </w:t>
      </w:r>
      <w:r w:rsidR="00744D32" w:rsidRPr="00316837">
        <w:rPr>
          <w:rFonts w:eastAsia="Calibri"/>
        </w:rPr>
        <w:t>Dispatch, System Operations</w:t>
      </w:r>
      <w:r w:rsidR="00681DAA">
        <w:rPr>
          <w:rFonts w:eastAsia="Calibri"/>
        </w:rPr>
        <w:t>,</w:t>
      </w:r>
      <w:r w:rsidR="00744D32" w:rsidRPr="00681DAA">
        <w:rPr>
          <w:rFonts w:eastAsia="Calibri"/>
        </w:rPr>
        <w:t xml:space="preserve"> and ICT</w:t>
      </w:r>
      <w:bookmarkEnd w:id="183"/>
      <w:r w:rsidR="00744D32" w:rsidRPr="00681DAA">
        <w:rPr>
          <w:rFonts w:eastAsia="Calibri"/>
        </w:rPr>
        <w:t xml:space="preserve"> </w:t>
      </w:r>
    </w:p>
    <w:p w14:paraId="5E32FEAD" w14:textId="0E13C9BF" w:rsidR="00BB6D8D" w:rsidRPr="00316837" w:rsidRDefault="00BB6D8D" w:rsidP="00BB6D8D">
      <w:pPr>
        <w:rPr>
          <w:rFonts w:eastAsia="Calibri"/>
          <w:szCs w:val="22"/>
        </w:rPr>
      </w:pPr>
      <w:r w:rsidRPr="00316837">
        <w:rPr>
          <w:rFonts w:eastAsia="Calibri"/>
          <w:szCs w:val="22"/>
        </w:rPr>
        <w:t>With the gradual increase in the number of interconnections and the prospects for both intra</w:t>
      </w:r>
      <w:r w:rsidR="000042B9" w:rsidRPr="00316837">
        <w:rPr>
          <w:rFonts w:eastAsia="Calibri"/>
          <w:szCs w:val="22"/>
        </w:rPr>
        <w:t>-</w:t>
      </w:r>
      <w:r w:rsidRPr="00316837">
        <w:rPr>
          <w:rFonts w:eastAsia="Calibri"/>
          <w:szCs w:val="22"/>
        </w:rPr>
        <w:t xml:space="preserve"> and inter</w:t>
      </w:r>
      <w:r w:rsidR="000042B9" w:rsidRPr="00316837">
        <w:rPr>
          <w:rFonts w:eastAsia="Calibri"/>
          <w:szCs w:val="22"/>
        </w:rPr>
        <w:t>-P</w:t>
      </w:r>
      <w:r w:rsidRPr="00316837">
        <w:rPr>
          <w:rFonts w:eastAsia="Calibri"/>
          <w:szCs w:val="22"/>
        </w:rPr>
        <w:t xml:space="preserve">ower </w:t>
      </w:r>
      <w:r w:rsidR="000042B9" w:rsidRPr="00316837">
        <w:rPr>
          <w:rFonts w:eastAsia="Calibri"/>
          <w:szCs w:val="22"/>
        </w:rPr>
        <w:t>P</w:t>
      </w:r>
      <w:r w:rsidRPr="00316837">
        <w:rPr>
          <w:rFonts w:eastAsia="Calibri"/>
          <w:szCs w:val="22"/>
        </w:rPr>
        <w:t xml:space="preserve">ool </w:t>
      </w:r>
      <w:r w:rsidR="000042B9" w:rsidRPr="00316837">
        <w:rPr>
          <w:rFonts w:eastAsia="Calibri"/>
          <w:szCs w:val="22"/>
        </w:rPr>
        <w:t xml:space="preserve">electricity </w:t>
      </w:r>
      <w:r w:rsidRPr="00316837">
        <w:rPr>
          <w:rFonts w:eastAsia="Calibri"/>
          <w:szCs w:val="22"/>
        </w:rPr>
        <w:t xml:space="preserve">trade and wheeling in Africa, it has become necessary for the Area Control </w:t>
      </w:r>
      <w:r w:rsidR="000042B9" w:rsidRPr="00316837">
        <w:rPr>
          <w:rFonts w:eastAsia="Calibri"/>
          <w:szCs w:val="22"/>
        </w:rPr>
        <w:t>Operators</w:t>
      </w:r>
      <w:r w:rsidRPr="00316837">
        <w:rPr>
          <w:rFonts w:eastAsia="Calibri"/>
          <w:szCs w:val="22"/>
        </w:rPr>
        <w:t xml:space="preserve"> and the </w:t>
      </w:r>
      <w:r w:rsidR="000042B9" w:rsidRPr="00316837">
        <w:rPr>
          <w:rFonts w:eastAsia="Calibri"/>
          <w:szCs w:val="22"/>
        </w:rPr>
        <w:t>RSMOs</w:t>
      </w:r>
      <w:r w:rsidRPr="00316837">
        <w:rPr>
          <w:rFonts w:eastAsia="Calibri"/>
          <w:szCs w:val="22"/>
        </w:rPr>
        <w:t xml:space="preserve"> to be equipped with the necessary tools to coordinate system operation and </w:t>
      </w:r>
      <w:r w:rsidR="000042B9" w:rsidRPr="00316837">
        <w:rPr>
          <w:rFonts w:eastAsia="Calibri"/>
          <w:szCs w:val="22"/>
        </w:rPr>
        <w:t xml:space="preserve">electricity </w:t>
      </w:r>
      <w:r w:rsidRPr="00316837">
        <w:rPr>
          <w:rFonts w:eastAsia="Calibri"/>
          <w:szCs w:val="22"/>
        </w:rPr>
        <w:t xml:space="preserve">trade. The </w:t>
      </w:r>
      <w:r w:rsidR="000042B9" w:rsidRPr="00316837">
        <w:rPr>
          <w:rFonts w:eastAsia="Calibri"/>
          <w:szCs w:val="22"/>
        </w:rPr>
        <w:t>RSMOs</w:t>
      </w:r>
      <w:r w:rsidRPr="00316837">
        <w:rPr>
          <w:rFonts w:eastAsia="Calibri"/>
          <w:szCs w:val="22"/>
        </w:rPr>
        <w:t xml:space="preserve"> use communication and signalling equipment to monitor the conditions of the power system. This requires that key information on the status of </w:t>
      </w:r>
      <w:r w:rsidR="000042B9" w:rsidRPr="00316837">
        <w:rPr>
          <w:rFonts w:eastAsia="Calibri"/>
          <w:szCs w:val="22"/>
        </w:rPr>
        <w:t>an</w:t>
      </w:r>
      <w:r w:rsidRPr="00316837">
        <w:rPr>
          <w:rFonts w:eastAsia="Calibri"/>
          <w:szCs w:val="22"/>
        </w:rPr>
        <w:t xml:space="preserve"> interconnected </w:t>
      </w:r>
      <w:r w:rsidR="000042B9" w:rsidRPr="00316837">
        <w:rPr>
          <w:rFonts w:eastAsia="Calibri"/>
          <w:szCs w:val="22"/>
        </w:rPr>
        <w:t xml:space="preserve">power </w:t>
      </w:r>
      <w:r w:rsidRPr="00316837">
        <w:rPr>
          <w:rFonts w:eastAsia="Calibri"/>
          <w:szCs w:val="22"/>
        </w:rPr>
        <w:t xml:space="preserve">system is remotely indicated in the </w:t>
      </w:r>
      <w:r w:rsidRPr="00316837">
        <w:rPr>
          <w:rFonts w:eastAsia="Calibri"/>
          <w:i/>
          <w:szCs w:val="22"/>
        </w:rPr>
        <w:t>system information, coordination and dispatch centres.</w:t>
      </w:r>
      <w:r w:rsidRPr="00316837">
        <w:rPr>
          <w:rFonts w:eastAsia="Calibri"/>
          <w:szCs w:val="22"/>
        </w:rPr>
        <w:t xml:space="preserve"> In an interconnected power system, the availability of communication and indication equipment will assure the </w:t>
      </w:r>
      <w:r w:rsidR="000042B9" w:rsidRPr="00316837">
        <w:rPr>
          <w:rFonts w:eastAsia="Calibri"/>
          <w:szCs w:val="22"/>
        </w:rPr>
        <w:t>R</w:t>
      </w:r>
      <w:r w:rsidRPr="00316837">
        <w:rPr>
          <w:rFonts w:eastAsia="Calibri"/>
          <w:szCs w:val="22"/>
        </w:rPr>
        <w:t xml:space="preserve">SMOs and </w:t>
      </w:r>
      <w:r w:rsidR="000042B9" w:rsidRPr="00316837">
        <w:rPr>
          <w:rFonts w:eastAsia="Calibri"/>
          <w:szCs w:val="22"/>
        </w:rPr>
        <w:t xml:space="preserve">the national </w:t>
      </w:r>
      <w:r w:rsidRPr="00316837">
        <w:rPr>
          <w:rFonts w:eastAsia="Calibri"/>
          <w:szCs w:val="22"/>
        </w:rPr>
        <w:t xml:space="preserve">TSOs of being able to maintain contact with the Area Control </w:t>
      </w:r>
      <w:r w:rsidR="000042B9" w:rsidRPr="00316837">
        <w:rPr>
          <w:rFonts w:eastAsia="Calibri"/>
          <w:szCs w:val="22"/>
        </w:rPr>
        <w:t>Operators</w:t>
      </w:r>
      <w:r w:rsidRPr="00316837">
        <w:rPr>
          <w:rFonts w:eastAsia="Calibri"/>
          <w:szCs w:val="22"/>
        </w:rPr>
        <w:t xml:space="preserve"> and to take the necessary actions during emergencies.</w:t>
      </w:r>
      <w:r w:rsidR="001D4932" w:rsidRPr="00316837">
        <w:rPr>
          <w:rFonts w:eastAsia="Calibri"/>
          <w:szCs w:val="22"/>
        </w:rPr>
        <w:t xml:space="preserve"> </w:t>
      </w:r>
    </w:p>
    <w:p w14:paraId="583341F8" w14:textId="68A3B71A" w:rsidR="00BB6D8D" w:rsidRPr="00316837" w:rsidRDefault="00BB6D8D" w:rsidP="00BB6D8D">
      <w:pPr>
        <w:rPr>
          <w:rFonts w:eastAsia="Calibri"/>
          <w:szCs w:val="22"/>
        </w:rPr>
      </w:pPr>
      <w:r w:rsidRPr="00316837">
        <w:rPr>
          <w:rFonts w:eastAsia="Calibri"/>
          <w:szCs w:val="22"/>
        </w:rPr>
        <w:t>For effective systems operations, good coordination between the various Control Area</w:t>
      </w:r>
      <w:r w:rsidR="000042B9" w:rsidRPr="00316837">
        <w:rPr>
          <w:rFonts w:eastAsia="Calibri"/>
          <w:szCs w:val="22"/>
        </w:rPr>
        <w:t xml:space="preserve"> Operator</w:t>
      </w:r>
      <w:r w:rsidRPr="00316837">
        <w:rPr>
          <w:rFonts w:eastAsia="Calibri"/>
          <w:szCs w:val="22"/>
        </w:rPr>
        <w:t>s need to be established, since most of the Control Area</w:t>
      </w:r>
      <w:r w:rsidR="000042B9" w:rsidRPr="00316837">
        <w:rPr>
          <w:rFonts w:eastAsia="Calibri"/>
          <w:szCs w:val="22"/>
        </w:rPr>
        <w:t xml:space="preserve"> Operator</w:t>
      </w:r>
      <w:r w:rsidRPr="00316837">
        <w:rPr>
          <w:rFonts w:eastAsia="Calibri"/>
          <w:szCs w:val="22"/>
        </w:rPr>
        <w:t>s need to cooperate with each other to ensure that the tie</w:t>
      </w:r>
      <w:r w:rsidR="00D91B36" w:rsidRPr="00316837">
        <w:rPr>
          <w:rFonts w:eastAsia="Calibri"/>
          <w:szCs w:val="22"/>
        </w:rPr>
        <w:t>-</w:t>
      </w:r>
      <w:r w:rsidRPr="00316837">
        <w:rPr>
          <w:rFonts w:eastAsia="Calibri"/>
          <w:szCs w:val="22"/>
        </w:rPr>
        <w:t xml:space="preserve">lines are controlled within the required operating limits. The information exchange protocol should clearly indicate how the various </w:t>
      </w:r>
      <w:r w:rsidR="000042B9" w:rsidRPr="00316837">
        <w:rPr>
          <w:rFonts w:eastAsia="Calibri"/>
          <w:szCs w:val="22"/>
        </w:rPr>
        <w:t>C</w:t>
      </w:r>
      <w:r w:rsidRPr="00316837">
        <w:rPr>
          <w:rFonts w:eastAsia="Calibri"/>
          <w:szCs w:val="22"/>
        </w:rPr>
        <w:t xml:space="preserve">ontrol </w:t>
      </w:r>
      <w:r w:rsidR="000042B9" w:rsidRPr="00316837">
        <w:rPr>
          <w:rFonts w:eastAsia="Calibri"/>
          <w:szCs w:val="22"/>
        </w:rPr>
        <w:t>A</w:t>
      </w:r>
      <w:r w:rsidRPr="00316837">
        <w:rPr>
          <w:rFonts w:eastAsia="Calibri"/>
          <w:szCs w:val="22"/>
        </w:rPr>
        <w:t>rea</w:t>
      </w:r>
      <w:r w:rsidR="000042B9" w:rsidRPr="00316837">
        <w:rPr>
          <w:rFonts w:eastAsia="Calibri"/>
          <w:szCs w:val="22"/>
        </w:rPr>
        <w:t xml:space="preserve"> Operator</w:t>
      </w:r>
      <w:r w:rsidRPr="00316837">
        <w:rPr>
          <w:rFonts w:eastAsia="Calibri"/>
          <w:szCs w:val="22"/>
        </w:rPr>
        <w:t xml:space="preserve">s will interact or communicate with each other, as well as with the </w:t>
      </w:r>
      <w:r w:rsidR="000042B9" w:rsidRPr="00316837">
        <w:rPr>
          <w:rFonts w:eastAsia="Calibri"/>
          <w:szCs w:val="22"/>
        </w:rPr>
        <w:t>RSMOs</w:t>
      </w:r>
      <w:r w:rsidRPr="00316837">
        <w:rPr>
          <w:rFonts w:eastAsia="Calibri"/>
          <w:szCs w:val="22"/>
        </w:rPr>
        <w:t xml:space="preserve">. Usually, the information exchange has a hierarchy where the sources of the information (the generators and system devices) communicate with their respective Control Area Operators. </w:t>
      </w:r>
    </w:p>
    <w:p w14:paraId="38991D47" w14:textId="77777777" w:rsidR="0069087F" w:rsidRDefault="00BB6D8D" w:rsidP="00BB6D8D">
      <w:pPr>
        <w:rPr>
          <w:rFonts w:eastAsia="Calibri"/>
          <w:szCs w:val="22"/>
        </w:rPr>
      </w:pPr>
      <w:r w:rsidRPr="00316837">
        <w:rPr>
          <w:rFonts w:eastAsia="Calibri"/>
          <w:szCs w:val="22"/>
        </w:rPr>
        <w:lastRenderedPageBreak/>
        <w:t>The C</w:t>
      </w:r>
      <w:r w:rsidR="000042B9" w:rsidRPr="00316837">
        <w:rPr>
          <w:rFonts w:eastAsia="Calibri"/>
          <w:szCs w:val="22"/>
        </w:rPr>
        <w:t xml:space="preserve">ontrol </w:t>
      </w:r>
      <w:r w:rsidRPr="00316837">
        <w:rPr>
          <w:rFonts w:eastAsia="Calibri"/>
          <w:szCs w:val="22"/>
        </w:rPr>
        <w:t>A</w:t>
      </w:r>
      <w:r w:rsidR="000042B9" w:rsidRPr="00316837">
        <w:rPr>
          <w:rFonts w:eastAsia="Calibri"/>
          <w:szCs w:val="22"/>
        </w:rPr>
        <w:t xml:space="preserve">rea </w:t>
      </w:r>
      <w:r w:rsidRPr="00316837">
        <w:rPr>
          <w:rFonts w:eastAsia="Calibri"/>
          <w:szCs w:val="22"/>
        </w:rPr>
        <w:t>O</w:t>
      </w:r>
      <w:r w:rsidR="000042B9" w:rsidRPr="00316837">
        <w:rPr>
          <w:rFonts w:eastAsia="Calibri"/>
          <w:szCs w:val="22"/>
        </w:rPr>
        <w:t>perator</w:t>
      </w:r>
      <w:r w:rsidRPr="00316837">
        <w:rPr>
          <w:rFonts w:eastAsia="Calibri"/>
          <w:szCs w:val="22"/>
        </w:rPr>
        <w:t xml:space="preserve">s need to communicate with neighbouring </w:t>
      </w:r>
      <w:r w:rsidR="000042B9" w:rsidRPr="00316837">
        <w:rPr>
          <w:rFonts w:eastAsia="Calibri"/>
          <w:szCs w:val="22"/>
        </w:rPr>
        <w:t>ones</w:t>
      </w:r>
      <w:r w:rsidRPr="00316837">
        <w:rPr>
          <w:rFonts w:eastAsia="Calibri"/>
          <w:szCs w:val="22"/>
        </w:rPr>
        <w:t xml:space="preserve">, and then with the </w:t>
      </w:r>
      <w:r w:rsidR="000042B9" w:rsidRPr="00316837">
        <w:rPr>
          <w:rFonts w:eastAsia="Calibri"/>
          <w:szCs w:val="22"/>
        </w:rPr>
        <w:t>RSMOs</w:t>
      </w:r>
      <w:r w:rsidRPr="00316837">
        <w:rPr>
          <w:rFonts w:eastAsia="Calibri"/>
          <w:szCs w:val="22"/>
        </w:rPr>
        <w:t xml:space="preserve">. At the same time, the </w:t>
      </w:r>
      <w:r w:rsidR="000042B9" w:rsidRPr="00316837">
        <w:rPr>
          <w:rFonts w:eastAsia="Calibri"/>
          <w:szCs w:val="22"/>
        </w:rPr>
        <w:t>RSMOs</w:t>
      </w:r>
      <w:r w:rsidRPr="00316837">
        <w:rPr>
          <w:rFonts w:eastAsia="Calibri"/>
          <w:szCs w:val="22"/>
        </w:rPr>
        <w:t xml:space="preserve"> for the interconnected </w:t>
      </w:r>
      <w:r w:rsidR="000042B9" w:rsidRPr="00316837">
        <w:rPr>
          <w:rFonts w:eastAsia="Calibri"/>
          <w:szCs w:val="22"/>
        </w:rPr>
        <w:t>P</w:t>
      </w:r>
      <w:r w:rsidRPr="00316837">
        <w:rPr>
          <w:rFonts w:eastAsia="Calibri"/>
          <w:szCs w:val="22"/>
        </w:rPr>
        <w:t xml:space="preserve">ower </w:t>
      </w:r>
      <w:r w:rsidR="000042B9" w:rsidRPr="00316837">
        <w:rPr>
          <w:rFonts w:eastAsia="Calibri"/>
          <w:szCs w:val="22"/>
        </w:rPr>
        <w:t>P</w:t>
      </w:r>
      <w:r w:rsidRPr="00316837">
        <w:rPr>
          <w:rFonts w:eastAsia="Calibri"/>
          <w:szCs w:val="22"/>
        </w:rPr>
        <w:t xml:space="preserve">ools, will also need to communicate with each other both </w:t>
      </w:r>
      <w:r w:rsidRPr="00316837">
        <w:rPr>
          <w:rFonts w:eastAsia="Calibri"/>
          <w:i/>
          <w:szCs w:val="22"/>
        </w:rPr>
        <w:t>operationally and on the market platform</w:t>
      </w:r>
      <w:r w:rsidRPr="00316837">
        <w:rPr>
          <w:rFonts w:eastAsia="Calibri"/>
          <w:szCs w:val="22"/>
        </w:rPr>
        <w:t>, for the operationalisation of AfSEM.</w:t>
      </w:r>
      <w:r w:rsidR="000042B9" w:rsidRPr="00316837">
        <w:rPr>
          <w:rFonts w:eastAsia="Calibri"/>
          <w:szCs w:val="22"/>
        </w:rPr>
        <w:t xml:space="preserve"> </w:t>
      </w:r>
    </w:p>
    <w:p w14:paraId="00E02D4A" w14:textId="7B990575" w:rsidR="00BB6D8D" w:rsidRPr="00316837" w:rsidRDefault="0069087F" w:rsidP="00BB6D8D">
      <w:pPr>
        <w:rPr>
          <w:rFonts w:eastAsia="Calibri"/>
          <w:szCs w:val="22"/>
        </w:rPr>
      </w:pPr>
      <w:r w:rsidRPr="0069087F">
        <w:rPr>
          <w:rFonts w:eastAsia="Calibri"/>
          <w:szCs w:val="22"/>
        </w:rPr>
        <w:t xml:space="preserve">The current status </w:t>
      </w:r>
      <w:r w:rsidRPr="00316837">
        <w:rPr>
          <w:rFonts w:eastAsia="Calibri"/>
          <w:i/>
          <w:iCs/>
          <w:szCs w:val="22"/>
        </w:rPr>
        <w:t>vis-à-vis</w:t>
      </w:r>
      <w:r w:rsidRPr="00316837">
        <w:rPr>
          <w:rFonts w:eastAsia="Calibri"/>
          <w:szCs w:val="22"/>
        </w:rPr>
        <w:t xml:space="preserve"> dispatch, system operations</w:t>
      </w:r>
      <w:r>
        <w:rPr>
          <w:rFonts w:eastAsia="Calibri"/>
          <w:szCs w:val="22"/>
        </w:rPr>
        <w:t>,</w:t>
      </w:r>
      <w:r w:rsidRPr="00316837">
        <w:rPr>
          <w:rFonts w:eastAsia="Calibri"/>
          <w:szCs w:val="22"/>
        </w:rPr>
        <w:t xml:space="preserve"> and ICT </w:t>
      </w:r>
      <w:r w:rsidRPr="0069087F">
        <w:rPr>
          <w:rFonts w:eastAsia="Calibri"/>
          <w:szCs w:val="22"/>
        </w:rPr>
        <w:t>per Power Pool is the following:</w:t>
      </w:r>
      <w:r>
        <w:rPr>
          <w:rFonts w:eastAsia="Calibri"/>
          <w:szCs w:val="22"/>
        </w:rPr>
        <w:t xml:space="preserve"> </w:t>
      </w:r>
    </w:p>
    <w:p w14:paraId="0957DED7" w14:textId="68C450BE" w:rsidR="00BB6D8D" w:rsidRPr="006273BD" w:rsidRDefault="0069087F" w:rsidP="006273BD">
      <w:pPr>
        <w:pStyle w:val="ListParagraph"/>
        <w:numPr>
          <w:ilvl w:val="0"/>
          <w:numId w:val="78"/>
        </w:numPr>
        <w:spacing w:before="160" w:after="0" w:line="288" w:lineRule="auto"/>
        <w:rPr>
          <w:rFonts w:cs="Arial"/>
          <w:szCs w:val="20"/>
        </w:rPr>
      </w:pPr>
      <w:r>
        <w:rPr>
          <w:rFonts w:ascii="Arial" w:hAnsi="Arial" w:cs="Arial"/>
          <w:sz w:val="20"/>
          <w:szCs w:val="20"/>
          <w:lang w:val="en-GB"/>
        </w:rPr>
        <w:t xml:space="preserve">WAPP. </w:t>
      </w:r>
      <w:r w:rsidR="00BB6D8D" w:rsidRPr="006273BD">
        <w:rPr>
          <w:rFonts w:ascii="Arial" w:hAnsi="Arial" w:cs="Arial"/>
          <w:sz w:val="20"/>
          <w:szCs w:val="20"/>
          <w:lang w:val="en-GB"/>
        </w:rPr>
        <w:t xml:space="preserve">WAPP is currently constructing its Information and Coordination Centre (ICC) </w:t>
      </w:r>
      <w:r w:rsidR="000042B9" w:rsidRPr="006273BD">
        <w:rPr>
          <w:rFonts w:ascii="Arial" w:hAnsi="Arial" w:cs="Arial"/>
          <w:sz w:val="20"/>
          <w:szCs w:val="20"/>
          <w:lang w:val="en-GB"/>
        </w:rPr>
        <w:t>w</w:t>
      </w:r>
      <w:r w:rsidR="00BB6D8D" w:rsidRPr="006273BD">
        <w:rPr>
          <w:rFonts w:ascii="Arial" w:hAnsi="Arial" w:cs="Arial"/>
          <w:sz w:val="20"/>
          <w:szCs w:val="20"/>
          <w:lang w:val="en-GB"/>
        </w:rPr>
        <w:t>ith support from the EU under the following two components</w:t>
      </w:r>
      <w:r w:rsidR="000042B9" w:rsidRPr="006273BD">
        <w:rPr>
          <w:rFonts w:ascii="Arial" w:hAnsi="Arial" w:cs="Arial"/>
          <w:sz w:val="20"/>
          <w:szCs w:val="20"/>
          <w:lang w:val="en-GB"/>
        </w:rPr>
        <w:t xml:space="preserve"> (to be completed by April 2022):</w:t>
      </w:r>
      <w:r w:rsidR="00BB6D8D" w:rsidRPr="006273BD">
        <w:rPr>
          <w:rFonts w:ascii="Arial" w:hAnsi="Arial" w:cs="Arial"/>
          <w:sz w:val="20"/>
          <w:szCs w:val="20"/>
          <w:lang w:val="en-GB"/>
        </w:rPr>
        <w:t xml:space="preserve"> </w:t>
      </w:r>
    </w:p>
    <w:p w14:paraId="0B0C8F1D" w14:textId="391ABF6F" w:rsidR="00BB6D8D" w:rsidRPr="00316837" w:rsidRDefault="00BB6D8D" w:rsidP="006273BD">
      <w:pPr>
        <w:pStyle w:val="ListParagraph"/>
        <w:numPr>
          <w:ilvl w:val="0"/>
          <w:numId w:val="107"/>
        </w:numPr>
        <w:spacing w:before="160" w:after="0" w:line="288" w:lineRule="auto"/>
        <w:rPr>
          <w:rFonts w:ascii="Arial" w:hAnsi="Arial" w:cs="Arial"/>
          <w:sz w:val="20"/>
          <w:szCs w:val="20"/>
          <w:lang w:val="en-GB"/>
        </w:rPr>
      </w:pPr>
      <w:r w:rsidRPr="00316837">
        <w:rPr>
          <w:rFonts w:ascii="Arial" w:hAnsi="Arial" w:cs="Arial"/>
          <w:sz w:val="20"/>
          <w:szCs w:val="20"/>
          <w:lang w:val="en-GB"/>
        </w:rPr>
        <w:t>Construction of ICC Building: This phase covers the ICC Building “A” (Technical Building) and the ICC Building “B” (Administrative Building). The overall estimated work completion is 77%;</w:t>
      </w:r>
      <w:r w:rsidR="000042B9" w:rsidRPr="00316837">
        <w:rPr>
          <w:rFonts w:ascii="Arial" w:hAnsi="Arial" w:cs="Arial"/>
          <w:sz w:val="20"/>
          <w:szCs w:val="20"/>
          <w:lang w:val="en-GB"/>
        </w:rPr>
        <w:t xml:space="preserve"> </w:t>
      </w:r>
      <w:r w:rsidR="001D4932" w:rsidRPr="00316837">
        <w:rPr>
          <w:rFonts w:ascii="Arial" w:hAnsi="Arial" w:cs="Arial"/>
          <w:sz w:val="20"/>
          <w:szCs w:val="20"/>
          <w:lang w:val="en-GB"/>
        </w:rPr>
        <w:t xml:space="preserve">and </w:t>
      </w:r>
    </w:p>
    <w:p w14:paraId="7BDAF711" w14:textId="5A291CE7" w:rsidR="00BB6D8D" w:rsidRPr="00316837" w:rsidRDefault="00BB6D8D" w:rsidP="006273BD">
      <w:pPr>
        <w:pStyle w:val="ListParagraph"/>
        <w:numPr>
          <w:ilvl w:val="0"/>
          <w:numId w:val="10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Installation of Equipment in ICC: This phase includes installation of equipment (SCADA/EMS/MMS/WAMS systems) in the 5 Control </w:t>
      </w:r>
      <w:r w:rsidR="000042B9" w:rsidRPr="00316837">
        <w:rPr>
          <w:rFonts w:ascii="Arial" w:hAnsi="Arial" w:cs="Arial"/>
          <w:sz w:val="20"/>
          <w:szCs w:val="20"/>
          <w:lang w:val="en-GB"/>
        </w:rPr>
        <w:t xml:space="preserve">Area </w:t>
      </w:r>
      <w:r w:rsidRPr="00316837">
        <w:rPr>
          <w:rFonts w:ascii="Arial" w:hAnsi="Arial" w:cs="Arial"/>
          <w:sz w:val="20"/>
          <w:szCs w:val="20"/>
          <w:lang w:val="en-GB"/>
        </w:rPr>
        <w:t xml:space="preserve">Centres and in the </w:t>
      </w:r>
      <w:r w:rsidR="000042B9" w:rsidRPr="00316837">
        <w:rPr>
          <w:rFonts w:ascii="Arial" w:hAnsi="Arial" w:cs="Arial"/>
          <w:sz w:val="20"/>
          <w:szCs w:val="20"/>
          <w:lang w:val="en-GB"/>
        </w:rPr>
        <w:t xml:space="preserve">national </w:t>
      </w:r>
      <w:r w:rsidRPr="00316837">
        <w:rPr>
          <w:rFonts w:ascii="Arial" w:hAnsi="Arial" w:cs="Arial"/>
          <w:sz w:val="20"/>
          <w:szCs w:val="20"/>
          <w:lang w:val="en-GB"/>
        </w:rPr>
        <w:t>TSOs in WAPP. The overall work executed is estimated to be 64%</w:t>
      </w:r>
      <w:r w:rsidR="000042B9" w:rsidRPr="00316837">
        <w:rPr>
          <w:rFonts w:ascii="Arial" w:hAnsi="Arial" w:cs="Arial"/>
          <w:sz w:val="20"/>
          <w:szCs w:val="20"/>
          <w:lang w:val="en-GB"/>
        </w:rPr>
        <w:t>.</w:t>
      </w:r>
      <w:r w:rsidRPr="00316837">
        <w:rPr>
          <w:rFonts w:ascii="Arial" w:hAnsi="Arial" w:cs="Arial"/>
          <w:sz w:val="20"/>
          <w:szCs w:val="20"/>
          <w:lang w:val="en-GB"/>
        </w:rPr>
        <w:t xml:space="preserve"> </w:t>
      </w:r>
    </w:p>
    <w:p w14:paraId="1A453579" w14:textId="573EAA8C" w:rsidR="00BB6D8D" w:rsidRPr="00316837" w:rsidRDefault="00BB6D8D" w:rsidP="006273BD">
      <w:pPr>
        <w:ind w:left="720"/>
        <w:rPr>
          <w:rFonts w:eastAsia="Calibri"/>
          <w:szCs w:val="20"/>
        </w:rPr>
      </w:pPr>
      <w:r w:rsidRPr="00316837">
        <w:rPr>
          <w:rFonts w:eastAsia="Calibri"/>
          <w:szCs w:val="20"/>
        </w:rPr>
        <w:t xml:space="preserve">The WAPP ICC SCADA and communication </w:t>
      </w:r>
      <w:r w:rsidR="000042B9" w:rsidRPr="00316837">
        <w:rPr>
          <w:rFonts w:eastAsia="Calibri"/>
          <w:szCs w:val="20"/>
        </w:rPr>
        <w:t>system</w:t>
      </w:r>
      <w:r w:rsidRPr="00316837">
        <w:rPr>
          <w:rFonts w:eastAsia="Calibri"/>
          <w:szCs w:val="20"/>
        </w:rPr>
        <w:t xml:space="preserve"> when completed</w:t>
      </w:r>
      <w:r w:rsidR="000042B9" w:rsidRPr="00316837">
        <w:rPr>
          <w:rFonts w:eastAsia="Calibri"/>
          <w:szCs w:val="20"/>
        </w:rPr>
        <w:t xml:space="preserve"> </w:t>
      </w:r>
      <w:r w:rsidRPr="00316837">
        <w:rPr>
          <w:rFonts w:eastAsia="Calibri"/>
          <w:szCs w:val="20"/>
        </w:rPr>
        <w:t>will facilitate:</w:t>
      </w:r>
      <w:r w:rsidR="000042B9" w:rsidRPr="00316837">
        <w:rPr>
          <w:rFonts w:eastAsia="Calibri"/>
          <w:szCs w:val="20"/>
        </w:rPr>
        <w:t xml:space="preserve"> </w:t>
      </w:r>
    </w:p>
    <w:p w14:paraId="6C2124D1" w14:textId="62B9568E" w:rsidR="00BB6D8D" w:rsidRPr="00316837" w:rsidRDefault="000042B9" w:rsidP="006273BD">
      <w:pPr>
        <w:pStyle w:val="ListParagraph"/>
        <w:numPr>
          <w:ilvl w:val="0"/>
          <w:numId w:val="107"/>
        </w:numPr>
        <w:spacing w:before="160" w:after="0" w:line="288" w:lineRule="auto"/>
        <w:rPr>
          <w:rFonts w:ascii="Arial" w:hAnsi="Arial" w:cs="Arial"/>
          <w:sz w:val="20"/>
          <w:szCs w:val="20"/>
          <w:lang w:val="en-GB"/>
        </w:rPr>
      </w:pPr>
      <w:r w:rsidRPr="00316837">
        <w:rPr>
          <w:rFonts w:ascii="Arial" w:hAnsi="Arial" w:cs="Arial"/>
          <w:sz w:val="20"/>
          <w:szCs w:val="20"/>
          <w:lang w:val="en-GB"/>
        </w:rPr>
        <w:t>r</w:t>
      </w:r>
      <w:r w:rsidR="00BB6D8D" w:rsidRPr="00316837">
        <w:rPr>
          <w:rFonts w:ascii="Arial" w:hAnsi="Arial" w:cs="Arial"/>
          <w:sz w:val="20"/>
          <w:szCs w:val="20"/>
          <w:lang w:val="en-GB"/>
        </w:rPr>
        <w:t>egional coordination of cross-border exchanges</w:t>
      </w:r>
      <w:r w:rsidRPr="00316837">
        <w:rPr>
          <w:rFonts w:ascii="Arial" w:hAnsi="Arial" w:cs="Arial"/>
          <w:sz w:val="20"/>
          <w:szCs w:val="20"/>
          <w:lang w:val="en-GB"/>
        </w:rPr>
        <w:t>,</w:t>
      </w:r>
      <w:r w:rsidR="00BB6D8D" w:rsidRPr="00316837">
        <w:rPr>
          <w:rFonts w:ascii="Arial" w:hAnsi="Arial" w:cs="Arial"/>
          <w:sz w:val="20"/>
          <w:szCs w:val="20"/>
          <w:lang w:val="en-GB"/>
        </w:rPr>
        <w:t xml:space="preserve"> </w:t>
      </w:r>
      <w:r w:rsidRPr="00316837">
        <w:rPr>
          <w:rFonts w:ascii="Arial" w:hAnsi="Arial" w:cs="Arial"/>
          <w:sz w:val="20"/>
          <w:szCs w:val="20"/>
          <w:lang w:val="en-GB"/>
        </w:rPr>
        <w:t xml:space="preserve">and </w:t>
      </w:r>
    </w:p>
    <w:p w14:paraId="4E8E592A" w14:textId="011D7CC4" w:rsidR="00BB6D8D" w:rsidRPr="00316837" w:rsidRDefault="000042B9" w:rsidP="006273BD">
      <w:pPr>
        <w:pStyle w:val="ListParagraph"/>
        <w:numPr>
          <w:ilvl w:val="0"/>
          <w:numId w:val="107"/>
        </w:numPr>
        <w:spacing w:before="160" w:after="0" w:line="288" w:lineRule="auto"/>
        <w:rPr>
          <w:rFonts w:ascii="Arial" w:hAnsi="Arial" w:cs="Arial"/>
          <w:sz w:val="20"/>
          <w:szCs w:val="20"/>
          <w:lang w:val="en-GB"/>
        </w:rPr>
      </w:pPr>
      <w:r w:rsidRPr="00316837">
        <w:rPr>
          <w:rFonts w:ascii="Arial" w:hAnsi="Arial" w:cs="Arial"/>
          <w:sz w:val="20"/>
          <w:szCs w:val="20"/>
          <w:lang w:val="en-GB"/>
        </w:rPr>
        <w:t>m</w:t>
      </w:r>
      <w:r w:rsidR="00BB6D8D" w:rsidRPr="00316837">
        <w:rPr>
          <w:rFonts w:ascii="Arial" w:hAnsi="Arial" w:cs="Arial"/>
          <w:sz w:val="20"/>
          <w:szCs w:val="20"/>
          <w:lang w:val="en-GB"/>
        </w:rPr>
        <w:t xml:space="preserve">onitoring of the WAPP </w:t>
      </w:r>
      <w:r w:rsidRPr="00316837">
        <w:rPr>
          <w:rFonts w:ascii="Arial" w:hAnsi="Arial" w:cs="Arial"/>
          <w:sz w:val="20"/>
          <w:szCs w:val="20"/>
          <w:lang w:val="en-GB"/>
        </w:rPr>
        <w:t>s</w:t>
      </w:r>
      <w:r w:rsidR="00BB6D8D" w:rsidRPr="00316837">
        <w:rPr>
          <w:rFonts w:ascii="Arial" w:hAnsi="Arial" w:cs="Arial"/>
          <w:sz w:val="20"/>
          <w:szCs w:val="20"/>
          <w:lang w:val="en-GB"/>
        </w:rPr>
        <w:t xml:space="preserve">ystem </w:t>
      </w:r>
      <w:r w:rsidRPr="00316837">
        <w:rPr>
          <w:rFonts w:ascii="Arial" w:hAnsi="Arial" w:cs="Arial"/>
          <w:sz w:val="20"/>
          <w:szCs w:val="20"/>
          <w:lang w:val="en-GB"/>
        </w:rPr>
        <w:t>o</w:t>
      </w:r>
      <w:r w:rsidR="00BB6D8D" w:rsidRPr="00316837">
        <w:rPr>
          <w:rFonts w:ascii="Arial" w:hAnsi="Arial" w:cs="Arial"/>
          <w:sz w:val="20"/>
          <w:szCs w:val="20"/>
          <w:lang w:val="en-GB"/>
        </w:rPr>
        <w:t>peration by</w:t>
      </w:r>
      <w:r w:rsidRPr="00316837">
        <w:rPr>
          <w:rFonts w:ascii="Arial" w:hAnsi="Arial" w:cs="Arial"/>
          <w:sz w:val="20"/>
          <w:szCs w:val="20"/>
          <w:lang w:val="en-GB"/>
        </w:rPr>
        <w:t xml:space="preserve"> </w:t>
      </w:r>
    </w:p>
    <w:p w14:paraId="45FF882F" w14:textId="773C4825" w:rsidR="00BB6D8D" w:rsidRPr="00316837" w:rsidRDefault="00BB6D8D" w:rsidP="006273BD">
      <w:pPr>
        <w:ind w:left="1494" w:hanging="414"/>
        <w:rPr>
          <w:rFonts w:eastAsia="Calibri"/>
          <w:szCs w:val="22"/>
        </w:rPr>
      </w:pPr>
      <w:r w:rsidRPr="00316837">
        <w:rPr>
          <w:rFonts w:eastAsia="Calibri"/>
          <w:szCs w:val="22"/>
        </w:rPr>
        <w:t>a.</w:t>
      </w:r>
      <w:r w:rsidRPr="00316837">
        <w:rPr>
          <w:rFonts w:eastAsia="Calibri"/>
          <w:szCs w:val="22"/>
        </w:rPr>
        <w:tab/>
      </w:r>
      <w:r w:rsidR="000042B9" w:rsidRPr="00316837">
        <w:rPr>
          <w:rFonts w:eastAsia="Calibri"/>
          <w:szCs w:val="22"/>
        </w:rPr>
        <w:t>a</w:t>
      </w:r>
      <w:r w:rsidRPr="00316837">
        <w:rPr>
          <w:rFonts w:eastAsia="Calibri"/>
          <w:szCs w:val="22"/>
        </w:rPr>
        <w:t>lerting and advising the Control Area</w:t>
      </w:r>
      <w:r w:rsidR="000042B9" w:rsidRPr="00316837">
        <w:rPr>
          <w:rFonts w:eastAsia="Calibri"/>
          <w:szCs w:val="22"/>
        </w:rPr>
        <w:t xml:space="preserve"> Operator</w:t>
      </w:r>
      <w:r w:rsidRPr="00316837">
        <w:rPr>
          <w:rFonts w:eastAsia="Calibri"/>
          <w:szCs w:val="22"/>
        </w:rPr>
        <w:t>s in the event of security risks on the regional system</w:t>
      </w:r>
      <w:r w:rsidR="000042B9" w:rsidRPr="00316837">
        <w:rPr>
          <w:rFonts w:eastAsia="Calibri"/>
          <w:szCs w:val="22"/>
        </w:rPr>
        <w:t xml:space="preserve">, and </w:t>
      </w:r>
    </w:p>
    <w:p w14:paraId="77184A70" w14:textId="1BC291C6" w:rsidR="00BB6D8D" w:rsidRPr="00316837" w:rsidRDefault="00BB6D8D" w:rsidP="006273BD">
      <w:pPr>
        <w:ind w:left="1494" w:hanging="414"/>
        <w:rPr>
          <w:rFonts w:eastAsia="Calibri"/>
          <w:szCs w:val="22"/>
        </w:rPr>
      </w:pPr>
      <w:r w:rsidRPr="00316837">
        <w:rPr>
          <w:rFonts w:eastAsia="Calibri"/>
          <w:szCs w:val="22"/>
        </w:rPr>
        <w:t>b.</w:t>
      </w:r>
      <w:r w:rsidRPr="00316837">
        <w:rPr>
          <w:rFonts w:eastAsia="Calibri"/>
          <w:szCs w:val="22"/>
        </w:rPr>
        <w:tab/>
      </w:r>
      <w:r w:rsidR="000042B9" w:rsidRPr="00316837">
        <w:rPr>
          <w:rFonts w:eastAsia="Calibri"/>
          <w:szCs w:val="22"/>
        </w:rPr>
        <w:t>m</w:t>
      </w:r>
      <w:r w:rsidRPr="00316837">
        <w:rPr>
          <w:rFonts w:eastAsia="Calibri"/>
          <w:szCs w:val="22"/>
        </w:rPr>
        <w:t>aintaining frequency and voltage levels within operating limits to ensure secured and reliable operations of the interconnected system.</w:t>
      </w:r>
      <w:r w:rsidR="000042B9" w:rsidRPr="00316837">
        <w:rPr>
          <w:rFonts w:eastAsia="Calibri"/>
          <w:szCs w:val="22"/>
        </w:rPr>
        <w:t xml:space="preserve"> </w:t>
      </w:r>
    </w:p>
    <w:p w14:paraId="5B49EDC7" w14:textId="05FCE32A" w:rsidR="00BB6D8D" w:rsidRPr="006273BD" w:rsidRDefault="0069087F" w:rsidP="006273BD">
      <w:pPr>
        <w:pStyle w:val="ListParagraph"/>
        <w:numPr>
          <w:ilvl w:val="0"/>
          <w:numId w:val="78"/>
        </w:numPr>
        <w:spacing w:before="160" w:after="0" w:line="288" w:lineRule="auto"/>
        <w:rPr>
          <w:rFonts w:cs="Arial"/>
          <w:szCs w:val="20"/>
        </w:rPr>
      </w:pPr>
      <w:r>
        <w:rPr>
          <w:rFonts w:ascii="Arial" w:hAnsi="Arial" w:cs="Arial"/>
          <w:sz w:val="20"/>
          <w:szCs w:val="20"/>
          <w:lang w:val="en-GB"/>
        </w:rPr>
        <w:t xml:space="preserve">SAPP. </w:t>
      </w:r>
      <w:r w:rsidR="00BB6D8D" w:rsidRPr="006273BD">
        <w:rPr>
          <w:rFonts w:cs="Arial"/>
          <w:szCs w:val="20"/>
        </w:rPr>
        <w:t xml:space="preserve">The SAPP Coordination Centre in Harare, Zimbabwe, is connected with the three control centres in South Africa, Zambia and Zimbabwe which perform the functions of </w:t>
      </w:r>
      <w:r w:rsidR="000042B9" w:rsidRPr="006273BD">
        <w:rPr>
          <w:rFonts w:cs="Arial"/>
          <w:szCs w:val="20"/>
        </w:rPr>
        <w:t>Control A</w:t>
      </w:r>
      <w:r w:rsidR="00BB6D8D" w:rsidRPr="006273BD">
        <w:rPr>
          <w:rFonts w:cs="Arial"/>
          <w:szCs w:val="20"/>
        </w:rPr>
        <w:t xml:space="preserve">rea </w:t>
      </w:r>
      <w:r w:rsidR="000042B9" w:rsidRPr="006273BD">
        <w:rPr>
          <w:rFonts w:cs="Arial"/>
          <w:szCs w:val="20"/>
        </w:rPr>
        <w:t>Operators</w:t>
      </w:r>
      <w:r w:rsidR="00BB6D8D" w:rsidRPr="006273BD">
        <w:rPr>
          <w:rFonts w:cs="Arial"/>
          <w:szCs w:val="20"/>
        </w:rPr>
        <w:t xml:space="preserve">. SAPP has a SCADA system in place for visualisation of interconnectors that is operational. Meanwhile, a project to upgrade the existing SCADA system is in progress. Real time control and dispatch in SAPP is carried out by the member utilities at their respective </w:t>
      </w:r>
      <w:r w:rsidR="000042B9" w:rsidRPr="006273BD">
        <w:rPr>
          <w:rFonts w:cs="Arial"/>
          <w:szCs w:val="20"/>
        </w:rPr>
        <w:t xml:space="preserve">National </w:t>
      </w:r>
      <w:r w:rsidR="00BB6D8D" w:rsidRPr="006273BD">
        <w:rPr>
          <w:rFonts w:cs="Arial"/>
          <w:szCs w:val="20"/>
        </w:rPr>
        <w:t>Control Centres.</w:t>
      </w:r>
      <w:r w:rsidR="000042B9" w:rsidRPr="006273BD">
        <w:rPr>
          <w:rFonts w:cs="Arial"/>
          <w:szCs w:val="20"/>
        </w:rPr>
        <w:t xml:space="preserve"> </w:t>
      </w:r>
      <w:r w:rsidR="00BB6D8D" w:rsidRPr="006273BD">
        <w:rPr>
          <w:rFonts w:ascii="Arial" w:hAnsi="Arial" w:cs="Arial"/>
          <w:sz w:val="20"/>
          <w:szCs w:val="20"/>
          <w:lang w:val="en-GB"/>
        </w:rPr>
        <w:t xml:space="preserve">SAPP has designated Control Areas that ensure the management of tie-line flows and frequency of the interconnected system by utilising appropriate operational and ICT capabilities. The SAPP SCADA/EMS system is connected with the </w:t>
      </w:r>
      <w:r w:rsidR="000042B9" w:rsidRPr="006273BD">
        <w:rPr>
          <w:rFonts w:ascii="Arial" w:hAnsi="Arial" w:cs="Arial"/>
          <w:sz w:val="20"/>
          <w:szCs w:val="20"/>
          <w:lang w:val="en-GB"/>
        </w:rPr>
        <w:t>Control A</w:t>
      </w:r>
      <w:r w:rsidR="00BB6D8D" w:rsidRPr="006273BD">
        <w:rPr>
          <w:rFonts w:ascii="Arial" w:hAnsi="Arial" w:cs="Arial"/>
          <w:sz w:val="20"/>
          <w:szCs w:val="20"/>
          <w:lang w:val="en-GB"/>
        </w:rPr>
        <w:t xml:space="preserve">rea </w:t>
      </w:r>
      <w:r w:rsidR="000042B9" w:rsidRPr="006273BD">
        <w:rPr>
          <w:rFonts w:ascii="Arial" w:hAnsi="Arial" w:cs="Arial"/>
          <w:sz w:val="20"/>
          <w:szCs w:val="20"/>
          <w:lang w:val="en-GB"/>
        </w:rPr>
        <w:t>Operators</w:t>
      </w:r>
      <w:r w:rsidR="00BB6D8D" w:rsidRPr="006273BD">
        <w:rPr>
          <w:rFonts w:ascii="Arial" w:hAnsi="Arial" w:cs="Arial"/>
          <w:sz w:val="20"/>
          <w:szCs w:val="20"/>
          <w:lang w:val="en-GB"/>
        </w:rPr>
        <w:t xml:space="preserve"> via fibre links</w:t>
      </w:r>
      <w:r w:rsidR="000042B9" w:rsidRPr="006273BD">
        <w:rPr>
          <w:rFonts w:ascii="Arial" w:hAnsi="Arial" w:cs="Arial"/>
          <w:sz w:val="20"/>
          <w:szCs w:val="20"/>
          <w:lang w:val="en-GB"/>
        </w:rPr>
        <w:footnoteReference w:id="11"/>
      </w:r>
      <w:r w:rsidR="000042B9" w:rsidRPr="006273BD">
        <w:rPr>
          <w:rFonts w:ascii="Arial" w:hAnsi="Arial" w:cs="Arial"/>
          <w:sz w:val="20"/>
          <w:szCs w:val="20"/>
          <w:lang w:val="en-GB"/>
        </w:rPr>
        <w:t xml:space="preserve">, which </w:t>
      </w:r>
      <w:r w:rsidR="00BB6D8D" w:rsidRPr="006273BD">
        <w:rPr>
          <w:rFonts w:ascii="Arial" w:hAnsi="Arial" w:cs="Arial"/>
          <w:sz w:val="20"/>
          <w:szCs w:val="20"/>
          <w:lang w:val="en-GB"/>
        </w:rPr>
        <w:t>enables the SAPP Coordination Centre to undertake network and transaction monitoring, planning and operational system analysis, routine reporting, and data provision, among others. The two fibre optic links used for voice and data communication are the Eskom-NamPower-ZESCO-ZESA-SAPP Coordination Centre, and the SAPP Coordination Centre-ZESA-BPC-Eskom.</w:t>
      </w:r>
      <w:r w:rsidR="000042B9" w:rsidRPr="006273BD">
        <w:rPr>
          <w:rFonts w:ascii="Arial" w:hAnsi="Arial" w:cs="Arial"/>
          <w:sz w:val="20"/>
          <w:szCs w:val="20"/>
          <w:lang w:val="en-GB"/>
        </w:rPr>
        <w:t xml:space="preserve"> </w:t>
      </w:r>
    </w:p>
    <w:p w14:paraId="6E4B1F8D" w14:textId="41BB3532" w:rsidR="00BB6D8D" w:rsidRPr="006273BD" w:rsidRDefault="0069087F" w:rsidP="006273BD">
      <w:pPr>
        <w:pStyle w:val="ListParagraph"/>
        <w:numPr>
          <w:ilvl w:val="0"/>
          <w:numId w:val="78"/>
        </w:numPr>
        <w:spacing w:before="160" w:after="0" w:line="288" w:lineRule="auto"/>
        <w:rPr>
          <w:rFonts w:cs="Arial"/>
          <w:szCs w:val="20"/>
        </w:rPr>
      </w:pPr>
      <w:r>
        <w:rPr>
          <w:rFonts w:ascii="Arial" w:hAnsi="Arial" w:cs="Arial"/>
          <w:sz w:val="20"/>
          <w:szCs w:val="20"/>
          <w:lang w:val="en-GB"/>
        </w:rPr>
        <w:t xml:space="preserve">EAPP. </w:t>
      </w:r>
      <w:r w:rsidR="00BB6D8D" w:rsidRPr="006273BD">
        <w:rPr>
          <w:rFonts w:cs="Arial"/>
          <w:szCs w:val="20"/>
        </w:rPr>
        <w:t xml:space="preserve">Regarding the EAPP regional dispatch and control/ICT capabilities, the </w:t>
      </w:r>
      <w:r w:rsidR="000042B9" w:rsidRPr="006273BD">
        <w:rPr>
          <w:rFonts w:cs="Arial"/>
          <w:szCs w:val="20"/>
        </w:rPr>
        <w:t>P</w:t>
      </w:r>
      <w:r w:rsidR="00BB6D8D" w:rsidRPr="006273BD">
        <w:rPr>
          <w:rFonts w:cs="Arial"/>
          <w:szCs w:val="20"/>
        </w:rPr>
        <w:t xml:space="preserve">ower </w:t>
      </w:r>
      <w:r w:rsidR="000042B9" w:rsidRPr="006273BD">
        <w:rPr>
          <w:rFonts w:cs="Arial"/>
          <w:szCs w:val="20"/>
        </w:rPr>
        <w:t>P</w:t>
      </w:r>
      <w:r w:rsidR="00BB6D8D" w:rsidRPr="006273BD">
        <w:rPr>
          <w:rFonts w:cs="Arial"/>
          <w:szCs w:val="20"/>
        </w:rPr>
        <w:t>ool’s strategic plan has identified the need to develop the “hard” infrastructure for the EAPP Grid Coordination Unit that will have the ability to monitor power flow</w:t>
      </w:r>
      <w:r w:rsidR="000042B9" w:rsidRPr="006273BD">
        <w:rPr>
          <w:rFonts w:cs="Arial"/>
          <w:szCs w:val="20"/>
        </w:rPr>
        <w:t>s</w:t>
      </w:r>
      <w:r w:rsidR="00BB6D8D" w:rsidRPr="006273BD">
        <w:rPr>
          <w:rFonts w:cs="Arial"/>
          <w:szCs w:val="20"/>
        </w:rPr>
        <w:t xml:space="preserve"> and system stability while facilitating regional power market operations. The equipment will include ICTs, </w:t>
      </w:r>
      <w:r w:rsidR="000042B9" w:rsidRPr="006273BD">
        <w:rPr>
          <w:rFonts w:cs="Arial"/>
          <w:szCs w:val="20"/>
        </w:rPr>
        <w:t>c</w:t>
      </w:r>
      <w:r w:rsidR="00BB6D8D" w:rsidRPr="006273BD">
        <w:rPr>
          <w:rFonts w:cs="Arial"/>
          <w:szCs w:val="20"/>
        </w:rPr>
        <w:t xml:space="preserve">ommunications </w:t>
      </w:r>
      <w:r w:rsidR="000042B9" w:rsidRPr="006273BD">
        <w:rPr>
          <w:rFonts w:cs="Arial"/>
          <w:szCs w:val="20"/>
        </w:rPr>
        <w:t>i</w:t>
      </w:r>
      <w:r w:rsidR="00BB6D8D" w:rsidRPr="006273BD">
        <w:rPr>
          <w:rFonts w:cs="Arial"/>
          <w:szCs w:val="20"/>
        </w:rPr>
        <w:t xml:space="preserve">nfrastructure, and SCADA/EMS for monitoring, and AGC for flow control at the interconnectors. In the </w:t>
      </w:r>
      <w:r w:rsidR="000042B9" w:rsidRPr="006273BD">
        <w:rPr>
          <w:rFonts w:cs="Arial"/>
          <w:szCs w:val="20"/>
        </w:rPr>
        <w:t>s</w:t>
      </w:r>
      <w:r w:rsidR="00BB6D8D" w:rsidRPr="006273BD">
        <w:rPr>
          <w:rFonts w:cs="Arial"/>
          <w:szCs w:val="20"/>
        </w:rPr>
        <w:t>hort</w:t>
      </w:r>
      <w:r w:rsidR="000042B9" w:rsidRPr="006273BD">
        <w:rPr>
          <w:rFonts w:cs="Arial"/>
          <w:szCs w:val="20"/>
        </w:rPr>
        <w:t>-</w:t>
      </w:r>
      <w:r w:rsidR="00BB6D8D" w:rsidRPr="006273BD">
        <w:rPr>
          <w:rFonts w:cs="Arial"/>
          <w:szCs w:val="20"/>
        </w:rPr>
        <w:t>term (2022), the plan is to conduct preparatory activities for the design of the EAPP SCADA, engage consultancy service and finali</w:t>
      </w:r>
      <w:r w:rsidR="000042B9" w:rsidRPr="006273BD">
        <w:rPr>
          <w:rFonts w:cs="Arial"/>
          <w:szCs w:val="20"/>
        </w:rPr>
        <w:t>s</w:t>
      </w:r>
      <w:r w:rsidR="00BB6D8D" w:rsidRPr="006273BD">
        <w:rPr>
          <w:rFonts w:cs="Arial"/>
          <w:szCs w:val="20"/>
        </w:rPr>
        <w:t>e the design and get the necessary approval, to be followed by the procurement of the SCADA system.</w:t>
      </w:r>
      <w:r w:rsidR="000042B9" w:rsidRPr="006273BD">
        <w:rPr>
          <w:rFonts w:cs="Arial"/>
          <w:szCs w:val="20"/>
        </w:rPr>
        <w:t xml:space="preserve"> </w:t>
      </w:r>
      <w:r w:rsidR="00BB6D8D" w:rsidRPr="006273BD">
        <w:rPr>
          <w:rFonts w:ascii="Arial" w:hAnsi="Arial" w:cs="Arial"/>
          <w:sz w:val="20"/>
          <w:szCs w:val="20"/>
          <w:lang w:val="en-GB"/>
        </w:rPr>
        <w:t>The short</w:t>
      </w:r>
      <w:r w:rsidR="000042B9" w:rsidRPr="006273BD">
        <w:rPr>
          <w:rFonts w:ascii="Arial" w:hAnsi="Arial" w:cs="Arial"/>
          <w:sz w:val="20"/>
          <w:szCs w:val="20"/>
          <w:lang w:val="en-GB"/>
        </w:rPr>
        <w:t>-</w:t>
      </w:r>
      <w:r w:rsidR="00BB6D8D" w:rsidRPr="006273BD">
        <w:rPr>
          <w:rFonts w:ascii="Arial" w:hAnsi="Arial" w:cs="Arial"/>
          <w:sz w:val="20"/>
          <w:szCs w:val="20"/>
          <w:lang w:val="en-GB"/>
        </w:rPr>
        <w:t xml:space="preserve">term period (2022) will also see the development of a roadmap for the EAPP Energy Information System, to be followed by the eventually implementation. EAPP has recognised the need to have robust regional dispatch </w:t>
      </w:r>
      <w:r w:rsidR="000042B9" w:rsidRPr="006273BD">
        <w:rPr>
          <w:rFonts w:ascii="Arial" w:hAnsi="Arial" w:cs="Arial"/>
          <w:sz w:val="20"/>
          <w:szCs w:val="20"/>
          <w:lang w:val="en-GB"/>
        </w:rPr>
        <w:t>and</w:t>
      </w:r>
      <w:r w:rsidR="00BB6D8D" w:rsidRPr="006273BD">
        <w:rPr>
          <w:rFonts w:ascii="Arial" w:hAnsi="Arial" w:cs="Arial"/>
          <w:sz w:val="20"/>
          <w:szCs w:val="20"/>
          <w:lang w:val="en-GB"/>
        </w:rPr>
        <w:t xml:space="preserve"> control/ICT capabilities for the effective functioning of the market, and the short-term action plan has identified this as a priority that needs to be implemented within the next three years.</w:t>
      </w:r>
      <w:r w:rsidR="000042B9" w:rsidRPr="006273BD">
        <w:rPr>
          <w:rFonts w:ascii="Arial" w:hAnsi="Arial" w:cs="Arial"/>
          <w:sz w:val="20"/>
          <w:szCs w:val="20"/>
          <w:lang w:val="en-GB"/>
        </w:rPr>
        <w:t xml:space="preserve"> </w:t>
      </w:r>
    </w:p>
    <w:p w14:paraId="27762379" w14:textId="0E40781C" w:rsidR="00BB6D8D" w:rsidRPr="006273BD" w:rsidRDefault="0069087F" w:rsidP="006273BD">
      <w:pPr>
        <w:pStyle w:val="ListParagraph"/>
        <w:numPr>
          <w:ilvl w:val="0"/>
          <w:numId w:val="78"/>
        </w:numPr>
        <w:spacing w:before="160" w:after="0" w:line="288" w:lineRule="auto"/>
        <w:rPr>
          <w:rFonts w:cs="Arial"/>
          <w:szCs w:val="20"/>
        </w:rPr>
      </w:pPr>
      <w:r>
        <w:rPr>
          <w:rFonts w:ascii="Arial" w:hAnsi="Arial" w:cs="Arial"/>
          <w:sz w:val="20"/>
          <w:szCs w:val="20"/>
          <w:lang w:val="en-GB"/>
        </w:rPr>
        <w:lastRenderedPageBreak/>
        <w:t xml:space="preserve">CAPP. </w:t>
      </w:r>
      <w:r w:rsidR="00BB6D8D" w:rsidRPr="006273BD">
        <w:rPr>
          <w:rFonts w:ascii="Arial" w:hAnsi="Arial" w:cs="Arial"/>
          <w:sz w:val="20"/>
          <w:szCs w:val="20"/>
          <w:lang w:val="en-GB"/>
        </w:rPr>
        <w:t xml:space="preserve">A fully functional CAPP </w:t>
      </w:r>
      <w:r w:rsidR="000042B9" w:rsidRPr="006273BD">
        <w:rPr>
          <w:rFonts w:ascii="Arial" w:hAnsi="Arial" w:cs="Arial"/>
          <w:sz w:val="20"/>
          <w:szCs w:val="20"/>
          <w:lang w:val="en-GB"/>
        </w:rPr>
        <w:t>I</w:t>
      </w:r>
      <w:r w:rsidR="00BB6D8D" w:rsidRPr="006273BD">
        <w:rPr>
          <w:rFonts w:ascii="Arial" w:hAnsi="Arial" w:cs="Arial"/>
          <w:sz w:val="20"/>
          <w:szCs w:val="20"/>
          <w:lang w:val="en-GB"/>
        </w:rPr>
        <w:t xml:space="preserve">nformation and </w:t>
      </w:r>
      <w:r w:rsidR="000042B9" w:rsidRPr="006273BD">
        <w:rPr>
          <w:rFonts w:ascii="Arial" w:hAnsi="Arial" w:cs="Arial"/>
          <w:sz w:val="20"/>
          <w:szCs w:val="20"/>
          <w:lang w:val="en-GB"/>
        </w:rPr>
        <w:t>C</w:t>
      </w:r>
      <w:r w:rsidR="00BB6D8D" w:rsidRPr="006273BD">
        <w:rPr>
          <w:rFonts w:ascii="Arial" w:hAnsi="Arial" w:cs="Arial"/>
          <w:sz w:val="20"/>
          <w:szCs w:val="20"/>
          <w:lang w:val="en-GB"/>
        </w:rPr>
        <w:t xml:space="preserve">oordination </w:t>
      </w:r>
      <w:r w:rsidR="000042B9" w:rsidRPr="006273BD">
        <w:rPr>
          <w:rFonts w:ascii="Arial" w:hAnsi="Arial" w:cs="Arial"/>
          <w:sz w:val="20"/>
          <w:szCs w:val="20"/>
          <w:lang w:val="en-GB"/>
        </w:rPr>
        <w:t>C</w:t>
      </w:r>
      <w:r w:rsidR="00BB6D8D" w:rsidRPr="006273BD">
        <w:rPr>
          <w:rFonts w:ascii="Arial" w:hAnsi="Arial" w:cs="Arial"/>
          <w:sz w:val="20"/>
          <w:szCs w:val="20"/>
          <w:lang w:val="en-GB"/>
        </w:rPr>
        <w:t>entre is yet to be established for th</w:t>
      </w:r>
      <w:r w:rsidR="000042B9" w:rsidRPr="006273BD">
        <w:rPr>
          <w:rFonts w:ascii="Arial" w:hAnsi="Arial" w:cs="Arial"/>
          <w:sz w:val="20"/>
          <w:szCs w:val="20"/>
          <w:lang w:val="en-GB"/>
        </w:rPr>
        <w:t>is</w:t>
      </w:r>
      <w:r w:rsidR="00BB6D8D" w:rsidRPr="006273BD">
        <w:rPr>
          <w:rFonts w:ascii="Arial" w:hAnsi="Arial" w:cs="Arial"/>
          <w:sz w:val="20"/>
          <w:szCs w:val="20"/>
          <w:lang w:val="en-GB"/>
        </w:rPr>
        <w:t xml:space="preserve"> </w:t>
      </w:r>
      <w:r w:rsidR="000042B9" w:rsidRPr="006273BD">
        <w:rPr>
          <w:rFonts w:ascii="Arial" w:hAnsi="Arial" w:cs="Arial"/>
          <w:sz w:val="20"/>
          <w:szCs w:val="20"/>
          <w:lang w:val="en-GB"/>
        </w:rPr>
        <w:t>P</w:t>
      </w:r>
      <w:r w:rsidR="00BB6D8D" w:rsidRPr="006273BD">
        <w:rPr>
          <w:rFonts w:ascii="Arial" w:hAnsi="Arial" w:cs="Arial"/>
          <w:sz w:val="20"/>
          <w:szCs w:val="20"/>
          <w:lang w:val="en-GB"/>
        </w:rPr>
        <w:t xml:space="preserve">ower </w:t>
      </w:r>
      <w:r w:rsidR="000042B9" w:rsidRPr="006273BD">
        <w:rPr>
          <w:rFonts w:ascii="Arial" w:hAnsi="Arial" w:cs="Arial"/>
          <w:sz w:val="20"/>
          <w:szCs w:val="20"/>
          <w:lang w:val="en-GB"/>
        </w:rPr>
        <w:t>P</w:t>
      </w:r>
      <w:r w:rsidR="00BB6D8D" w:rsidRPr="006273BD">
        <w:rPr>
          <w:rFonts w:ascii="Arial" w:hAnsi="Arial" w:cs="Arial"/>
          <w:sz w:val="20"/>
          <w:szCs w:val="20"/>
          <w:lang w:val="en-GB"/>
        </w:rPr>
        <w:t>ool.</w:t>
      </w:r>
      <w:r w:rsidR="001D4932" w:rsidRPr="006273BD">
        <w:rPr>
          <w:rFonts w:ascii="Arial" w:hAnsi="Arial" w:cs="Arial"/>
          <w:sz w:val="20"/>
          <w:szCs w:val="20"/>
          <w:lang w:val="en-GB"/>
        </w:rPr>
        <w:t xml:space="preserve"> </w:t>
      </w:r>
    </w:p>
    <w:p w14:paraId="3C4CFAF1" w14:textId="12D3D1DD" w:rsidR="00BB6D8D" w:rsidRPr="006273BD" w:rsidRDefault="0069087F" w:rsidP="006273BD">
      <w:pPr>
        <w:pStyle w:val="ListParagraph"/>
        <w:numPr>
          <w:ilvl w:val="0"/>
          <w:numId w:val="78"/>
        </w:numPr>
        <w:spacing w:before="160" w:after="0" w:line="288" w:lineRule="auto"/>
        <w:rPr>
          <w:rFonts w:cs="Arial"/>
          <w:szCs w:val="20"/>
        </w:rPr>
      </w:pPr>
      <w:r>
        <w:rPr>
          <w:rFonts w:ascii="Arial" w:hAnsi="Arial" w:cs="Arial"/>
          <w:sz w:val="20"/>
          <w:szCs w:val="20"/>
          <w:lang w:val="en-GB"/>
        </w:rPr>
        <w:t xml:space="preserve">COMELEC. </w:t>
      </w:r>
      <w:r w:rsidR="000042B9" w:rsidRPr="006273BD">
        <w:rPr>
          <w:rFonts w:ascii="Arial" w:hAnsi="Arial" w:cs="Arial"/>
          <w:sz w:val="20"/>
          <w:szCs w:val="20"/>
          <w:lang w:val="en-GB"/>
        </w:rPr>
        <w:t>COMELEC is yet to be established as a Power Pool, and a</w:t>
      </w:r>
      <w:r w:rsidR="00BB6D8D" w:rsidRPr="006273BD">
        <w:rPr>
          <w:rFonts w:ascii="Arial" w:hAnsi="Arial" w:cs="Arial"/>
          <w:sz w:val="20"/>
          <w:szCs w:val="20"/>
          <w:lang w:val="en-GB"/>
        </w:rPr>
        <w:t xml:space="preserve"> fully functional COMELEC </w:t>
      </w:r>
      <w:r w:rsidR="000042B9" w:rsidRPr="006273BD">
        <w:rPr>
          <w:rFonts w:ascii="Arial" w:hAnsi="Arial" w:cs="Arial"/>
          <w:sz w:val="20"/>
          <w:szCs w:val="20"/>
          <w:lang w:val="en-GB"/>
        </w:rPr>
        <w:t>I</w:t>
      </w:r>
      <w:r w:rsidR="00BB6D8D" w:rsidRPr="006273BD">
        <w:rPr>
          <w:rFonts w:ascii="Arial" w:hAnsi="Arial" w:cs="Arial"/>
          <w:sz w:val="20"/>
          <w:szCs w:val="20"/>
          <w:lang w:val="en-GB"/>
        </w:rPr>
        <w:t xml:space="preserve">nformation and </w:t>
      </w:r>
      <w:r w:rsidR="000042B9" w:rsidRPr="006273BD">
        <w:rPr>
          <w:rFonts w:ascii="Arial" w:hAnsi="Arial" w:cs="Arial"/>
          <w:sz w:val="20"/>
          <w:szCs w:val="20"/>
          <w:lang w:val="en-GB"/>
        </w:rPr>
        <w:t>C</w:t>
      </w:r>
      <w:r w:rsidR="00BB6D8D" w:rsidRPr="006273BD">
        <w:rPr>
          <w:rFonts w:ascii="Arial" w:hAnsi="Arial" w:cs="Arial"/>
          <w:sz w:val="20"/>
          <w:szCs w:val="20"/>
          <w:lang w:val="en-GB"/>
        </w:rPr>
        <w:t xml:space="preserve">oordination </w:t>
      </w:r>
      <w:r w:rsidR="000042B9" w:rsidRPr="006273BD">
        <w:rPr>
          <w:rFonts w:ascii="Arial" w:hAnsi="Arial" w:cs="Arial"/>
          <w:sz w:val="20"/>
          <w:szCs w:val="20"/>
          <w:lang w:val="en-GB"/>
        </w:rPr>
        <w:t>Ce</w:t>
      </w:r>
      <w:r w:rsidR="00BB6D8D" w:rsidRPr="006273BD">
        <w:rPr>
          <w:rFonts w:ascii="Arial" w:hAnsi="Arial" w:cs="Arial"/>
          <w:sz w:val="20"/>
          <w:szCs w:val="20"/>
          <w:lang w:val="en-GB"/>
        </w:rPr>
        <w:t>ntre is yet to be established to be at par with SAPP or WAPP.</w:t>
      </w:r>
      <w:r w:rsidR="000042B9" w:rsidRPr="006273BD">
        <w:rPr>
          <w:rFonts w:ascii="Arial" w:hAnsi="Arial" w:cs="Arial"/>
          <w:sz w:val="20"/>
          <w:szCs w:val="20"/>
          <w:lang w:val="en-GB"/>
        </w:rPr>
        <w:t xml:space="preserve"> </w:t>
      </w:r>
    </w:p>
    <w:p w14:paraId="7043BC20" w14:textId="62E7828B" w:rsidR="00BB6D8D" w:rsidRPr="00316837" w:rsidRDefault="00BB6D8D" w:rsidP="00BB6D8D">
      <w:pPr>
        <w:rPr>
          <w:rFonts w:eastAsia="Calibri"/>
          <w:szCs w:val="22"/>
        </w:rPr>
      </w:pPr>
      <w:r w:rsidRPr="00316837">
        <w:rPr>
          <w:rFonts w:eastAsia="Calibri"/>
          <w:szCs w:val="22"/>
        </w:rPr>
        <w:t>Based on the issues highlighted above the Guideline</w:t>
      </w:r>
      <w:r w:rsidR="000042B9" w:rsidRPr="00316837">
        <w:rPr>
          <w:rFonts w:eastAsia="Calibri"/>
          <w:szCs w:val="22"/>
        </w:rPr>
        <w:t>s</w:t>
      </w:r>
      <w:r w:rsidRPr="00316837">
        <w:rPr>
          <w:rFonts w:eastAsia="Calibri"/>
          <w:szCs w:val="22"/>
        </w:rPr>
        <w:t xml:space="preserve"> 2 is formulated to read as follows:</w:t>
      </w:r>
      <w:r w:rsidR="000042B9" w:rsidRPr="00316837">
        <w:rPr>
          <w:rFonts w:eastAsia="Calibri"/>
          <w:szCs w:val="22"/>
        </w:rPr>
        <w:t xml:space="preserve"> </w:t>
      </w:r>
    </w:p>
    <w:p w14:paraId="6687FBD0" w14:textId="3D8C9916" w:rsidR="000042B9" w:rsidRPr="00654753" w:rsidRDefault="00D91B36" w:rsidP="00BB6D8D">
      <w:pPr>
        <w:rPr>
          <w:rFonts w:eastAsia="Calibri"/>
          <w:szCs w:val="22"/>
        </w:rPr>
      </w:pPr>
      <w:r w:rsidRPr="006273BD">
        <w:rPr>
          <w:rFonts w:eastAsia="Calibri"/>
          <w:noProof/>
          <w:szCs w:val="22"/>
          <w:lang w:eastAsia="en-GB"/>
        </w:rPr>
        <mc:AlternateContent>
          <mc:Choice Requires="wps">
            <w:drawing>
              <wp:inline distT="0" distB="0" distL="0" distR="0" wp14:anchorId="55D9C240" wp14:editId="5F75EDCB">
                <wp:extent cx="6112800" cy="5418859"/>
                <wp:effectExtent l="0" t="0" r="21590" b="10795"/>
                <wp:docPr id="23" name="Text Box 23"/>
                <wp:cNvGraphicFramePr/>
                <a:graphic xmlns:a="http://schemas.openxmlformats.org/drawingml/2006/main">
                  <a:graphicData uri="http://schemas.microsoft.com/office/word/2010/wordprocessingShape">
                    <wps:wsp>
                      <wps:cNvSpPr txBox="1"/>
                      <wps:spPr>
                        <a:xfrm>
                          <a:off x="0" y="0"/>
                          <a:ext cx="6112800" cy="5418859"/>
                        </a:xfrm>
                        <a:prstGeom prst="rect">
                          <a:avLst/>
                        </a:prstGeom>
                        <a:solidFill>
                          <a:srgbClr val="9BBB59">
                            <a:lumMod val="20000"/>
                            <a:lumOff val="80000"/>
                          </a:srgbClr>
                        </a:solidFill>
                        <a:ln w="6350">
                          <a:solidFill>
                            <a:prstClr val="black"/>
                          </a:solidFill>
                        </a:ln>
                        <a:effectLst/>
                      </wps:spPr>
                      <wps:txbx>
                        <w:txbxContent>
                          <w:p w14:paraId="63D1022A" w14:textId="765D7C37" w:rsidR="005276A4" w:rsidRPr="00D91B36" w:rsidRDefault="005276A4" w:rsidP="006B0F78">
                            <w:pPr>
                              <w:jc w:val="left"/>
                              <w:rPr>
                                <w:rFonts w:cs="Arial"/>
                                <w:bCs/>
                                <w:szCs w:val="20"/>
                              </w:rPr>
                            </w:pPr>
                            <w:r w:rsidRPr="00D91B36">
                              <w:rPr>
                                <w:rFonts w:cs="Arial"/>
                                <w:bCs/>
                                <w:szCs w:val="20"/>
                              </w:rPr>
                              <w:t>Guidelines 2</w:t>
                            </w:r>
                            <w:r>
                              <w:rPr>
                                <w:rFonts w:cs="Arial"/>
                                <w:bCs/>
                                <w:szCs w:val="20"/>
                              </w:rPr>
                              <w:t>:</w:t>
                            </w:r>
                            <w:r w:rsidRPr="00D91B36">
                              <w:rPr>
                                <w:rFonts w:cs="Arial"/>
                                <w:bCs/>
                                <w:szCs w:val="20"/>
                              </w:rPr>
                              <w:t xml:space="preserve"> Dispatch, System Operations, </w:t>
                            </w:r>
                            <w:r>
                              <w:rPr>
                                <w:rFonts w:cs="Arial"/>
                                <w:bCs/>
                                <w:szCs w:val="20"/>
                              </w:rPr>
                              <w:t xml:space="preserve">and ICT </w:t>
                            </w:r>
                          </w:p>
                          <w:p w14:paraId="782DE4AD" w14:textId="6DEE9F26"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 xml:space="preserve">ower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 xml:space="preserve">ools will be required to develop functional </w:t>
                            </w:r>
                            <w:r>
                              <w:rPr>
                                <w:rFonts w:ascii="Arial" w:hAnsi="Arial" w:cs="Arial"/>
                                <w:bCs/>
                                <w:color w:val="000000" w:themeColor="text1"/>
                                <w:sz w:val="20"/>
                                <w:szCs w:val="20"/>
                                <w:lang w:val="en-GB"/>
                              </w:rPr>
                              <w:t xml:space="preserve">RSMOs from the </w:t>
                            </w:r>
                            <w:r w:rsidRPr="00D91B36">
                              <w:rPr>
                                <w:rFonts w:ascii="Arial" w:hAnsi="Arial" w:cs="Arial"/>
                                <w:bCs/>
                                <w:color w:val="000000" w:themeColor="text1"/>
                                <w:sz w:val="20"/>
                                <w:szCs w:val="20"/>
                                <w:lang w:val="en-GB"/>
                              </w:rPr>
                              <w:t>Information and Coordination Centres and install modern telecommunication equipment and/or carry out upgrades and expansions of existing systems. The</w:t>
                            </w:r>
                            <w:r>
                              <w:rPr>
                                <w:rFonts w:ascii="Arial" w:hAnsi="Arial" w:cs="Arial"/>
                                <w:bCs/>
                                <w:color w:val="000000" w:themeColor="text1"/>
                                <w:sz w:val="20"/>
                                <w:szCs w:val="20"/>
                                <w:lang w:val="en-GB"/>
                              </w:rPr>
                              <w:t>y</w:t>
                            </w:r>
                            <w:r w:rsidRPr="00D91B36">
                              <w:rPr>
                                <w:rFonts w:ascii="Arial" w:hAnsi="Arial" w:cs="Arial"/>
                                <w:bCs/>
                                <w:color w:val="000000" w:themeColor="text1"/>
                                <w:sz w:val="20"/>
                                <w:szCs w:val="20"/>
                                <w:lang w:val="en-GB"/>
                              </w:rPr>
                              <w:t xml:space="preserve"> will ensure that the facilities are constructed and/or upgraded and tested before interconnecting or coupling any two adjacent power systems. </w:t>
                            </w:r>
                          </w:p>
                          <w:p w14:paraId="13AABCB5" w14:textId="61818BF2"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Pr>
                                <w:rFonts w:ascii="Arial" w:hAnsi="Arial" w:cs="Arial"/>
                                <w:bCs/>
                                <w:color w:val="000000" w:themeColor="text1"/>
                                <w:sz w:val="20"/>
                                <w:szCs w:val="20"/>
                                <w:lang w:val="en-GB"/>
                              </w:rPr>
                              <w:t xml:space="preserve">The </w:t>
                            </w:r>
                            <w:r w:rsidRPr="00D91B36">
                              <w:rPr>
                                <w:rFonts w:ascii="Arial" w:hAnsi="Arial" w:cs="Arial"/>
                                <w:bCs/>
                                <w:color w:val="000000" w:themeColor="text1"/>
                                <w:sz w:val="20"/>
                                <w:szCs w:val="20"/>
                                <w:lang w:val="en-GB"/>
                              </w:rPr>
                              <w:t>availability of the equipment to be used for control and monitoring</w:t>
                            </w:r>
                            <w:r>
                              <w:rPr>
                                <w:rFonts w:ascii="Arial" w:hAnsi="Arial" w:cs="Arial"/>
                                <w:bCs/>
                                <w:color w:val="000000" w:themeColor="text1"/>
                                <w:sz w:val="20"/>
                                <w:szCs w:val="20"/>
                                <w:lang w:val="en-GB"/>
                              </w:rPr>
                              <w:t xml:space="preserve"> will be assessed</w:t>
                            </w:r>
                            <w:r w:rsidRPr="00D91B36">
                              <w:rPr>
                                <w:rFonts w:ascii="Arial" w:hAnsi="Arial" w:cs="Arial"/>
                                <w:bCs/>
                                <w:color w:val="000000" w:themeColor="text1"/>
                                <w:sz w:val="20"/>
                                <w:szCs w:val="20"/>
                                <w:lang w:val="en-GB"/>
                              </w:rPr>
                              <w:t xml:space="preserve">. This </w:t>
                            </w:r>
                            <w:r>
                              <w:rPr>
                                <w:rFonts w:ascii="Arial" w:hAnsi="Arial" w:cs="Arial"/>
                                <w:bCs/>
                                <w:color w:val="000000" w:themeColor="text1"/>
                                <w:sz w:val="20"/>
                                <w:szCs w:val="20"/>
                                <w:lang w:val="en-GB"/>
                              </w:rPr>
                              <w:t>will</w:t>
                            </w:r>
                            <w:r w:rsidRPr="00D91B36">
                              <w:rPr>
                                <w:rFonts w:ascii="Arial" w:hAnsi="Arial" w:cs="Arial"/>
                                <w:bCs/>
                                <w:color w:val="000000" w:themeColor="text1"/>
                                <w:sz w:val="20"/>
                                <w:szCs w:val="20"/>
                                <w:lang w:val="en-GB"/>
                              </w:rPr>
                              <w:t xml:space="preserve"> include assessment of the existing communications links between substations and power plants to be monitored or controlled, and the national </w:t>
                            </w:r>
                            <w:r>
                              <w:rPr>
                                <w:rFonts w:ascii="Arial" w:hAnsi="Arial" w:cs="Arial"/>
                                <w:bCs/>
                                <w:color w:val="000000" w:themeColor="text1"/>
                                <w:sz w:val="20"/>
                                <w:szCs w:val="20"/>
                                <w:lang w:val="en-GB"/>
                              </w:rPr>
                              <w:t xml:space="preserve">TSOs’ or the Control Area Operators’ </w:t>
                            </w:r>
                            <w:r w:rsidRPr="00D91B36">
                              <w:rPr>
                                <w:rFonts w:ascii="Arial" w:hAnsi="Arial" w:cs="Arial"/>
                                <w:bCs/>
                                <w:color w:val="000000" w:themeColor="text1"/>
                                <w:sz w:val="20"/>
                                <w:szCs w:val="20"/>
                                <w:lang w:val="en-GB"/>
                              </w:rPr>
                              <w:t xml:space="preserve">or </w:t>
                            </w:r>
                            <w:r>
                              <w:rPr>
                                <w:rFonts w:ascii="Arial" w:hAnsi="Arial" w:cs="Arial"/>
                                <w:bCs/>
                                <w:color w:val="000000" w:themeColor="text1"/>
                                <w:sz w:val="20"/>
                                <w:szCs w:val="20"/>
                                <w:lang w:val="en-GB"/>
                              </w:rPr>
                              <w:t xml:space="preserve">the RSMOs’ </w:t>
                            </w:r>
                            <w:r w:rsidRPr="00D91B36">
                              <w:rPr>
                                <w:rFonts w:ascii="Arial" w:hAnsi="Arial" w:cs="Arial"/>
                                <w:bCs/>
                                <w:color w:val="000000" w:themeColor="text1"/>
                                <w:sz w:val="20"/>
                                <w:szCs w:val="20"/>
                                <w:lang w:val="en-GB"/>
                              </w:rPr>
                              <w:t>coordination centres</w:t>
                            </w:r>
                            <w:r>
                              <w:rPr>
                                <w:rFonts w:ascii="Arial" w:hAnsi="Arial" w:cs="Arial"/>
                                <w:bCs/>
                                <w:color w:val="000000" w:themeColor="text1"/>
                                <w:sz w:val="20"/>
                                <w:szCs w:val="20"/>
                                <w:lang w:val="en-GB"/>
                              </w:rPr>
                              <w:t xml:space="preserve">. </w:t>
                            </w:r>
                          </w:p>
                          <w:p w14:paraId="181628F9" w14:textId="58DD7B5D"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91B36">
                              <w:rPr>
                                <w:rFonts w:ascii="Arial" w:hAnsi="Arial" w:cs="Arial"/>
                                <w:bCs/>
                                <w:color w:val="000000" w:themeColor="text1"/>
                                <w:sz w:val="20"/>
                                <w:szCs w:val="20"/>
                                <w:lang w:val="en-GB"/>
                              </w:rPr>
                              <w:t>Coordination between Control Area</w:t>
                            </w:r>
                            <w:r>
                              <w:rPr>
                                <w:rFonts w:ascii="Arial" w:hAnsi="Arial" w:cs="Arial"/>
                                <w:bCs/>
                                <w:color w:val="000000" w:themeColor="text1"/>
                                <w:sz w:val="20"/>
                                <w:szCs w:val="20"/>
                                <w:lang w:val="en-GB"/>
                              </w:rPr>
                              <w:t xml:space="preserve"> Operator</w:t>
                            </w:r>
                            <w:r w:rsidRPr="00D91B36">
                              <w:rPr>
                                <w:rFonts w:ascii="Arial" w:hAnsi="Arial" w:cs="Arial"/>
                                <w:bCs/>
                                <w:color w:val="000000" w:themeColor="text1"/>
                                <w:sz w:val="20"/>
                                <w:szCs w:val="20"/>
                                <w:lang w:val="en-GB"/>
                              </w:rPr>
                              <w:t xml:space="preserve">s will be established since the Control Areas within each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 xml:space="preserve">ower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ool need to cooperate to ensure that the tie</w:t>
                            </w:r>
                            <w:r>
                              <w:rPr>
                                <w:rFonts w:ascii="Arial" w:hAnsi="Arial" w:cs="Arial"/>
                                <w:bCs/>
                                <w:color w:val="000000" w:themeColor="text1"/>
                                <w:sz w:val="20"/>
                                <w:szCs w:val="20"/>
                                <w:lang w:val="en-GB"/>
                              </w:rPr>
                              <w:t>-</w:t>
                            </w:r>
                            <w:r w:rsidRPr="00D91B36">
                              <w:rPr>
                                <w:rFonts w:ascii="Arial" w:hAnsi="Arial" w:cs="Arial"/>
                                <w:bCs/>
                                <w:color w:val="000000" w:themeColor="text1"/>
                                <w:sz w:val="20"/>
                                <w:szCs w:val="20"/>
                                <w:lang w:val="en-GB"/>
                              </w:rPr>
                              <w:t xml:space="preserve">lines are controlled within their limits. </w:t>
                            </w:r>
                          </w:p>
                          <w:p w14:paraId="252E9B4C" w14:textId="1AC4FC0E"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91B36">
                              <w:rPr>
                                <w:rFonts w:ascii="Arial" w:hAnsi="Arial" w:cs="Arial"/>
                                <w:bCs/>
                                <w:color w:val="000000" w:themeColor="text1"/>
                                <w:sz w:val="20"/>
                                <w:szCs w:val="20"/>
                                <w:lang w:val="en-GB"/>
                              </w:rPr>
                              <w:t xml:space="preserve">The information exchange protocol </w:t>
                            </w:r>
                            <w:r>
                              <w:rPr>
                                <w:rFonts w:ascii="Arial" w:hAnsi="Arial" w:cs="Arial"/>
                                <w:bCs/>
                                <w:color w:val="000000" w:themeColor="text1"/>
                                <w:sz w:val="20"/>
                                <w:szCs w:val="20"/>
                                <w:lang w:val="en-GB"/>
                              </w:rPr>
                              <w:t>will</w:t>
                            </w:r>
                            <w:r w:rsidRPr="00D91B36">
                              <w:rPr>
                                <w:rFonts w:ascii="Arial" w:hAnsi="Arial" w:cs="Arial"/>
                                <w:bCs/>
                                <w:color w:val="000000" w:themeColor="text1"/>
                                <w:sz w:val="20"/>
                                <w:szCs w:val="20"/>
                                <w:lang w:val="en-GB"/>
                              </w:rPr>
                              <w:t xml:space="preserve"> be established indicating how the different </w:t>
                            </w:r>
                            <w:r>
                              <w:rPr>
                                <w:rFonts w:ascii="Arial" w:hAnsi="Arial" w:cs="Arial"/>
                                <w:bCs/>
                                <w:color w:val="000000" w:themeColor="text1"/>
                                <w:sz w:val="20"/>
                                <w:szCs w:val="20"/>
                                <w:lang w:val="en-GB"/>
                              </w:rPr>
                              <w:t>C</w:t>
                            </w:r>
                            <w:r w:rsidRPr="00D91B36">
                              <w:rPr>
                                <w:rFonts w:ascii="Arial" w:hAnsi="Arial" w:cs="Arial"/>
                                <w:bCs/>
                                <w:color w:val="000000" w:themeColor="text1"/>
                                <w:sz w:val="20"/>
                                <w:szCs w:val="20"/>
                                <w:lang w:val="en-GB"/>
                              </w:rPr>
                              <w:t xml:space="preserve">ontrol </w:t>
                            </w:r>
                            <w:r>
                              <w:rPr>
                                <w:rFonts w:ascii="Arial" w:hAnsi="Arial" w:cs="Arial"/>
                                <w:bCs/>
                                <w:color w:val="000000" w:themeColor="text1"/>
                                <w:sz w:val="20"/>
                                <w:szCs w:val="20"/>
                                <w:lang w:val="en-GB"/>
                              </w:rPr>
                              <w:t>A</w:t>
                            </w:r>
                            <w:r w:rsidRPr="00D91B36">
                              <w:rPr>
                                <w:rFonts w:ascii="Arial" w:hAnsi="Arial" w:cs="Arial"/>
                                <w:bCs/>
                                <w:color w:val="000000" w:themeColor="text1"/>
                                <w:sz w:val="20"/>
                                <w:szCs w:val="20"/>
                                <w:lang w:val="en-GB"/>
                              </w:rPr>
                              <w:t>rea</w:t>
                            </w:r>
                            <w:r>
                              <w:rPr>
                                <w:rFonts w:ascii="Arial" w:hAnsi="Arial" w:cs="Arial"/>
                                <w:bCs/>
                                <w:color w:val="000000" w:themeColor="text1"/>
                                <w:sz w:val="20"/>
                                <w:szCs w:val="20"/>
                                <w:lang w:val="en-GB"/>
                              </w:rPr>
                              <w:t xml:space="preserve"> Operator</w:t>
                            </w:r>
                            <w:r w:rsidRPr="00D91B36">
                              <w:rPr>
                                <w:rFonts w:ascii="Arial" w:hAnsi="Arial" w:cs="Arial"/>
                                <w:bCs/>
                                <w:color w:val="000000" w:themeColor="text1"/>
                                <w:sz w:val="20"/>
                                <w:szCs w:val="20"/>
                                <w:lang w:val="en-GB"/>
                              </w:rPr>
                              <w:t xml:space="preserve">s should interact and communicate with each other, as well as with the </w:t>
                            </w:r>
                            <w:r>
                              <w:rPr>
                                <w:rFonts w:ascii="Arial" w:hAnsi="Arial" w:cs="Arial"/>
                                <w:bCs/>
                                <w:color w:val="000000" w:themeColor="text1"/>
                                <w:sz w:val="20"/>
                                <w:szCs w:val="20"/>
                                <w:lang w:val="en-GB"/>
                              </w:rPr>
                              <w:t>RSMOs’</w:t>
                            </w:r>
                            <w:r w:rsidRPr="00D91B36">
                              <w:rPr>
                                <w:rFonts w:ascii="Arial" w:hAnsi="Arial" w:cs="Arial"/>
                                <w:bCs/>
                                <w:color w:val="000000" w:themeColor="text1"/>
                                <w:sz w:val="20"/>
                                <w:szCs w:val="20"/>
                                <w:lang w:val="en-GB"/>
                              </w:rPr>
                              <w:t xml:space="preserve"> coordination centres</w:t>
                            </w:r>
                            <w:r>
                              <w:rPr>
                                <w:rFonts w:ascii="Arial" w:hAnsi="Arial" w:cs="Arial"/>
                                <w:bCs/>
                                <w:color w:val="000000" w:themeColor="text1"/>
                                <w:sz w:val="20"/>
                                <w:szCs w:val="20"/>
                                <w:lang w:val="en-GB"/>
                              </w:rPr>
                              <w:t xml:space="preserve">. </w:t>
                            </w:r>
                          </w:p>
                          <w:p w14:paraId="080866FD" w14:textId="57451FCD"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91B36">
                              <w:rPr>
                                <w:rFonts w:ascii="Arial" w:hAnsi="Arial" w:cs="Arial"/>
                                <w:bCs/>
                                <w:color w:val="000000" w:themeColor="text1"/>
                                <w:sz w:val="20"/>
                                <w:szCs w:val="20"/>
                                <w:lang w:val="en-GB"/>
                              </w:rPr>
                              <w:t>For inter</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 xml:space="preserve">ower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ool integration, a joint ‘assessment centre’ need to be established between two intercon</w:t>
                            </w:r>
                            <w:r>
                              <w:rPr>
                                <w:rFonts w:ascii="Arial" w:hAnsi="Arial" w:cs="Arial"/>
                                <w:bCs/>
                                <w:color w:val="000000" w:themeColor="text1"/>
                                <w:sz w:val="20"/>
                                <w:szCs w:val="20"/>
                                <w:lang w:val="en-GB"/>
                              </w:rPr>
                              <w:t>n</w:t>
                            </w:r>
                            <w:r w:rsidRPr="00D91B36">
                              <w:rPr>
                                <w:rFonts w:ascii="Arial" w:hAnsi="Arial" w:cs="Arial"/>
                                <w:bCs/>
                                <w:color w:val="000000" w:themeColor="text1"/>
                                <w:sz w:val="20"/>
                                <w:szCs w:val="20"/>
                                <w:lang w:val="en-GB"/>
                              </w:rPr>
                              <w:t xml:space="preserve">ected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 xml:space="preserve">ower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ools to look at real</w:t>
                            </w:r>
                            <w:r>
                              <w:rPr>
                                <w:rFonts w:ascii="Arial" w:hAnsi="Arial" w:cs="Arial"/>
                                <w:bCs/>
                                <w:color w:val="000000" w:themeColor="text1"/>
                                <w:sz w:val="20"/>
                                <w:szCs w:val="20"/>
                                <w:lang w:val="en-GB"/>
                              </w:rPr>
                              <w:t>-</w:t>
                            </w:r>
                            <w:r w:rsidRPr="00D91B36">
                              <w:rPr>
                                <w:rFonts w:ascii="Arial" w:hAnsi="Arial" w:cs="Arial"/>
                                <w:bCs/>
                                <w:color w:val="000000" w:themeColor="text1"/>
                                <w:sz w:val="20"/>
                                <w:szCs w:val="20"/>
                                <w:lang w:val="en-GB"/>
                              </w:rPr>
                              <w:t>time capacities of the systems and advise on the allowable flows that can occur on the system close to real-time</w:t>
                            </w:r>
                            <w:r>
                              <w:rPr>
                                <w:rFonts w:ascii="Arial" w:hAnsi="Arial" w:cs="Arial"/>
                                <w:bCs/>
                                <w:color w:val="000000" w:themeColor="text1"/>
                                <w:sz w:val="20"/>
                                <w:szCs w:val="20"/>
                                <w:lang w:val="en-GB"/>
                              </w:rPr>
                              <w:t>.</w:t>
                            </w:r>
                            <w:r w:rsidRPr="00D91B36">
                              <w:rPr>
                                <w:rFonts w:ascii="Arial" w:hAnsi="Arial" w:cs="Arial"/>
                                <w:bCs/>
                                <w:color w:val="000000" w:themeColor="text1"/>
                                <w:sz w:val="20"/>
                                <w:szCs w:val="20"/>
                                <w:lang w:val="en-GB"/>
                              </w:rPr>
                              <w:t xml:space="preserve"> </w:t>
                            </w:r>
                          </w:p>
                          <w:p w14:paraId="4563AA1D" w14:textId="47C02EDF"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Pr>
                                <w:rFonts w:ascii="Arial" w:hAnsi="Arial" w:cs="Arial"/>
                                <w:bCs/>
                                <w:color w:val="000000" w:themeColor="text1"/>
                                <w:sz w:val="20"/>
                                <w:szCs w:val="20"/>
                                <w:lang w:val="en-GB"/>
                              </w:rPr>
                              <w:t>T</w:t>
                            </w:r>
                            <w:r w:rsidRPr="00D91B36">
                              <w:rPr>
                                <w:rFonts w:ascii="Arial" w:hAnsi="Arial" w:cs="Arial"/>
                                <w:bCs/>
                                <w:color w:val="000000" w:themeColor="text1"/>
                                <w:sz w:val="20"/>
                                <w:szCs w:val="20"/>
                                <w:lang w:val="en-GB"/>
                              </w:rPr>
                              <w:t>he interoperability of the communications devices</w:t>
                            </w:r>
                            <w:r>
                              <w:rPr>
                                <w:rFonts w:ascii="Arial" w:hAnsi="Arial" w:cs="Arial"/>
                                <w:bCs/>
                                <w:color w:val="000000" w:themeColor="text1"/>
                                <w:sz w:val="20"/>
                                <w:szCs w:val="20"/>
                                <w:lang w:val="en-GB"/>
                              </w:rPr>
                              <w:t xml:space="preserve"> will be checked</w:t>
                            </w:r>
                            <w:r w:rsidRPr="00D91B36">
                              <w:rPr>
                                <w:rFonts w:ascii="Arial" w:hAnsi="Arial" w:cs="Arial"/>
                                <w:bCs/>
                                <w:color w:val="000000" w:themeColor="text1"/>
                                <w:sz w:val="20"/>
                                <w:szCs w:val="20"/>
                                <w:lang w:val="en-GB"/>
                              </w:rPr>
                              <w:t xml:space="preserve">. This is necessary given that with the proliferation of vendor specific standards, communication problems can arise between substations and national control centres because of incompatibility of equipment. This problem can occur given that there are still older equipment that can be found in substations and power plants in some African countries. </w:t>
                            </w:r>
                          </w:p>
                          <w:p w14:paraId="1B81E8D6" w14:textId="33030211"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91B36">
                              <w:rPr>
                                <w:rFonts w:ascii="Arial" w:hAnsi="Arial" w:cs="Arial"/>
                                <w:bCs/>
                                <w:color w:val="000000" w:themeColor="text1"/>
                                <w:sz w:val="20"/>
                                <w:szCs w:val="20"/>
                                <w:lang w:val="en-GB"/>
                              </w:rPr>
                              <w:t xml:space="preserve">For cyber-security readiness, the national and regional control centres </w:t>
                            </w:r>
                            <w:r>
                              <w:rPr>
                                <w:rFonts w:ascii="Arial" w:hAnsi="Arial" w:cs="Arial"/>
                                <w:bCs/>
                                <w:color w:val="000000" w:themeColor="text1"/>
                                <w:sz w:val="20"/>
                                <w:szCs w:val="20"/>
                                <w:lang w:val="en-GB"/>
                              </w:rPr>
                              <w:t>will be</w:t>
                            </w:r>
                            <w:r w:rsidRPr="00D91B36">
                              <w:rPr>
                                <w:rFonts w:ascii="Arial" w:hAnsi="Arial" w:cs="Arial"/>
                                <w:bCs/>
                                <w:color w:val="000000" w:themeColor="text1"/>
                                <w:sz w:val="20"/>
                                <w:szCs w:val="20"/>
                                <w:lang w:val="en-GB"/>
                              </w:rPr>
                              <w:t xml:space="preserve"> equipped with SCADA/EMS systems with in-built safety features utilising modern ICT technology that can withstand cyber-attacks.</w:t>
                            </w:r>
                            <w:r>
                              <w:rPr>
                                <w:rFonts w:ascii="Arial" w:hAnsi="Arial" w:cs="Arial"/>
                                <w:bCs/>
                                <w:color w:val="000000" w:themeColor="text1"/>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D9C240" id="Text Box 23" o:spid="_x0000_s1029" type="#_x0000_t202" style="width:481.3pt;height:4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" fillcolor="#ebf1de" strokeweight=".5pt">
                <v:textbox>
                  <w:txbxContent>
                    <w:p w14:paraId="63D1022A" w14:textId="765D7C37" w:rsidR="005276A4" w:rsidRPr="00D91B36" w:rsidRDefault="005276A4" w:rsidP="006B0F78">
                      <w:pPr>
                        <w:jc w:val="left"/>
                        <w:rPr>
                          <w:rFonts w:cs="Arial"/>
                          <w:bCs/>
                          <w:szCs w:val="20"/>
                        </w:rPr>
                      </w:pPr>
                      <w:r w:rsidRPr="00D91B36">
                        <w:rPr>
                          <w:rFonts w:cs="Arial"/>
                          <w:bCs/>
                          <w:szCs w:val="20"/>
                        </w:rPr>
                        <w:t>Guidelines 2</w:t>
                      </w:r>
                      <w:r>
                        <w:rPr>
                          <w:rFonts w:cs="Arial"/>
                          <w:bCs/>
                          <w:szCs w:val="20"/>
                        </w:rPr>
                        <w:t>:</w:t>
                      </w:r>
                      <w:r w:rsidRPr="00D91B36">
                        <w:rPr>
                          <w:rFonts w:cs="Arial"/>
                          <w:bCs/>
                          <w:szCs w:val="20"/>
                        </w:rPr>
                        <w:t xml:space="preserve"> Dispatch, System Operations, </w:t>
                      </w:r>
                      <w:r>
                        <w:rPr>
                          <w:rFonts w:cs="Arial"/>
                          <w:bCs/>
                          <w:szCs w:val="20"/>
                        </w:rPr>
                        <w:t xml:space="preserve">and ICT </w:t>
                      </w:r>
                    </w:p>
                    <w:p w14:paraId="782DE4AD" w14:textId="6DEE9F26"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 xml:space="preserve">ower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 xml:space="preserve">ools will be required to develop functional </w:t>
                      </w:r>
                      <w:r>
                        <w:rPr>
                          <w:rFonts w:ascii="Arial" w:hAnsi="Arial" w:cs="Arial"/>
                          <w:bCs/>
                          <w:color w:val="000000" w:themeColor="text1"/>
                          <w:sz w:val="20"/>
                          <w:szCs w:val="20"/>
                          <w:lang w:val="en-GB"/>
                        </w:rPr>
                        <w:t xml:space="preserve">RSMOs from the </w:t>
                      </w:r>
                      <w:r w:rsidRPr="00D91B36">
                        <w:rPr>
                          <w:rFonts w:ascii="Arial" w:hAnsi="Arial" w:cs="Arial"/>
                          <w:bCs/>
                          <w:color w:val="000000" w:themeColor="text1"/>
                          <w:sz w:val="20"/>
                          <w:szCs w:val="20"/>
                          <w:lang w:val="en-GB"/>
                        </w:rPr>
                        <w:t>Information and Coordination Centres and install modern telecommunication equipment and/or carry out upgrades and expansions of existing systems. The</w:t>
                      </w:r>
                      <w:r>
                        <w:rPr>
                          <w:rFonts w:ascii="Arial" w:hAnsi="Arial" w:cs="Arial"/>
                          <w:bCs/>
                          <w:color w:val="000000" w:themeColor="text1"/>
                          <w:sz w:val="20"/>
                          <w:szCs w:val="20"/>
                          <w:lang w:val="en-GB"/>
                        </w:rPr>
                        <w:t>y</w:t>
                      </w:r>
                      <w:r w:rsidRPr="00D91B36">
                        <w:rPr>
                          <w:rFonts w:ascii="Arial" w:hAnsi="Arial" w:cs="Arial"/>
                          <w:bCs/>
                          <w:color w:val="000000" w:themeColor="text1"/>
                          <w:sz w:val="20"/>
                          <w:szCs w:val="20"/>
                          <w:lang w:val="en-GB"/>
                        </w:rPr>
                        <w:t xml:space="preserve"> will ensure that the facilities are constructed and/or upgraded and tested before interconnecting or coupling any two adjacent power systems. </w:t>
                      </w:r>
                    </w:p>
                    <w:p w14:paraId="13AABCB5" w14:textId="61818BF2"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Pr>
                          <w:rFonts w:ascii="Arial" w:hAnsi="Arial" w:cs="Arial"/>
                          <w:bCs/>
                          <w:color w:val="000000" w:themeColor="text1"/>
                          <w:sz w:val="20"/>
                          <w:szCs w:val="20"/>
                          <w:lang w:val="en-GB"/>
                        </w:rPr>
                        <w:t xml:space="preserve">The </w:t>
                      </w:r>
                      <w:r w:rsidRPr="00D91B36">
                        <w:rPr>
                          <w:rFonts w:ascii="Arial" w:hAnsi="Arial" w:cs="Arial"/>
                          <w:bCs/>
                          <w:color w:val="000000" w:themeColor="text1"/>
                          <w:sz w:val="20"/>
                          <w:szCs w:val="20"/>
                          <w:lang w:val="en-GB"/>
                        </w:rPr>
                        <w:t>availability of the equipment to be used for control and monitoring</w:t>
                      </w:r>
                      <w:r>
                        <w:rPr>
                          <w:rFonts w:ascii="Arial" w:hAnsi="Arial" w:cs="Arial"/>
                          <w:bCs/>
                          <w:color w:val="000000" w:themeColor="text1"/>
                          <w:sz w:val="20"/>
                          <w:szCs w:val="20"/>
                          <w:lang w:val="en-GB"/>
                        </w:rPr>
                        <w:t xml:space="preserve"> will be assessed</w:t>
                      </w:r>
                      <w:r w:rsidRPr="00D91B36">
                        <w:rPr>
                          <w:rFonts w:ascii="Arial" w:hAnsi="Arial" w:cs="Arial"/>
                          <w:bCs/>
                          <w:color w:val="000000" w:themeColor="text1"/>
                          <w:sz w:val="20"/>
                          <w:szCs w:val="20"/>
                          <w:lang w:val="en-GB"/>
                        </w:rPr>
                        <w:t xml:space="preserve">. This </w:t>
                      </w:r>
                      <w:r>
                        <w:rPr>
                          <w:rFonts w:ascii="Arial" w:hAnsi="Arial" w:cs="Arial"/>
                          <w:bCs/>
                          <w:color w:val="000000" w:themeColor="text1"/>
                          <w:sz w:val="20"/>
                          <w:szCs w:val="20"/>
                          <w:lang w:val="en-GB"/>
                        </w:rPr>
                        <w:t>will</w:t>
                      </w:r>
                      <w:r w:rsidRPr="00D91B36">
                        <w:rPr>
                          <w:rFonts w:ascii="Arial" w:hAnsi="Arial" w:cs="Arial"/>
                          <w:bCs/>
                          <w:color w:val="000000" w:themeColor="text1"/>
                          <w:sz w:val="20"/>
                          <w:szCs w:val="20"/>
                          <w:lang w:val="en-GB"/>
                        </w:rPr>
                        <w:t xml:space="preserve"> include assessment of the existing communications links between substations and power plants to be monitored or controlled, and the national </w:t>
                      </w:r>
                      <w:r>
                        <w:rPr>
                          <w:rFonts w:ascii="Arial" w:hAnsi="Arial" w:cs="Arial"/>
                          <w:bCs/>
                          <w:color w:val="000000" w:themeColor="text1"/>
                          <w:sz w:val="20"/>
                          <w:szCs w:val="20"/>
                          <w:lang w:val="en-GB"/>
                        </w:rPr>
                        <w:t xml:space="preserve">TSOs’ or the Control Area Operators’ </w:t>
                      </w:r>
                      <w:r w:rsidRPr="00D91B36">
                        <w:rPr>
                          <w:rFonts w:ascii="Arial" w:hAnsi="Arial" w:cs="Arial"/>
                          <w:bCs/>
                          <w:color w:val="000000" w:themeColor="text1"/>
                          <w:sz w:val="20"/>
                          <w:szCs w:val="20"/>
                          <w:lang w:val="en-GB"/>
                        </w:rPr>
                        <w:t xml:space="preserve">or </w:t>
                      </w:r>
                      <w:r>
                        <w:rPr>
                          <w:rFonts w:ascii="Arial" w:hAnsi="Arial" w:cs="Arial"/>
                          <w:bCs/>
                          <w:color w:val="000000" w:themeColor="text1"/>
                          <w:sz w:val="20"/>
                          <w:szCs w:val="20"/>
                          <w:lang w:val="en-GB"/>
                        </w:rPr>
                        <w:t xml:space="preserve">the RSMOs’ </w:t>
                      </w:r>
                      <w:r w:rsidRPr="00D91B36">
                        <w:rPr>
                          <w:rFonts w:ascii="Arial" w:hAnsi="Arial" w:cs="Arial"/>
                          <w:bCs/>
                          <w:color w:val="000000" w:themeColor="text1"/>
                          <w:sz w:val="20"/>
                          <w:szCs w:val="20"/>
                          <w:lang w:val="en-GB"/>
                        </w:rPr>
                        <w:t>coordination centres</w:t>
                      </w:r>
                      <w:r>
                        <w:rPr>
                          <w:rFonts w:ascii="Arial" w:hAnsi="Arial" w:cs="Arial"/>
                          <w:bCs/>
                          <w:color w:val="000000" w:themeColor="text1"/>
                          <w:sz w:val="20"/>
                          <w:szCs w:val="20"/>
                          <w:lang w:val="en-GB"/>
                        </w:rPr>
                        <w:t xml:space="preserve">. </w:t>
                      </w:r>
                    </w:p>
                    <w:p w14:paraId="181628F9" w14:textId="58DD7B5D"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91B36">
                        <w:rPr>
                          <w:rFonts w:ascii="Arial" w:hAnsi="Arial" w:cs="Arial"/>
                          <w:bCs/>
                          <w:color w:val="000000" w:themeColor="text1"/>
                          <w:sz w:val="20"/>
                          <w:szCs w:val="20"/>
                          <w:lang w:val="en-GB"/>
                        </w:rPr>
                        <w:t>Coordination between Control Area</w:t>
                      </w:r>
                      <w:r>
                        <w:rPr>
                          <w:rFonts w:ascii="Arial" w:hAnsi="Arial" w:cs="Arial"/>
                          <w:bCs/>
                          <w:color w:val="000000" w:themeColor="text1"/>
                          <w:sz w:val="20"/>
                          <w:szCs w:val="20"/>
                          <w:lang w:val="en-GB"/>
                        </w:rPr>
                        <w:t xml:space="preserve"> Operator</w:t>
                      </w:r>
                      <w:r w:rsidRPr="00D91B36">
                        <w:rPr>
                          <w:rFonts w:ascii="Arial" w:hAnsi="Arial" w:cs="Arial"/>
                          <w:bCs/>
                          <w:color w:val="000000" w:themeColor="text1"/>
                          <w:sz w:val="20"/>
                          <w:szCs w:val="20"/>
                          <w:lang w:val="en-GB"/>
                        </w:rPr>
                        <w:t xml:space="preserve">s will be established since the Control Areas within each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 xml:space="preserve">ower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ool need to cooperate to ensure that the tie</w:t>
                      </w:r>
                      <w:r>
                        <w:rPr>
                          <w:rFonts w:ascii="Arial" w:hAnsi="Arial" w:cs="Arial"/>
                          <w:bCs/>
                          <w:color w:val="000000" w:themeColor="text1"/>
                          <w:sz w:val="20"/>
                          <w:szCs w:val="20"/>
                          <w:lang w:val="en-GB"/>
                        </w:rPr>
                        <w:t>-</w:t>
                      </w:r>
                      <w:r w:rsidRPr="00D91B36">
                        <w:rPr>
                          <w:rFonts w:ascii="Arial" w:hAnsi="Arial" w:cs="Arial"/>
                          <w:bCs/>
                          <w:color w:val="000000" w:themeColor="text1"/>
                          <w:sz w:val="20"/>
                          <w:szCs w:val="20"/>
                          <w:lang w:val="en-GB"/>
                        </w:rPr>
                        <w:t xml:space="preserve">lines are controlled within their limits. </w:t>
                      </w:r>
                    </w:p>
                    <w:p w14:paraId="252E9B4C" w14:textId="1AC4FC0E"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91B36">
                        <w:rPr>
                          <w:rFonts w:ascii="Arial" w:hAnsi="Arial" w:cs="Arial"/>
                          <w:bCs/>
                          <w:color w:val="000000" w:themeColor="text1"/>
                          <w:sz w:val="20"/>
                          <w:szCs w:val="20"/>
                          <w:lang w:val="en-GB"/>
                        </w:rPr>
                        <w:t xml:space="preserve">The information exchange protocol </w:t>
                      </w:r>
                      <w:r>
                        <w:rPr>
                          <w:rFonts w:ascii="Arial" w:hAnsi="Arial" w:cs="Arial"/>
                          <w:bCs/>
                          <w:color w:val="000000" w:themeColor="text1"/>
                          <w:sz w:val="20"/>
                          <w:szCs w:val="20"/>
                          <w:lang w:val="en-GB"/>
                        </w:rPr>
                        <w:t>will</w:t>
                      </w:r>
                      <w:r w:rsidRPr="00D91B36">
                        <w:rPr>
                          <w:rFonts w:ascii="Arial" w:hAnsi="Arial" w:cs="Arial"/>
                          <w:bCs/>
                          <w:color w:val="000000" w:themeColor="text1"/>
                          <w:sz w:val="20"/>
                          <w:szCs w:val="20"/>
                          <w:lang w:val="en-GB"/>
                        </w:rPr>
                        <w:t xml:space="preserve"> be established indicating how the different </w:t>
                      </w:r>
                      <w:r>
                        <w:rPr>
                          <w:rFonts w:ascii="Arial" w:hAnsi="Arial" w:cs="Arial"/>
                          <w:bCs/>
                          <w:color w:val="000000" w:themeColor="text1"/>
                          <w:sz w:val="20"/>
                          <w:szCs w:val="20"/>
                          <w:lang w:val="en-GB"/>
                        </w:rPr>
                        <w:t>C</w:t>
                      </w:r>
                      <w:r w:rsidRPr="00D91B36">
                        <w:rPr>
                          <w:rFonts w:ascii="Arial" w:hAnsi="Arial" w:cs="Arial"/>
                          <w:bCs/>
                          <w:color w:val="000000" w:themeColor="text1"/>
                          <w:sz w:val="20"/>
                          <w:szCs w:val="20"/>
                          <w:lang w:val="en-GB"/>
                        </w:rPr>
                        <w:t xml:space="preserve">ontrol </w:t>
                      </w:r>
                      <w:r>
                        <w:rPr>
                          <w:rFonts w:ascii="Arial" w:hAnsi="Arial" w:cs="Arial"/>
                          <w:bCs/>
                          <w:color w:val="000000" w:themeColor="text1"/>
                          <w:sz w:val="20"/>
                          <w:szCs w:val="20"/>
                          <w:lang w:val="en-GB"/>
                        </w:rPr>
                        <w:t>A</w:t>
                      </w:r>
                      <w:r w:rsidRPr="00D91B36">
                        <w:rPr>
                          <w:rFonts w:ascii="Arial" w:hAnsi="Arial" w:cs="Arial"/>
                          <w:bCs/>
                          <w:color w:val="000000" w:themeColor="text1"/>
                          <w:sz w:val="20"/>
                          <w:szCs w:val="20"/>
                          <w:lang w:val="en-GB"/>
                        </w:rPr>
                        <w:t>rea</w:t>
                      </w:r>
                      <w:r>
                        <w:rPr>
                          <w:rFonts w:ascii="Arial" w:hAnsi="Arial" w:cs="Arial"/>
                          <w:bCs/>
                          <w:color w:val="000000" w:themeColor="text1"/>
                          <w:sz w:val="20"/>
                          <w:szCs w:val="20"/>
                          <w:lang w:val="en-GB"/>
                        </w:rPr>
                        <w:t xml:space="preserve"> Operator</w:t>
                      </w:r>
                      <w:r w:rsidRPr="00D91B36">
                        <w:rPr>
                          <w:rFonts w:ascii="Arial" w:hAnsi="Arial" w:cs="Arial"/>
                          <w:bCs/>
                          <w:color w:val="000000" w:themeColor="text1"/>
                          <w:sz w:val="20"/>
                          <w:szCs w:val="20"/>
                          <w:lang w:val="en-GB"/>
                        </w:rPr>
                        <w:t xml:space="preserve">s should interact and communicate with each other, as well as with the </w:t>
                      </w:r>
                      <w:r>
                        <w:rPr>
                          <w:rFonts w:ascii="Arial" w:hAnsi="Arial" w:cs="Arial"/>
                          <w:bCs/>
                          <w:color w:val="000000" w:themeColor="text1"/>
                          <w:sz w:val="20"/>
                          <w:szCs w:val="20"/>
                          <w:lang w:val="en-GB"/>
                        </w:rPr>
                        <w:t>RSMOs’</w:t>
                      </w:r>
                      <w:r w:rsidRPr="00D91B36">
                        <w:rPr>
                          <w:rFonts w:ascii="Arial" w:hAnsi="Arial" w:cs="Arial"/>
                          <w:bCs/>
                          <w:color w:val="000000" w:themeColor="text1"/>
                          <w:sz w:val="20"/>
                          <w:szCs w:val="20"/>
                          <w:lang w:val="en-GB"/>
                        </w:rPr>
                        <w:t xml:space="preserve"> coordination centres</w:t>
                      </w:r>
                      <w:r>
                        <w:rPr>
                          <w:rFonts w:ascii="Arial" w:hAnsi="Arial" w:cs="Arial"/>
                          <w:bCs/>
                          <w:color w:val="000000" w:themeColor="text1"/>
                          <w:sz w:val="20"/>
                          <w:szCs w:val="20"/>
                          <w:lang w:val="en-GB"/>
                        </w:rPr>
                        <w:t xml:space="preserve">. </w:t>
                      </w:r>
                    </w:p>
                    <w:p w14:paraId="080866FD" w14:textId="57451FCD"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91B36">
                        <w:rPr>
                          <w:rFonts w:ascii="Arial" w:hAnsi="Arial" w:cs="Arial"/>
                          <w:bCs/>
                          <w:color w:val="000000" w:themeColor="text1"/>
                          <w:sz w:val="20"/>
                          <w:szCs w:val="20"/>
                          <w:lang w:val="en-GB"/>
                        </w:rPr>
                        <w:t>For inter</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 xml:space="preserve">ower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ool integration, a joint ‘assessment centre’ need to be established between two intercon</w:t>
                      </w:r>
                      <w:r>
                        <w:rPr>
                          <w:rFonts w:ascii="Arial" w:hAnsi="Arial" w:cs="Arial"/>
                          <w:bCs/>
                          <w:color w:val="000000" w:themeColor="text1"/>
                          <w:sz w:val="20"/>
                          <w:szCs w:val="20"/>
                          <w:lang w:val="en-GB"/>
                        </w:rPr>
                        <w:t>n</w:t>
                      </w:r>
                      <w:r w:rsidRPr="00D91B36">
                        <w:rPr>
                          <w:rFonts w:ascii="Arial" w:hAnsi="Arial" w:cs="Arial"/>
                          <w:bCs/>
                          <w:color w:val="000000" w:themeColor="text1"/>
                          <w:sz w:val="20"/>
                          <w:szCs w:val="20"/>
                          <w:lang w:val="en-GB"/>
                        </w:rPr>
                        <w:t xml:space="preserve">ected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 xml:space="preserve">ower </w:t>
                      </w:r>
                      <w:r>
                        <w:rPr>
                          <w:rFonts w:ascii="Arial" w:hAnsi="Arial" w:cs="Arial"/>
                          <w:bCs/>
                          <w:color w:val="000000" w:themeColor="text1"/>
                          <w:sz w:val="20"/>
                          <w:szCs w:val="20"/>
                          <w:lang w:val="en-GB"/>
                        </w:rPr>
                        <w:t>P</w:t>
                      </w:r>
                      <w:r w:rsidRPr="00D91B36">
                        <w:rPr>
                          <w:rFonts w:ascii="Arial" w:hAnsi="Arial" w:cs="Arial"/>
                          <w:bCs/>
                          <w:color w:val="000000" w:themeColor="text1"/>
                          <w:sz w:val="20"/>
                          <w:szCs w:val="20"/>
                          <w:lang w:val="en-GB"/>
                        </w:rPr>
                        <w:t>ools to look at real</w:t>
                      </w:r>
                      <w:r>
                        <w:rPr>
                          <w:rFonts w:ascii="Arial" w:hAnsi="Arial" w:cs="Arial"/>
                          <w:bCs/>
                          <w:color w:val="000000" w:themeColor="text1"/>
                          <w:sz w:val="20"/>
                          <w:szCs w:val="20"/>
                          <w:lang w:val="en-GB"/>
                        </w:rPr>
                        <w:t>-</w:t>
                      </w:r>
                      <w:r w:rsidRPr="00D91B36">
                        <w:rPr>
                          <w:rFonts w:ascii="Arial" w:hAnsi="Arial" w:cs="Arial"/>
                          <w:bCs/>
                          <w:color w:val="000000" w:themeColor="text1"/>
                          <w:sz w:val="20"/>
                          <w:szCs w:val="20"/>
                          <w:lang w:val="en-GB"/>
                        </w:rPr>
                        <w:t>time capacities of the systems and advise on the allowable flows that can occur on the system close to real-time</w:t>
                      </w:r>
                      <w:r>
                        <w:rPr>
                          <w:rFonts w:ascii="Arial" w:hAnsi="Arial" w:cs="Arial"/>
                          <w:bCs/>
                          <w:color w:val="000000" w:themeColor="text1"/>
                          <w:sz w:val="20"/>
                          <w:szCs w:val="20"/>
                          <w:lang w:val="en-GB"/>
                        </w:rPr>
                        <w:t>.</w:t>
                      </w:r>
                      <w:r w:rsidRPr="00D91B36">
                        <w:rPr>
                          <w:rFonts w:ascii="Arial" w:hAnsi="Arial" w:cs="Arial"/>
                          <w:bCs/>
                          <w:color w:val="000000" w:themeColor="text1"/>
                          <w:sz w:val="20"/>
                          <w:szCs w:val="20"/>
                          <w:lang w:val="en-GB"/>
                        </w:rPr>
                        <w:t xml:space="preserve"> </w:t>
                      </w:r>
                    </w:p>
                    <w:p w14:paraId="4563AA1D" w14:textId="47C02EDF"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Pr>
                          <w:rFonts w:ascii="Arial" w:hAnsi="Arial" w:cs="Arial"/>
                          <w:bCs/>
                          <w:color w:val="000000" w:themeColor="text1"/>
                          <w:sz w:val="20"/>
                          <w:szCs w:val="20"/>
                          <w:lang w:val="en-GB"/>
                        </w:rPr>
                        <w:t>T</w:t>
                      </w:r>
                      <w:r w:rsidRPr="00D91B36">
                        <w:rPr>
                          <w:rFonts w:ascii="Arial" w:hAnsi="Arial" w:cs="Arial"/>
                          <w:bCs/>
                          <w:color w:val="000000" w:themeColor="text1"/>
                          <w:sz w:val="20"/>
                          <w:szCs w:val="20"/>
                          <w:lang w:val="en-GB"/>
                        </w:rPr>
                        <w:t>he interoperability of the communications devices</w:t>
                      </w:r>
                      <w:r>
                        <w:rPr>
                          <w:rFonts w:ascii="Arial" w:hAnsi="Arial" w:cs="Arial"/>
                          <w:bCs/>
                          <w:color w:val="000000" w:themeColor="text1"/>
                          <w:sz w:val="20"/>
                          <w:szCs w:val="20"/>
                          <w:lang w:val="en-GB"/>
                        </w:rPr>
                        <w:t xml:space="preserve"> will be checked</w:t>
                      </w:r>
                      <w:r w:rsidRPr="00D91B36">
                        <w:rPr>
                          <w:rFonts w:ascii="Arial" w:hAnsi="Arial" w:cs="Arial"/>
                          <w:bCs/>
                          <w:color w:val="000000" w:themeColor="text1"/>
                          <w:sz w:val="20"/>
                          <w:szCs w:val="20"/>
                          <w:lang w:val="en-GB"/>
                        </w:rPr>
                        <w:t xml:space="preserve">. This is necessary given that with the proliferation of vendor specific standards, communication problems can arise between substations and national control centres because of incompatibility of equipment. This problem can occur given that there are still older equipment that can be found in substations and power plants in some African countries. </w:t>
                      </w:r>
                    </w:p>
                    <w:p w14:paraId="1B81E8D6" w14:textId="33030211" w:rsidR="005276A4" w:rsidRPr="00D91B36" w:rsidRDefault="005276A4" w:rsidP="00E92788">
                      <w:pPr>
                        <w:pStyle w:val="ListParagraph"/>
                        <w:numPr>
                          <w:ilvl w:val="0"/>
                          <w:numId w:val="68"/>
                        </w:numPr>
                        <w:spacing w:before="160" w:after="0" w:line="288" w:lineRule="auto"/>
                        <w:jc w:val="left"/>
                        <w:rPr>
                          <w:rFonts w:ascii="Arial" w:hAnsi="Arial" w:cs="Arial"/>
                          <w:bCs/>
                          <w:color w:val="000000" w:themeColor="text1"/>
                          <w:sz w:val="20"/>
                          <w:szCs w:val="20"/>
                          <w:lang w:val="en-GB"/>
                        </w:rPr>
                      </w:pPr>
                      <w:r w:rsidRPr="00D91B36">
                        <w:rPr>
                          <w:rFonts w:ascii="Arial" w:hAnsi="Arial" w:cs="Arial"/>
                          <w:bCs/>
                          <w:color w:val="000000" w:themeColor="text1"/>
                          <w:sz w:val="20"/>
                          <w:szCs w:val="20"/>
                          <w:lang w:val="en-GB"/>
                        </w:rPr>
                        <w:t xml:space="preserve">For cyber-security readiness, the national and regional control centres </w:t>
                      </w:r>
                      <w:r>
                        <w:rPr>
                          <w:rFonts w:ascii="Arial" w:hAnsi="Arial" w:cs="Arial"/>
                          <w:bCs/>
                          <w:color w:val="000000" w:themeColor="text1"/>
                          <w:sz w:val="20"/>
                          <w:szCs w:val="20"/>
                          <w:lang w:val="en-GB"/>
                        </w:rPr>
                        <w:t>will be</w:t>
                      </w:r>
                      <w:r w:rsidRPr="00D91B36">
                        <w:rPr>
                          <w:rFonts w:ascii="Arial" w:hAnsi="Arial" w:cs="Arial"/>
                          <w:bCs/>
                          <w:color w:val="000000" w:themeColor="text1"/>
                          <w:sz w:val="20"/>
                          <w:szCs w:val="20"/>
                          <w:lang w:val="en-GB"/>
                        </w:rPr>
                        <w:t xml:space="preserve"> equipped with SCADA/EMS systems with in-built safety features utilising modern ICT technology that can withstand cyber-attacks.</w:t>
                      </w:r>
                      <w:r>
                        <w:rPr>
                          <w:rFonts w:ascii="Arial" w:hAnsi="Arial" w:cs="Arial"/>
                          <w:bCs/>
                          <w:color w:val="000000" w:themeColor="text1"/>
                          <w:sz w:val="20"/>
                          <w:szCs w:val="20"/>
                          <w:lang w:val="en-GB"/>
                        </w:rPr>
                        <w:t xml:space="preserve"> </w:t>
                      </w:r>
                    </w:p>
                  </w:txbxContent>
                </v:textbox>
                <w10:anchorlock/>
              </v:shape>
            </w:pict>
          </mc:Fallback>
        </mc:AlternateContent>
      </w:r>
    </w:p>
    <w:p w14:paraId="7EF1EF8F" w14:textId="7C528CAC" w:rsidR="00483DE9" w:rsidRPr="00316837" w:rsidRDefault="00483DE9" w:rsidP="00483DE9">
      <w:pPr>
        <w:pStyle w:val="Heading2"/>
        <w:rPr>
          <w:rFonts w:eastAsia="Calibri"/>
        </w:rPr>
      </w:pPr>
      <w:bookmarkStart w:id="184" w:name="_Toc77256324"/>
      <w:bookmarkStart w:id="185" w:name="_Toc77257564"/>
      <w:bookmarkStart w:id="186" w:name="_Toc77260317"/>
      <w:bookmarkEnd w:id="184"/>
      <w:bookmarkEnd w:id="185"/>
      <w:r w:rsidRPr="00681DAA">
        <w:rPr>
          <w:rFonts w:eastAsia="Calibri"/>
        </w:rPr>
        <w:t xml:space="preserve">Guidelines 3: </w:t>
      </w:r>
      <w:r w:rsidR="004C0F10" w:rsidRPr="00316837">
        <w:rPr>
          <w:rFonts w:eastAsia="Calibri"/>
        </w:rPr>
        <w:t>Power</w:t>
      </w:r>
      <w:r w:rsidR="00744D32" w:rsidRPr="00316837">
        <w:rPr>
          <w:rFonts w:eastAsia="Calibri"/>
        </w:rPr>
        <w:t xml:space="preserve"> System Adequacy</w:t>
      </w:r>
      <w:r w:rsidR="004C0F10" w:rsidRPr="00316837">
        <w:rPr>
          <w:rFonts w:eastAsia="Calibri"/>
        </w:rPr>
        <w:t>, Capability and Robustness</w:t>
      </w:r>
      <w:r w:rsidR="00744D32" w:rsidRPr="00316837">
        <w:rPr>
          <w:rFonts w:eastAsia="Calibri"/>
        </w:rPr>
        <w:t xml:space="preserve"> </w:t>
      </w:r>
      <w:r w:rsidR="004C0F10" w:rsidRPr="00316837">
        <w:rPr>
          <w:rFonts w:eastAsia="Calibri"/>
        </w:rPr>
        <w:t>(</w:t>
      </w:r>
      <w:r w:rsidR="00744D32" w:rsidRPr="00316837">
        <w:rPr>
          <w:rFonts w:eastAsia="Calibri"/>
        </w:rPr>
        <w:t>Capacity Readiness</w:t>
      </w:r>
      <w:r w:rsidR="004C0F10" w:rsidRPr="00316837">
        <w:rPr>
          <w:rFonts w:eastAsia="Calibri"/>
        </w:rPr>
        <w:t>)</w:t>
      </w:r>
      <w:bookmarkEnd w:id="186"/>
      <w:r w:rsidR="00744D32" w:rsidRPr="00316837">
        <w:rPr>
          <w:rFonts w:eastAsia="Calibri"/>
        </w:rPr>
        <w:t xml:space="preserve"> </w:t>
      </w:r>
    </w:p>
    <w:p w14:paraId="28716E79" w14:textId="77777777" w:rsidR="004C0F10" w:rsidRPr="00316837" w:rsidRDefault="004C0F10" w:rsidP="004C0F10">
      <w:pPr>
        <w:rPr>
          <w:rFonts w:eastAsia="Calibri"/>
          <w:szCs w:val="22"/>
        </w:rPr>
      </w:pPr>
      <w:r w:rsidRPr="00316837">
        <w:rPr>
          <w:rFonts w:eastAsia="Calibri"/>
          <w:szCs w:val="22"/>
        </w:rPr>
        <w:t xml:space="preserve">The capacity readiness refers to the power system (generation and transmission) adequacy, capability and robustness. </w:t>
      </w:r>
    </w:p>
    <w:p w14:paraId="1EF492B3" w14:textId="5AFC7A98" w:rsidR="004C0F10" w:rsidRPr="00316837" w:rsidRDefault="004C0F10" w:rsidP="004C0F10">
      <w:pPr>
        <w:rPr>
          <w:rFonts w:eastAsia="Calibri"/>
          <w:szCs w:val="22"/>
        </w:rPr>
      </w:pPr>
      <w:r w:rsidRPr="00316837">
        <w:rPr>
          <w:rFonts w:eastAsia="Calibri"/>
          <w:szCs w:val="22"/>
        </w:rPr>
        <w:t xml:space="preserve">To achieve generation and transmission adequacy, the expansion plans for Power Pools should be updated and published. The Power Pools’ Master Plans should include the statement of opportunities indicating the future least-cost generation options. To realise the single continental electricity market for AfSEM, the Continental Master Plan should identify the priority generation projects per Power Pool, which are required for cross-border electricity trade in respect of intra- and inter-Power Pool transactions. </w:t>
      </w:r>
    </w:p>
    <w:p w14:paraId="27ACA9C1" w14:textId="0F449C50" w:rsidR="004C0F10" w:rsidRPr="00316837" w:rsidRDefault="004C0F10" w:rsidP="004C0F10">
      <w:pPr>
        <w:rPr>
          <w:rFonts w:eastAsia="Calibri"/>
          <w:szCs w:val="22"/>
        </w:rPr>
      </w:pPr>
      <w:r w:rsidRPr="00316837">
        <w:rPr>
          <w:rFonts w:eastAsia="Calibri"/>
          <w:szCs w:val="22"/>
        </w:rPr>
        <w:t xml:space="preserve">Regarding generation capability, it is imperative that power system studies are conducted to determine generator and desired system behaviour (in line with transfer limits, system stability and frequency control </w:t>
      </w:r>
      <w:r w:rsidRPr="00316837">
        <w:rPr>
          <w:rFonts w:eastAsia="Calibri"/>
          <w:szCs w:val="22"/>
        </w:rPr>
        <w:lastRenderedPageBreak/>
        <w:t xml:space="preserve">requirements), as per the regional grid codes. This approach will ensure that the minimum technical requirements for generators can be formulated. The studies will also help to identify generators that will require upgrades to meet the grid code requirements. </w:t>
      </w:r>
    </w:p>
    <w:p w14:paraId="25F92AF4" w14:textId="562D624F" w:rsidR="004C0F10" w:rsidRPr="00316837" w:rsidRDefault="004C0F10" w:rsidP="004C0F10">
      <w:pPr>
        <w:rPr>
          <w:rFonts w:eastAsia="Calibri"/>
          <w:szCs w:val="22"/>
        </w:rPr>
      </w:pPr>
      <w:r w:rsidRPr="00316837">
        <w:rPr>
          <w:rFonts w:eastAsia="Calibri"/>
          <w:szCs w:val="22"/>
        </w:rPr>
        <w:t xml:space="preserve">In line with the above, EAPP has carried out power system analysis and study to assess its technical and operational readiness. The following are some observations and preliminary recommendations from the study: </w:t>
      </w:r>
    </w:p>
    <w:p w14:paraId="62F1A450" w14:textId="3C430530" w:rsidR="004C0F10" w:rsidRPr="00316837" w:rsidRDefault="004C0F10" w:rsidP="00E92788">
      <w:pPr>
        <w:pStyle w:val="ListParagraph"/>
        <w:numPr>
          <w:ilvl w:val="0"/>
          <w:numId w:val="7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load flow study detected many violations under </w:t>
      </w:r>
      <w:r w:rsidR="00B6101C" w:rsidRPr="00316837">
        <w:rPr>
          <w:rFonts w:ascii="Arial" w:hAnsi="Arial" w:cs="Arial"/>
          <w:sz w:val="20"/>
          <w:szCs w:val="20"/>
          <w:lang w:val="en-GB"/>
        </w:rPr>
        <w:t>(</w:t>
      </w:r>
      <w:r w:rsidRPr="00316837">
        <w:rPr>
          <w:rFonts w:ascii="Arial" w:hAnsi="Arial" w:cs="Arial"/>
          <w:sz w:val="20"/>
          <w:szCs w:val="20"/>
          <w:lang w:val="en-GB"/>
        </w:rPr>
        <w:t>N</w:t>
      </w:r>
      <w:r w:rsidR="00B6101C" w:rsidRPr="00316837">
        <w:rPr>
          <w:rFonts w:ascii="Arial" w:hAnsi="Arial" w:cs="Arial"/>
          <w:sz w:val="20"/>
          <w:szCs w:val="20"/>
          <w:lang w:val="en-GB"/>
        </w:rPr>
        <w:t>)</w:t>
      </w:r>
      <w:r w:rsidRPr="00316837">
        <w:rPr>
          <w:rFonts w:ascii="Arial" w:hAnsi="Arial" w:cs="Arial"/>
          <w:sz w:val="20"/>
          <w:szCs w:val="20"/>
          <w:lang w:val="en-GB"/>
        </w:rPr>
        <w:t xml:space="preserve"> and </w:t>
      </w:r>
      <w:r w:rsidR="00B6101C" w:rsidRPr="00316837">
        <w:rPr>
          <w:rFonts w:ascii="Arial" w:hAnsi="Arial" w:cs="Arial"/>
          <w:sz w:val="20"/>
          <w:szCs w:val="20"/>
          <w:lang w:val="en-GB"/>
        </w:rPr>
        <w:t>(</w:t>
      </w:r>
      <w:r w:rsidRPr="00316837">
        <w:rPr>
          <w:rFonts w:ascii="Arial" w:hAnsi="Arial" w:cs="Arial"/>
          <w:sz w:val="20"/>
          <w:szCs w:val="20"/>
          <w:lang w:val="en-GB"/>
        </w:rPr>
        <w:t>N-1</w:t>
      </w:r>
      <w:r w:rsidR="00B6101C" w:rsidRPr="00316837">
        <w:rPr>
          <w:rFonts w:ascii="Arial" w:hAnsi="Arial" w:cs="Arial"/>
          <w:sz w:val="20"/>
          <w:szCs w:val="20"/>
          <w:lang w:val="en-GB"/>
        </w:rPr>
        <w:t>)</w:t>
      </w:r>
      <w:r w:rsidRPr="00316837">
        <w:rPr>
          <w:rFonts w:ascii="Arial" w:hAnsi="Arial" w:cs="Arial"/>
          <w:sz w:val="20"/>
          <w:szCs w:val="20"/>
          <w:lang w:val="en-GB"/>
        </w:rPr>
        <w:t xml:space="preserve"> conditions in several EAPP member countries. Mitigation plan therefore need be developed and implemented by the affected countries; </w:t>
      </w:r>
    </w:p>
    <w:p w14:paraId="6B396A73" w14:textId="525BE14D" w:rsidR="004C0F10" w:rsidRPr="00316837" w:rsidRDefault="004C0F10" w:rsidP="00E92788">
      <w:pPr>
        <w:pStyle w:val="ListParagraph"/>
        <w:numPr>
          <w:ilvl w:val="0"/>
          <w:numId w:val="7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Out Of Step protection must be installed for all tie-lines indicated in the transient stability analysis, particularly in the cases in which loss of synchronism was observed; and </w:t>
      </w:r>
    </w:p>
    <w:p w14:paraId="14B5B25E" w14:textId="56584C50" w:rsidR="004C0F10" w:rsidRPr="00316837" w:rsidRDefault="004C0F10" w:rsidP="00E92788">
      <w:pPr>
        <w:pStyle w:val="ListParagraph"/>
        <w:numPr>
          <w:ilvl w:val="0"/>
          <w:numId w:val="7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Out Of Step protection must be installed and adjusted for isolated units losing synchronism, as identified in some simulations of the transient stability analysis. </w:t>
      </w:r>
    </w:p>
    <w:p w14:paraId="19888BE7" w14:textId="539F4B9F" w:rsidR="004C0F10" w:rsidRPr="00316837" w:rsidRDefault="004C0F10" w:rsidP="004C0F10">
      <w:pPr>
        <w:rPr>
          <w:rFonts w:eastAsia="Calibri"/>
          <w:szCs w:val="22"/>
        </w:rPr>
      </w:pPr>
      <w:r w:rsidRPr="00316837">
        <w:rPr>
          <w:rFonts w:eastAsia="Calibri"/>
          <w:szCs w:val="22"/>
        </w:rPr>
        <w:t xml:space="preserve">For EAPP, it has been observed that it is advisable to deploy Special Protection Schemes in case of radial interconnections (single or double circuit) to prevent system collapse in case of system separation, due to the loss of the interconnection (e.g. tower failures). This project is expected to be implemented very soon. </w:t>
      </w:r>
    </w:p>
    <w:p w14:paraId="266BE8E6" w14:textId="71DBEA23" w:rsidR="004C0F10" w:rsidRPr="00316837" w:rsidRDefault="004C0F10" w:rsidP="004C0F10">
      <w:pPr>
        <w:rPr>
          <w:rFonts w:eastAsia="Calibri"/>
          <w:szCs w:val="22"/>
        </w:rPr>
      </w:pPr>
      <w:r w:rsidRPr="00316837">
        <w:rPr>
          <w:rFonts w:eastAsia="Calibri"/>
          <w:szCs w:val="22"/>
        </w:rPr>
        <w:t xml:space="preserve">SAPP has established a Project Preparation Unit funded by the World Bank that focuses on both transmission and generation projects preparation and coordination. To ensure power systems adequacy, the SAPP priority transmission projects have been categorised into the following three groups: </w:t>
      </w:r>
    </w:p>
    <w:p w14:paraId="14D27A14" w14:textId="0E805A12" w:rsidR="004C0F10" w:rsidRPr="00316837" w:rsidRDefault="004C0F10" w:rsidP="00E92788">
      <w:pPr>
        <w:pStyle w:val="ListParagraph"/>
        <w:numPr>
          <w:ilvl w:val="0"/>
          <w:numId w:val="73"/>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Interconnecting the non-operating members (Angola, Malawi and Tanzania); </w:t>
      </w:r>
    </w:p>
    <w:p w14:paraId="69A1FF6B" w14:textId="37FB0D5D" w:rsidR="004C0F10" w:rsidRPr="00316837" w:rsidRDefault="004C0F10" w:rsidP="00E92788">
      <w:pPr>
        <w:pStyle w:val="ListParagraph"/>
        <w:numPr>
          <w:ilvl w:val="0"/>
          <w:numId w:val="73"/>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Projects to relieve transmission congestion (both interconnectors and domestic transmission networks); and </w:t>
      </w:r>
    </w:p>
    <w:p w14:paraId="06D0A7E2" w14:textId="17A5FB97" w:rsidR="004C0F10" w:rsidRPr="00316837" w:rsidRDefault="004C0F10" w:rsidP="00E92788">
      <w:pPr>
        <w:pStyle w:val="ListParagraph"/>
        <w:numPr>
          <w:ilvl w:val="0"/>
          <w:numId w:val="73"/>
        </w:numPr>
        <w:spacing w:before="160" w:after="0" w:line="288" w:lineRule="auto"/>
        <w:rPr>
          <w:rFonts w:ascii="Arial" w:hAnsi="Arial" w:cs="Arial"/>
          <w:sz w:val="20"/>
          <w:szCs w:val="20"/>
          <w:lang w:val="en-GB"/>
        </w:rPr>
      </w:pPr>
      <w:r w:rsidRPr="00316837">
        <w:rPr>
          <w:rFonts w:ascii="Arial" w:hAnsi="Arial" w:cs="Arial"/>
          <w:sz w:val="20"/>
          <w:szCs w:val="20"/>
          <w:lang w:val="en-GB"/>
        </w:rPr>
        <w:t>Transmission projects to evacuate power from new generation power plants to load centres (these are described in the SAPP Generation and Transmission Master Plan and also highlighted in the EU TAF Baseline Study for C</w:t>
      </w:r>
      <w:r w:rsidR="001D4932" w:rsidRPr="00316837">
        <w:rPr>
          <w:rFonts w:ascii="Arial" w:hAnsi="Arial" w:cs="Arial"/>
          <w:sz w:val="20"/>
          <w:szCs w:val="20"/>
          <w:lang w:val="en-GB"/>
        </w:rPr>
        <w:t xml:space="preserve">ontinental </w:t>
      </w:r>
      <w:r w:rsidRPr="00316837">
        <w:rPr>
          <w:rFonts w:ascii="Arial" w:hAnsi="Arial" w:cs="Arial"/>
          <w:sz w:val="20"/>
          <w:szCs w:val="20"/>
          <w:lang w:val="en-GB"/>
        </w:rPr>
        <w:t>M</w:t>
      </w:r>
      <w:r w:rsidR="001D4932" w:rsidRPr="00316837">
        <w:rPr>
          <w:rFonts w:ascii="Arial" w:hAnsi="Arial" w:cs="Arial"/>
          <w:sz w:val="20"/>
          <w:szCs w:val="20"/>
          <w:lang w:val="en-GB"/>
        </w:rPr>
        <w:t xml:space="preserve">aster </w:t>
      </w:r>
      <w:r w:rsidRPr="00316837">
        <w:rPr>
          <w:rFonts w:ascii="Arial" w:hAnsi="Arial" w:cs="Arial"/>
          <w:sz w:val="20"/>
          <w:szCs w:val="20"/>
          <w:lang w:val="en-GB"/>
        </w:rPr>
        <w:t>P</w:t>
      </w:r>
      <w:r w:rsidR="001D4932" w:rsidRPr="00316837">
        <w:rPr>
          <w:rFonts w:ascii="Arial" w:hAnsi="Arial" w:cs="Arial"/>
          <w:sz w:val="20"/>
          <w:szCs w:val="20"/>
          <w:lang w:val="en-GB"/>
        </w:rPr>
        <w:t xml:space="preserve">lan </w:t>
      </w:r>
      <w:r w:rsidRPr="00316837">
        <w:rPr>
          <w:rFonts w:ascii="Arial" w:hAnsi="Arial" w:cs="Arial"/>
          <w:sz w:val="20"/>
          <w:szCs w:val="20"/>
          <w:lang w:val="en-GB"/>
        </w:rPr>
        <w:t>1 (CW235, Lot 8.1, Deliverables 2</w:t>
      </w:r>
      <w:r w:rsidR="001D4932" w:rsidRPr="00316837">
        <w:rPr>
          <w:rFonts w:ascii="Arial" w:hAnsi="Arial" w:cs="Arial"/>
          <w:sz w:val="20"/>
          <w:szCs w:val="20"/>
          <w:lang w:val="en-GB"/>
        </w:rPr>
        <w:t xml:space="preserve"> and </w:t>
      </w:r>
      <w:r w:rsidRPr="00316837">
        <w:rPr>
          <w:rFonts w:ascii="Arial" w:hAnsi="Arial" w:cs="Arial"/>
          <w:sz w:val="20"/>
          <w:szCs w:val="20"/>
          <w:lang w:val="en-GB"/>
        </w:rPr>
        <w:t xml:space="preserve">3). </w:t>
      </w:r>
    </w:p>
    <w:p w14:paraId="0DC52DD2" w14:textId="1C1F535A" w:rsidR="004C0F10" w:rsidRPr="00316837" w:rsidRDefault="004C0F10" w:rsidP="004C0F10">
      <w:pPr>
        <w:rPr>
          <w:rFonts w:eastAsia="Calibri"/>
          <w:szCs w:val="22"/>
        </w:rPr>
      </w:pPr>
      <w:r w:rsidRPr="00316837">
        <w:rPr>
          <w:rFonts w:eastAsia="Calibri"/>
          <w:szCs w:val="22"/>
        </w:rPr>
        <w:t xml:space="preserve">On the transmission system capacity readiness, the Power Pools’ Master Plans need to identify all the priority projects which are key for unlocking electricity trade and this should include a statement of opportunities for enhanced transmission capacity. To achieve the single electricity market for AfSEM, the Continental Master Plan will need to be synchronised with the Regional Master Plans, particularly to identify the priority projects which need to be implemented to facilitate inter-Power Pool trading. </w:t>
      </w:r>
    </w:p>
    <w:p w14:paraId="607B84EA" w14:textId="551FFA90" w:rsidR="004C0F10" w:rsidRPr="00316837" w:rsidRDefault="004C0F10" w:rsidP="004C0F10">
      <w:pPr>
        <w:rPr>
          <w:rFonts w:eastAsia="Calibri"/>
          <w:szCs w:val="22"/>
        </w:rPr>
      </w:pPr>
      <w:r w:rsidRPr="00316837">
        <w:rPr>
          <w:rFonts w:eastAsia="Calibri"/>
          <w:szCs w:val="22"/>
        </w:rPr>
        <w:t>The actual net transfer capacities of each interconnector should also be determined and published as part of the Power Pool</w:t>
      </w:r>
      <w:r w:rsidR="00B2378E" w:rsidRPr="00316837">
        <w:rPr>
          <w:rFonts w:eastAsia="Calibri"/>
          <w:szCs w:val="22"/>
        </w:rPr>
        <w:t>s’</w:t>
      </w:r>
      <w:r w:rsidRPr="00316837">
        <w:rPr>
          <w:rFonts w:eastAsia="Calibri"/>
          <w:szCs w:val="22"/>
        </w:rPr>
        <w:t xml:space="preserve"> Master</w:t>
      </w:r>
      <w:r w:rsidR="00B2378E" w:rsidRPr="00316837">
        <w:rPr>
          <w:rFonts w:eastAsia="Calibri"/>
          <w:szCs w:val="22"/>
        </w:rPr>
        <w:t xml:space="preserve"> P</w:t>
      </w:r>
      <w:r w:rsidRPr="00316837">
        <w:rPr>
          <w:rFonts w:eastAsia="Calibri"/>
          <w:szCs w:val="22"/>
        </w:rPr>
        <w:t xml:space="preserve">lans, so that those that are adversely affected by the interconnection of the systems will have to be re-assessed. Additionally, tie-line capacity report (firm and non-firm) should be published by the </w:t>
      </w:r>
      <w:r w:rsidR="00B2378E" w:rsidRPr="00316837">
        <w:rPr>
          <w:rFonts w:eastAsia="Calibri"/>
          <w:szCs w:val="22"/>
        </w:rPr>
        <w:t>R</w:t>
      </w:r>
      <w:r w:rsidRPr="00316837">
        <w:rPr>
          <w:rFonts w:eastAsia="Calibri"/>
          <w:szCs w:val="22"/>
        </w:rPr>
        <w:t>SMOs to provide information to potential market participants.</w:t>
      </w:r>
      <w:r w:rsidR="00B2378E" w:rsidRPr="00316837">
        <w:rPr>
          <w:rFonts w:eastAsia="Calibri"/>
          <w:szCs w:val="22"/>
        </w:rPr>
        <w:t xml:space="preserve"> </w:t>
      </w:r>
    </w:p>
    <w:p w14:paraId="7DA6E49D" w14:textId="6A1B309C" w:rsidR="004C0F10" w:rsidRPr="00316837" w:rsidRDefault="004C0F10" w:rsidP="004C0F10">
      <w:pPr>
        <w:rPr>
          <w:rFonts w:eastAsia="Calibri"/>
          <w:szCs w:val="22"/>
        </w:rPr>
      </w:pPr>
      <w:r w:rsidRPr="00316837">
        <w:rPr>
          <w:rFonts w:eastAsia="Calibri"/>
          <w:szCs w:val="22"/>
        </w:rPr>
        <w:t xml:space="preserve">Based on the above discussions, </w:t>
      </w:r>
      <w:r w:rsidR="00B2378E" w:rsidRPr="00316837">
        <w:rPr>
          <w:rFonts w:eastAsia="Calibri"/>
          <w:szCs w:val="22"/>
        </w:rPr>
        <w:t xml:space="preserve">the </w:t>
      </w:r>
      <w:r w:rsidRPr="00316837">
        <w:rPr>
          <w:rFonts w:eastAsia="Calibri"/>
          <w:szCs w:val="22"/>
        </w:rPr>
        <w:t>Guideline</w:t>
      </w:r>
      <w:r w:rsidR="00B2378E" w:rsidRPr="00316837">
        <w:rPr>
          <w:rFonts w:eastAsia="Calibri"/>
          <w:szCs w:val="22"/>
        </w:rPr>
        <w:t>s</w:t>
      </w:r>
      <w:r w:rsidRPr="00316837">
        <w:rPr>
          <w:rFonts w:eastAsia="Calibri"/>
          <w:szCs w:val="22"/>
        </w:rPr>
        <w:t xml:space="preserve"> 3 is presented as follows:</w:t>
      </w:r>
      <w:r w:rsidR="00B2378E" w:rsidRPr="00316837">
        <w:rPr>
          <w:rFonts w:eastAsia="Calibri"/>
          <w:szCs w:val="22"/>
        </w:rPr>
        <w:t xml:space="preserve"> </w:t>
      </w:r>
    </w:p>
    <w:p w14:paraId="069D528D" w14:textId="64E7CFEC" w:rsidR="004C0F10" w:rsidRPr="00654753" w:rsidRDefault="00865FCB" w:rsidP="004C0F10">
      <w:pPr>
        <w:rPr>
          <w:rFonts w:eastAsia="Calibri"/>
          <w:szCs w:val="22"/>
        </w:rPr>
      </w:pPr>
      <w:r w:rsidRPr="006273BD">
        <w:rPr>
          <w:rFonts w:eastAsia="Calibri"/>
          <w:noProof/>
          <w:lang w:eastAsia="en-GB"/>
        </w:rPr>
        <w:lastRenderedPageBreak/>
        <mc:AlternateContent>
          <mc:Choice Requires="wps">
            <w:drawing>
              <wp:inline distT="0" distB="0" distL="0" distR="0" wp14:anchorId="2C206A46" wp14:editId="00163D04">
                <wp:extent cx="6112800" cy="7898400"/>
                <wp:effectExtent l="0" t="0" r="21590" b="26670"/>
                <wp:docPr id="24" name="Text Box 24"/>
                <wp:cNvGraphicFramePr/>
                <a:graphic xmlns:a="http://schemas.openxmlformats.org/drawingml/2006/main">
                  <a:graphicData uri="http://schemas.microsoft.com/office/word/2010/wordprocessingShape">
                    <wps:wsp>
                      <wps:cNvSpPr txBox="1"/>
                      <wps:spPr>
                        <a:xfrm>
                          <a:off x="0" y="0"/>
                          <a:ext cx="6112800" cy="7898400"/>
                        </a:xfrm>
                        <a:prstGeom prst="rect">
                          <a:avLst/>
                        </a:prstGeom>
                        <a:solidFill>
                          <a:srgbClr val="9BBB59">
                            <a:lumMod val="20000"/>
                            <a:lumOff val="80000"/>
                          </a:srgbClr>
                        </a:solidFill>
                        <a:ln w="6350">
                          <a:solidFill>
                            <a:prstClr val="black"/>
                          </a:solidFill>
                        </a:ln>
                        <a:effectLst/>
                      </wps:spPr>
                      <wps:txbx>
                        <w:txbxContent>
                          <w:p w14:paraId="14D7E0C1" w14:textId="16E550E7" w:rsidR="005276A4" w:rsidRPr="00865FCB" w:rsidRDefault="005276A4" w:rsidP="00865FCB">
                            <w:pPr>
                              <w:jc w:val="left"/>
                              <w:rPr>
                                <w:bCs/>
                              </w:rPr>
                            </w:pPr>
                            <w:r w:rsidRPr="00865FCB">
                              <w:rPr>
                                <w:bCs/>
                              </w:rPr>
                              <w:t>Guidelines 3</w:t>
                            </w:r>
                            <w:r>
                              <w:rPr>
                                <w:bCs/>
                              </w:rPr>
                              <w:t>:</w:t>
                            </w:r>
                            <w:r w:rsidRPr="00865FCB">
                              <w:rPr>
                                <w:bCs/>
                              </w:rPr>
                              <w:t xml:space="preserve"> Power System Adequacy, Capability and Robustness (Capacity Readiness) </w:t>
                            </w:r>
                          </w:p>
                          <w:p w14:paraId="059B4B72" w14:textId="0023E89C"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 xml:space="preserve">For generation and transmission systems capacity readiness, the </w:t>
                            </w:r>
                            <w:r>
                              <w:rPr>
                                <w:rFonts w:ascii="Arial" w:hAnsi="Arial" w:cs="Arial"/>
                                <w:bCs/>
                                <w:sz w:val="20"/>
                                <w:szCs w:val="20"/>
                                <w:lang w:val="en-GB"/>
                              </w:rPr>
                              <w:t xml:space="preserve">Power Pools’ </w:t>
                            </w:r>
                            <w:r w:rsidRPr="00865FCB">
                              <w:rPr>
                                <w:rFonts w:ascii="Arial" w:hAnsi="Arial" w:cs="Arial"/>
                                <w:bCs/>
                                <w:sz w:val="20"/>
                                <w:szCs w:val="20"/>
                                <w:lang w:val="en-GB"/>
                              </w:rPr>
                              <w:t xml:space="preserve">expansion plans </w:t>
                            </w:r>
                            <w:r>
                              <w:rPr>
                                <w:rFonts w:ascii="Arial" w:hAnsi="Arial" w:cs="Arial"/>
                                <w:bCs/>
                                <w:sz w:val="20"/>
                                <w:szCs w:val="20"/>
                                <w:lang w:val="en-GB"/>
                              </w:rPr>
                              <w:t>will</w:t>
                            </w:r>
                            <w:r w:rsidRPr="00865FCB">
                              <w:rPr>
                                <w:rFonts w:ascii="Arial" w:hAnsi="Arial" w:cs="Arial"/>
                                <w:bCs/>
                                <w:sz w:val="20"/>
                                <w:szCs w:val="20"/>
                                <w:lang w:val="en-GB"/>
                              </w:rPr>
                              <w:t xml:space="preserve"> be synchronised with the Continental Master</w:t>
                            </w:r>
                            <w:r>
                              <w:rPr>
                                <w:rFonts w:ascii="Arial" w:hAnsi="Arial" w:cs="Arial"/>
                                <w:bCs/>
                                <w:sz w:val="20"/>
                                <w:szCs w:val="20"/>
                                <w:lang w:val="en-GB"/>
                              </w:rPr>
                              <w:t xml:space="preserve"> P</w:t>
                            </w:r>
                            <w:r w:rsidRPr="00865FCB">
                              <w:rPr>
                                <w:rFonts w:ascii="Arial" w:hAnsi="Arial" w:cs="Arial"/>
                                <w:bCs/>
                                <w:sz w:val="20"/>
                                <w:szCs w:val="20"/>
                                <w:lang w:val="en-GB"/>
                              </w:rPr>
                              <w:t>lan. This will serve as the basis for inter-</w:t>
                            </w:r>
                            <w:r>
                              <w:rPr>
                                <w:rFonts w:ascii="Arial" w:hAnsi="Arial" w:cs="Arial"/>
                                <w:bCs/>
                                <w:sz w:val="20"/>
                                <w:szCs w:val="20"/>
                                <w:lang w:val="en-GB"/>
                              </w:rPr>
                              <w:t>P</w:t>
                            </w:r>
                            <w:r w:rsidRPr="00865FCB">
                              <w:rPr>
                                <w:rFonts w:ascii="Arial" w:hAnsi="Arial" w:cs="Arial"/>
                                <w:bCs/>
                                <w:sz w:val="20"/>
                                <w:szCs w:val="20"/>
                                <w:lang w:val="en-GB"/>
                              </w:rPr>
                              <w:t xml:space="preserve">ower </w:t>
                            </w:r>
                            <w:r>
                              <w:rPr>
                                <w:rFonts w:ascii="Arial" w:hAnsi="Arial" w:cs="Arial"/>
                                <w:bCs/>
                                <w:sz w:val="20"/>
                                <w:szCs w:val="20"/>
                                <w:lang w:val="en-GB"/>
                              </w:rPr>
                              <w:t>P</w:t>
                            </w:r>
                            <w:r w:rsidRPr="00865FCB">
                              <w:rPr>
                                <w:rFonts w:ascii="Arial" w:hAnsi="Arial" w:cs="Arial"/>
                                <w:bCs/>
                                <w:sz w:val="20"/>
                                <w:szCs w:val="20"/>
                                <w:lang w:val="en-GB"/>
                              </w:rPr>
                              <w:t xml:space="preserve">ool coupling for trading and technical operations. The </w:t>
                            </w:r>
                            <w:r>
                              <w:rPr>
                                <w:rFonts w:ascii="Arial" w:hAnsi="Arial" w:cs="Arial"/>
                                <w:bCs/>
                                <w:sz w:val="20"/>
                                <w:szCs w:val="20"/>
                                <w:lang w:val="en-GB"/>
                              </w:rPr>
                              <w:t>R</w:t>
                            </w:r>
                            <w:r w:rsidRPr="00865FCB">
                              <w:rPr>
                                <w:rFonts w:ascii="Arial" w:hAnsi="Arial" w:cs="Arial"/>
                                <w:bCs/>
                                <w:sz w:val="20"/>
                                <w:szCs w:val="20"/>
                                <w:lang w:val="en-GB"/>
                              </w:rPr>
                              <w:t xml:space="preserve">egional and </w:t>
                            </w:r>
                            <w:r>
                              <w:rPr>
                                <w:rFonts w:ascii="Arial" w:hAnsi="Arial" w:cs="Arial"/>
                                <w:bCs/>
                                <w:sz w:val="20"/>
                                <w:szCs w:val="20"/>
                                <w:lang w:val="en-GB"/>
                              </w:rPr>
                              <w:t>C</w:t>
                            </w:r>
                            <w:r w:rsidRPr="00865FCB">
                              <w:rPr>
                                <w:rFonts w:ascii="Arial" w:hAnsi="Arial" w:cs="Arial"/>
                                <w:bCs/>
                                <w:sz w:val="20"/>
                                <w:szCs w:val="20"/>
                                <w:lang w:val="en-GB"/>
                              </w:rPr>
                              <w:t xml:space="preserve">ontinental </w:t>
                            </w:r>
                            <w:r>
                              <w:rPr>
                                <w:rFonts w:ascii="Arial" w:hAnsi="Arial" w:cs="Arial"/>
                                <w:bCs/>
                                <w:sz w:val="20"/>
                                <w:szCs w:val="20"/>
                                <w:lang w:val="en-GB"/>
                              </w:rPr>
                              <w:t>M</w:t>
                            </w:r>
                            <w:r w:rsidRPr="00865FCB">
                              <w:rPr>
                                <w:rFonts w:ascii="Arial" w:hAnsi="Arial" w:cs="Arial"/>
                                <w:bCs/>
                                <w:sz w:val="20"/>
                                <w:szCs w:val="20"/>
                                <w:lang w:val="en-GB"/>
                              </w:rPr>
                              <w:t>aster</w:t>
                            </w:r>
                            <w:r>
                              <w:rPr>
                                <w:rFonts w:ascii="Arial" w:hAnsi="Arial" w:cs="Arial"/>
                                <w:bCs/>
                                <w:sz w:val="20"/>
                                <w:szCs w:val="20"/>
                                <w:lang w:val="en-GB"/>
                              </w:rPr>
                              <w:t xml:space="preserve"> P</w:t>
                            </w:r>
                            <w:r w:rsidRPr="00865FCB">
                              <w:rPr>
                                <w:rFonts w:ascii="Arial" w:hAnsi="Arial" w:cs="Arial"/>
                                <w:bCs/>
                                <w:sz w:val="20"/>
                                <w:szCs w:val="20"/>
                                <w:lang w:val="en-GB"/>
                              </w:rPr>
                              <w:t xml:space="preserve">lans </w:t>
                            </w:r>
                            <w:r>
                              <w:rPr>
                                <w:rFonts w:ascii="Arial" w:hAnsi="Arial" w:cs="Arial"/>
                                <w:bCs/>
                                <w:sz w:val="20"/>
                                <w:szCs w:val="20"/>
                                <w:lang w:val="en-GB"/>
                              </w:rPr>
                              <w:t>will</w:t>
                            </w:r>
                            <w:r w:rsidRPr="00865FCB">
                              <w:rPr>
                                <w:rFonts w:ascii="Arial" w:hAnsi="Arial" w:cs="Arial"/>
                                <w:bCs/>
                                <w:sz w:val="20"/>
                                <w:szCs w:val="20"/>
                                <w:lang w:val="en-GB"/>
                              </w:rPr>
                              <w:t xml:space="preserve"> be updated periodically on uniform basis, as more firm arrangements are made and construction is also completed for additional generati</w:t>
                            </w:r>
                            <w:r>
                              <w:rPr>
                                <w:rFonts w:ascii="Arial" w:hAnsi="Arial" w:cs="Arial"/>
                                <w:bCs/>
                                <w:sz w:val="20"/>
                                <w:szCs w:val="20"/>
                                <w:lang w:val="en-GB"/>
                              </w:rPr>
                              <w:t>o</w:t>
                            </w:r>
                            <w:r w:rsidRPr="00865FCB">
                              <w:rPr>
                                <w:rFonts w:ascii="Arial" w:hAnsi="Arial" w:cs="Arial"/>
                                <w:bCs/>
                                <w:sz w:val="20"/>
                                <w:szCs w:val="20"/>
                                <w:lang w:val="en-GB"/>
                              </w:rPr>
                              <w:t>n projects</w:t>
                            </w:r>
                            <w:r>
                              <w:rPr>
                                <w:rFonts w:ascii="Arial" w:hAnsi="Arial" w:cs="Arial"/>
                                <w:bCs/>
                                <w:sz w:val="20"/>
                                <w:szCs w:val="20"/>
                                <w:lang w:val="en-GB"/>
                              </w:rPr>
                              <w:t xml:space="preserve">. </w:t>
                            </w:r>
                          </w:p>
                          <w:p w14:paraId="31A9F8E8" w14:textId="49E26EBB"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 xml:space="preserve">Investment in transmission network </w:t>
                            </w:r>
                            <w:r>
                              <w:rPr>
                                <w:rFonts w:ascii="Arial" w:hAnsi="Arial" w:cs="Arial"/>
                                <w:bCs/>
                                <w:sz w:val="20"/>
                                <w:szCs w:val="20"/>
                                <w:lang w:val="en-GB"/>
                              </w:rPr>
                              <w:t>will</w:t>
                            </w:r>
                            <w:r w:rsidRPr="00865FCB">
                              <w:rPr>
                                <w:rFonts w:ascii="Arial" w:hAnsi="Arial" w:cs="Arial"/>
                                <w:bCs/>
                                <w:sz w:val="20"/>
                                <w:szCs w:val="20"/>
                                <w:lang w:val="en-GB"/>
                              </w:rPr>
                              <w:t xml:space="preserve"> ensure that </w:t>
                            </w:r>
                            <w:r>
                              <w:rPr>
                                <w:rFonts w:ascii="Arial" w:hAnsi="Arial" w:cs="Arial"/>
                                <w:bCs/>
                                <w:sz w:val="20"/>
                                <w:szCs w:val="20"/>
                                <w:lang w:val="en-GB"/>
                              </w:rPr>
                              <w:t>the i</w:t>
                            </w:r>
                            <w:r w:rsidRPr="00865FCB">
                              <w:rPr>
                                <w:rFonts w:ascii="Arial" w:hAnsi="Arial" w:cs="Arial"/>
                                <w:bCs/>
                                <w:sz w:val="20"/>
                                <w:szCs w:val="20"/>
                                <w:lang w:val="en-GB"/>
                              </w:rPr>
                              <w:t xml:space="preserve">nterconnector firm or net transfer capacity will be adequate. This </w:t>
                            </w:r>
                            <w:r>
                              <w:rPr>
                                <w:rFonts w:ascii="Arial" w:hAnsi="Arial" w:cs="Arial"/>
                                <w:bCs/>
                                <w:sz w:val="20"/>
                                <w:szCs w:val="20"/>
                                <w:lang w:val="en-GB"/>
                              </w:rPr>
                              <w:t>will</w:t>
                            </w:r>
                            <w:r w:rsidRPr="00865FCB">
                              <w:rPr>
                                <w:rFonts w:ascii="Arial" w:hAnsi="Arial" w:cs="Arial"/>
                                <w:bCs/>
                                <w:sz w:val="20"/>
                                <w:szCs w:val="20"/>
                                <w:lang w:val="en-GB"/>
                              </w:rPr>
                              <w:t xml:space="preserve"> be done by aligning the </w:t>
                            </w:r>
                            <w:r>
                              <w:rPr>
                                <w:rFonts w:ascii="Arial" w:hAnsi="Arial" w:cs="Arial"/>
                                <w:bCs/>
                                <w:sz w:val="20"/>
                                <w:szCs w:val="20"/>
                                <w:lang w:val="en-GB"/>
                              </w:rPr>
                              <w:t>R</w:t>
                            </w:r>
                            <w:r w:rsidRPr="00865FCB">
                              <w:rPr>
                                <w:rFonts w:ascii="Arial" w:hAnsi="Arial" w:cs="Arial"/>
                                <w:bCs/>
                                <w:sz w:val="20"/>
                                <w:szCs w:val="20"/>
                                <w:lang w:val="en-GB"/>
                              </w:rPr>
                              <w:t>egional Master</w:t>
                            </w:r>
                            <w:r>
                              <w:rPr>
                                <w:rFonts w:ascii="Arial" w:hAnsi="Arial" w:cs="Arial"/>
                                <w:bCs/>
                                <w:sz w:val="20"/>
                                <w:szCs w:val="20"/>
                                <w:lang w:val="en-GB"/>
                              </w:rPr>
                              <w:t xml:space="preserve"> P</w:t>
                            </w:r>
                            <w:r w:rsidRPr="00865FCB">
                              <w:rPr>
                                <w:rFonts w:ascii="Arial" w:hAnsi="Arial" w:cs="Arial"/>
                                <w:bCs/>
                                <w:sz w:val="20"/>
                                <w:szCs w:val="20"/>
                                <w:lang w:val="en-GB"/>
                              </w:rPr>
                              <w:t>lans with the Continental Master</w:t>
                            </w:r>
                            <w:r>
                              <w:rPr>
                                <w:rFonts w:ascii="Arial" w:hAnsi="Arial" w:cs="Arial"/>
                                <w:bCs/>
                                <w:sz w:val="20"/>
                                <w:szCs w:val="20"/>
                                <w:lang w:val="en-GB"/>
                              </w:rPr>
                              <w:t xml:space="preserve"> P</w:t>
                            </w:r>
                            <w:r w:rsidRPr="00865FCB">
                              <w:rPr>
                                <w:rFonts w:ascii="Arial" w:hAnsi="Arial" w:cs="Arial"/>
                                <w:bCs/>
                                <w:sz w:val="20"/>
                                <w:szCs w:val="20"/>
                                <w:lang w:val="en-GB"/>
                              </w:rPr>
                              <w:t>lan. This will enable the intercon</w:t>
                            </w:r>
                            <w:r>
                              <w:rPr>
                                <w:rFonts w:ascii="Arial" w:hAnsi="Arial" w:cs="Arial"/>
                                <w:bCs/>
                                <w:sz w:val="20"/>
                                <w:szCs w:val="20"/>
                                <w:lang w:val="en-GB"/>
                              </w:rPr>
                              <w:t>n</w:t>
                            </w:r>
                            <w:r w:rsidRPr="00865FCB">
                              <w:rPr>
                                <w:rFonts w:ascii="Arial" w:hAnsi="Arial" w:cs="Arial"/>
                                <w:bCs/>
                                <w:sz w:val="20"/>
                                <w:szCs w:val="20"/>
                                <w:lang w:val="en-GB"/>
                              </w:rPr>
                              <w:t>ectors to transmit financially-secured bilateral transactions</w:t>
                            </w:r>
                            <w:r>
                              <w:rPr>
                                <w:rFonts w:ascii="Arial" w:hAnsi="Arial" w:cs="Arial"/>
                                <w:bCs/>
                                <w:sz w:val="20"/>
                                <w:szCs w:val="20"/>
                                <w:lang w:val="en-GB"/>
                              </w:rPr>
                              <w:t>,</w:t>
                            </w:r>
                            <w:r w:rsidRPr="00865FCB">
                              <w:rPr>
                                <w:rFonts w:ascii="Arial" w:hAnsi="Arial" w:cs="Arial"/>
                                <w:bCs/>
                                <w:sz w:val="20"/>
                                <w:szCs w:val="20"/>
                                <w:lang w:val="en-GB"/>
                              </w:rPr>
                              <w:t xml:space="preserve"> and also take into account the extra capacity required to accommodate highly-probable additional and future </w:t>
                            </w:r>
                            <w:r>
                              <w:rPr>
                                <w:rFonts w:ascii="Arial" w:hAnsi="Arial" w:cs="Arial"/>
                                <w:bCs/>
                                <w:sz w:val="20"/>
                                <w:szCs w:val="20"/>
                                <w:lang w:val="en-GB"/>
                              </w:rPr>
                              <w:t xml:space="preserve">electricity </w:t>
                            </w:r>
                            <w:r w:rsidRPr="00865FCB">
                              <w:rPr>
                                <w:rFonts w:ascii="Arial" w:hAnsi="Arial" w:cs="Arial"/>
                                <w:bCs/>
                                <w:sz w:val="20"/>
                                <w:szCs w:val="20"/>
                                <w:lang w:val="en-GB"/>
                              </w:rPr>
                              <w:t>trade</w:t>
                            </w:r>
                            <w:r>
                              <w:rPr>
                                <w:rFonts w:ascii="Arial" w:hAnsi="Arial" w:cs="Arial"/>
                                <w:bCs/>
                                <w:sz w:val="20"/>
                                <w:szCs w:val="20"/>
                                <w:lang w:val="en-GB"/>
                              </w:rPr>
                              <w:t xml:space="preserve">. </w:t>
                            </w:r>
                          </w:p>
                          <w:p w14:paraId="60BEA15D" w14:textId="53BB631F"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To achieve interconnector capacity adequacy and readiness, the Power Pools (</w:t>
                            </w:r>
                            <w:r>
                              <w:rPr>
                                <w:rFonts w:ascii="Arial" w:hAnsi="Arial" w:cs="Arial"/>
                                <w:bCs/>
                                <w:sz w:val="20"/>
                                <w:szCs w:val="20"/>
                                <w:lang w:val="en-GB"/>
                              </w:rPr>
                              <w:t>R</w:t>
                            </w:r>
                            <w:r w:rsidRPr="00865FCB">
                              <w:rPr>
                                <w:rFonts w:ascii="Arial" w:hAnsi="Arial" w:cs="Arial"/>
                                <w:bCs/>
                                <w:sz w:val="20"/>
                                <w:szCs w:val="20"/>
                                <w:lang w:val="en-GB"/>
                              </w:rPr>
                              <w:t xml:space="preserve">SMOs) and </w:t>
                            </w:r>
                            <w:r>
                              <w:rPr>
                                <w:rFonts w:ascii="Arial" w:hAnsi="Arial" w:cs="Arial"/>
                                <w:bCs/>
                                <w:sz w:val="20"/>
                                <w:szCs w:val="20"/>
                                <w:lang w:val="en-GB"/>
                              </w:rPr>
                              <w:t xml:space="preserve">the </w:t>
                            </w:r>
                            <w:r w:rsidRPr="00865FCB">
                              <w:rPr>
                                <w:rFonts w:ascii="Arial" w:hAnsi="Arial" w:cs="Arial"/>
                                <w:bCs/>
                                <w:sz w:val="20"/>
                                <w:szCs w:val="20"/>
                                <w:lang w:val="en-GB"/>
                              </w:rPr>
                              <w:t>national TSOs will need to work with the national and regional regulator</w:t>
                            </w:r>
                            <w:r>
                              <w:rPr>
                                <w:rFonts w:ascii="Arial" w:hAnsi="Arial" w:cs="Arial"/>
                                <w:bCs/>
                                <w:sz w:val="20"/>
                                <w:szCs w:val="20"/>
                                <w:lang w:val="en-GB"/>
                              </w:rPr>
                              <w:t>y authorities</w:t>
                            </w:r>
                            <w:r w:rsidRPr="00865FCB">
                              <w:rPr>
                                <w:rFonts w:ascii="Arial" w:hAnsi="Arial" w:cs="Arial"/>
                                <w:bCs/>
                                <w:sz w:val="20"/>
                                <w:szCs w:val="20"/>
                                <w:lang w:val="en-GB"/>
                              </w:rPr>
                              <w:t xml:space="preserve"> to ensure that interconnectors fulfil the </w:t>
                            </w:r>
                            <w:r>
                              <w:rPr>
                                <w:rFonts w:ascii="Arial" w:hAnsi="Arial" w:cs="Arial"/>
                                <w:bCs/>
                                <w:sz w:val="20"/>
                                <w:szCs w:val="20"/>
                                <w:lang w:val="en-GB"/>
                              </w:rPr>
                              <w:t>(</w:t>
                            </w:r>
                            <w:r w:rsidRPr="00865FCB">
                              <w:rPr>
                                <w:rFonts w:ascii="Arial" w:hAnsi="Arial" w:cs="Arial"/>
                                <w:bCs/>
                                <w:sz w:val="20"/>
                                <w:szCs w:val="20"/>
                                <w:lang w:val="en-GB"/>
                              </w:rPr>
                              <w:t>N-1</w:t>
                            </w:r>
                            <w:r>
                              <w:rPr>
                                <w:rFonts w:ascii="Arial" w:hAnsi="Arial" w:cs="Arial"/>
                                <w:bCs/>
                                <w:sz w:val="20"/>
                                <w:szCs w:val="20"/>
                                <w:lang w:val="en-GB"/>
                              </w:rPr>
                              <w:t>)</w:t>
                            </w:r>
                            <w:r w:rsidRPr="00865FCB">
                              <w:rPr>
                                <w:rFonts w:ascii="Arial" w:hAnsi="Arial" w:cs="Arial"/>
                                <w:bCs/>
                                <w:sz w:val="20"/>
                                <w:szCs w:val="20"/>
                                <w:lang w:val="en-GB"/>
                              </w:rPr>
                              <w:t xml:space="preserve"> criteria. Non-firm capacity can affect the nature of </w:t>
                            </w:r>
                            <w:r>
                              <w:rPr>
                                <w:rFonts w:ascii="Arial" w:hAnsi="Arial" w:cs="Arial"/>
                                <w:bCs/>
                                <w:sz w:val="20"/>
                                <w:szCs w:val="20"/>
                                <w:lang w:val="en-GB"/>
                              </w:rPr>
                              <w:t>electricity</w:t>
                            </w:r>
                            <w:r w:rsidRPr="00865FCB">
                              <w:rPr>
                                <w:rFonts w:ascii="Arial" w:hAnsi="Arial" w:cs="Arial"/>
                                <w:bCs/>
                                <w:sz w:val="20"/>
                                <w:szCs w:val="20"/>
                                <w:lang w:val="en-GB"/>
                              </w:rPr>
                              <w:t xml:space="preserve"> trade agreements that are deemed feasible. Non-firm capacity can also influence power system stability and tie-line separation, which can lead to a scenario where a problem in one Control Area could cascade into other areas and cause network instability in another Control Area</w:t>
                            </w:r>
                            <w:r>
                              <w:rPr>
                                <w:rFonts w:ascii="Arial" w:hAnsi="Arial" w:cs="Arial"/>
                                <w:bCs/>
                                <w:sz w:val="20"/>
                                <w:szCs w:val="20"/>
                                <w:lang w:val="en-GB"/>
                              </w:rPr>
                              <w:t xml:space="preserve">. </w:t>
                            </w:r>
                          </w:p>
                          <w:p w14:paraId="0C4158C3" w14:textId="04CC0E16"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 xml:space="preserve">For </w:t>
                            </w:r>
                            <w:r>
                              <w:rPr>
                                <w:rFonts w:ascii="Arial" w:hAnsi="Arial" w:cs="Arial"/>
                                <w:bCs/>
                                <w:sz w:val="20"/>
                                <w:szCs w:val="20"/>
                                <w:lang w:val="en-GB"/>
                              </w:rPr>
                              <w:t xml:space="preserve">transmission </w:t>
                            </w:r>
                            <w:r w:rsidRPr="00865FCB">
                              <w:rPr>
                                <w:rFonts w:ascii="Arial" w:hAnsi="Arial" w:cs="Arial"/>
                                <w:bCs/>
                                <w:sz w:val="20"/>
                                <w:szCs w:val="20"/>
                                <w:lang w:val="en-GB"/>
                              </w:rPr>
                              <w:t>network capability, the operational voltage limits of the interconnector should be verified for stability, as prescribed by the regional grid code. In addit</w:t>
                            </w:r>
                            <w:r>
                              <w:rPr>
                                <w:rFonts w:ascii="Arial" w:hAnsi="Arial" w:cs="Arial"/>
                                <w:bCs/>
                                <w:sz w:val="20"/>
                                <w:szCs w:val="20"/>
                                <w:lang w:val="en-GB"/>
                              </w:rPr>
                              <w:t>i</w:t>
                            </w:r>
                            <w:r w:rsidRPr="00865FCB">
                              <w:rPr>
                                <w:rFonts w:ascii="Arial" w:hAnsi="Arial" w:cs="Arial"/>
                                <w:bCs/>
                                <w:sz w:val="20"/>
                                <w:szCs w:val="20"/>
                                <w:lang w:val="en-GB"/>
                              </w:rPr>
                              <w:t xml:space="preserve">on, the </w:t>
                            </w:r>
                            <w:r>
                              <w:rPr>
                                <w:rFonts w:ascii="Arial" w:hAnsi="Arial" w:cs="Arial"/>
                                <w:bCs/>
                                <w:sz w:val="20"/>
                                <w:szCs w:val="20"/>
                                <w:lang w:val="en-GB"/>
                              </w:rPr>
                              <w:t>q</w:t>
                            </w:r>
                            <w:r w:rsidRPr="00865FCB">
                              <w:rPr>
                                <w:rFonts w:ascii="Arial" w:hAnsi="Arial" w:cs="Arial"/>
                                <w:bCs/>
                                <w:sz w:val="20"/>
                                <w:szCs w:val="20"/>
                                <w:lang w:val="en-GB"/>
                              </w:rPr>
                              <w:t>uality-of-supply criteria and the harmonic limits of the interconnector need to be specified as per the technical regulations and the grid code</w:t>
                            </w:r>
                            <w:r>
                              <w:rPr>
                                <w:rFonts w:ascii="Arial" w:hAnsi="Arial" w:cs="Arial"/>
                                <w:bCs/>
                                <w:sz w:val="20"/>
                                <w:szCs w:val="20"/>
                                <w:lang w:val="en-GB"/>
                              </w:rPr>
                              <w:t xml:space="preserve">. </w:t>
                            </w:r>
                          </w:p>
                          <w:p w14:paraId="41F6DA80" w14:textId="2CD9A851"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The operational voltage limits of the interconnector during switching operations need to be verified for stability. This should be done as per the regional grid code and technical regulations</w:t>
                            </w:r>
                            <w:r>
                              <w:rPr>
                                <w:rFonts w:ascii="Arial" w:hAnsi="Arial" w:cs="Arial"/>
                                <w:bCs/>
                                <w:sz w:val="20"/>
                                <w:szCs w:val="20"/>
                                <w:lang w:val="en-GB"/>
                              </w:rPr>
                              <w:t xml:space="preserve">. </w:t>
                            </w:r>
                          </w:p>
                          <w:p w14:paraId="36293A0A" w14:textId="4D0ADF38"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The regional regulator</w:t>
                            </w:r>
                            <w:r>
                              <w:rPr>
                                <w:rFonts w:ascii="Arial" w:hAnsi="Arial" w:cs="Arial"/>
                                <w:bCs/>
                                <w:sz w:val="20"/>
                                <w:szCs w:val="20"/>
                                <w:lang w:val="en-GB"/>
                              </w:rPr>
                              <w:t>y authority will</w:t>
                            </w:r>
                            <w:r w:rsidRPr="00865FCB">
                              <w:rPr>
                                <w:rFonts w:ascii="Arial" w:hAnsi="Arial" w:cs="Arial"/>
                                <w:bCs/>
                                <w:sz w:val="20"/>
                                <w:szCs w:val="20"/>
                                <w:lang w:val="en-GB"/>
                              </w:rPr>
                              <w:t xml:space="preserve"> develop and publish intercon</w:t>
                            </w:r>
                            <w:r>
                              <w:rPr>
                                <w:rFonts w:ascii="Arial" w:hAnsi="Arial" w:cs="Arial"/>
                                <w:bCs/>
                                <w:sz w:val="20"/>
                                <w:szCs w:val="20"/>
                                <w:lang w:val="en-GB"/>
                              </w:rPr>
                              <w:t>n</w:t>
                            </w:r>
                            <w:r w:rsidRPr="00865FCB">
                              <w:rPr>
                                <w:rFonts w:ascii="Arial" w:hAnsi="Arial" w:cs="Arial"/>
                                <w:bCs/>
                                <w:sz w:val="20"/>
                                <w:szCs w:val="20"/>
                                <w:lang w:val="en-GB"/>
                              </w:rPr>
                              <w:t xml:space="preserve">ector transfer limit calculation methodology including determination of the margins and the net transfer limits. As the complexity of the grid increases, it is imperative to define the </w:t>
                            </w:r>
                            <w:r>
                              <w:rPr>
                                <w:rFonts w:ascii="Arial" w:hAnsi="Arial" w:cs="Arial"/>
                                <w:bCs/>
                                <w:sz w:val="20"/>
                                <w:szCs w:val="20"/>
                                <w:lang w:val="en-GB"/>
                              </w:rPr>
                              <w:t>n</w:t>
                            </w:r>
                            <w:r w:rsidRPr="00865FCB">
                              <w:rPr>
                                <w:rFonts w:ascii="Arial" w:hAnsi="Arial" w:cs="Arial"/>
                                <w:bCs/>
                                <w:sz w:val="20"/>
                                <w:szCs w:val="20"/>
                                <w:lang w:val="en-GB"/>
                              </w:rPr>
                              <w:t xml:space="preserve">et </w:t>
                            </w:r>
                            <w:r>
                              <w:rPr>
                                <w:rFonts w:ascii="Arial" w:hAnsi="Arial" w:cs="Arial"/>
                                <w:bCs/>
                                <w:sz w:val="20"/>
                                <w:szCs w:val="20"/>
                                <w:lang w:val="en-GB"/>
                              </w:rPr>
                              <w:t>t</w:t>
                            </w:r>
                            <w:r w:rsidRPr="00865FCB">
                              <w:rPr>
                                <w:rFonts w:ascii="Arial" w:hAnsi="Arial" w:cs="Arial"/>
                                <w:bCs/>
                                <w:sz w:val="20"/>
                                <w:szCs w:val="20"/>
                                <w:lang w:val="en-GB"/>
                              </w:rPr>
                              <w:t xml:space="preserve">ransfer </w:t>
                            </w:r>
                            <w:r>
                              <w:rPr>
                                <w:rFonts w:ascii="Arial" w:hAnsi="Arial" w:cs="Arial"/>
                                <w:bCs/>
                                <w:sz w:val="20"/>
                                <w:szCs w:val="20"/>
                                <w:lang w:val="en-GB"/>
                              </w:rPr>
                              <w:t>c</w:t>
                            </w:r>
                            <w:r w:rsidRPr="00865FCB">
                              <w:rPr>
                                <w:rFonts w:ascii="Arial" w:hAnsi="Arial" w:cs="Arial"/>
                                <w:bCs/>
                                <w:sz w:val="20"/>
                                <w:szCs w:val="20"/>
                                <w:lang w:val="en-GB"/>
                              </w:rPr>
                              <w:t>apacities between neighbouring countries under different scenario, to guarantee safe and stable operation of the interconnected system.</w:t>
                            </w:r>
                            <w:r>
                              <w:rPr>
                                <w:rFonts w:ascii="Arial" w:hAnsi="Arial" w:cs="Arial"/>
                                <w:bCs/>
                                <w:sz w:val="20"/>
                                <w:szCs w:val="20"/>
                                <w:lang w:val="en-GB"/>
                              </w:rPr>
                              <w:t xml:space="preserve"> </w:t>
                            </w:r>
                          </w:p>
                          <w:p w14:paraId="66A46DCB" w14:textId="1BA79A18"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The calculation of the transfer limit should be done in a uniform and transparent manner based on agreed assumptions and taking into account intercon</w:t>
                            </w:r>
                            <w:r>
                              <w:rPr>
                                <w:rFonts w:ascii="Arial" w:hAnsi="Arial" w:cs="Arial"/>
                                <w:bCs/>
                                <w:sz w:val="20"/>
                                <w:szCs w:val="20"/>
                                <w:lang w:val="en-GB"/>
                              </w:rPr>
                              <w:t>n</w:t>
                            </w:r>
                            <w:r w:rsidRPr="00865FCB">
                              <w:rPr>
                                <w:rFonts w:ascii="Arial" w:hAnsi="Arial" w:cs="Arial"/>
                                <w:bCs/>
                                <w:sz w:val="20"/>
                                <w:szCs w:val="20"/>
                                <w:lang w:val="en-GB"/>
                              </w:rPr>
                              <w:t xml:space="preserve">ections with adjacent countries, since available capacity for trading can be affected by other trades as well as internal country flows. </w:t>
                            </w:r>
                          </w:p>
                          <w:p w14:paraId="4D14EE9F" w14:textId="05D46D38"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G</w:t>
                            </w:r>
                            <w:r w:rsidRPr="00865FCB">
                              <w:rPr>
                                <w:rFonts w:ascii="Arial" w:hAnsi="Arial" w:cs="Arial"/>
                                <w:bCs/>
                                <w:sz w:val="20"/>
                                <w:szCs w:val="20"/>
                                <w:lang w:val="en-GB"/>
                              </w:rPr>
                              <w:t>enerating units with nominal capacity equal to or higher than the required capacity threshold (</w:t>
                            </w:r>
                            <w:r>
                              <w:rPr>
                                <w:rFonts w:ascii="Arial" w:hAnsi="Arial" w:cs="Arial"/>
                                <w:bCs/>
                                <w:sz w:val="20"/>
                                <w:szCs w:val="20"/>
                                <w:lang w:val="en-GB"/>
                              </w:rPr>
                              <w:t xml:space="preserve">in </w:t>
                            </w:r>
                            <w:r w:rsidRPr="00865FCB">
                              <w:rPr>
                                <w:rFonts w:ascii="Arial" w:hAnsi="Arial" w:cs="Arial"/>
                                <w:bCs/>
                                <w:sz w:val="20"/>
                                <w:szCs w:val="20"/>
                                <w:lang w:val="en-GB"/>
                              </w:rPr>
                              <w:t xml:space="preserve">MVA) as allowed in the grid code, </w:t>
                            </w:r>
                            <w:r>
                              <w:rPr>
                                <w:rFonts w:ascii="Arial" w:hAnsi="Arial" w:cs="Arial"/>
                                <w:bCs/>
                                <w:sz w:val="20"/>
                                <w:szCs w:val="20"/>
                                <w:lang w:val="en-GB"/>
                              </w:rPr>
                              <w:t>will</w:t>
                            </w:r>
                            <w:r w:rsidRPr="00865FCB">
                              <w:rPr>
                                <w:rFonts w:ascii="Arial" w:hAnsi="Arial" w:cs="Arial"/>
                                <w:bCs/>
                                <w:sz w:val="20"/>
                                <w:szCs w:val="20"/>
                                <w:lang w:val="en-GB"/>
                              </w:rPr>
                              <w:t xml:space="preserve"> be equipped with Power System Stabilizers that are tuned to provide positive damping for electromechanical oscillations, within the frequency range prescribed by the grid code</w:t>
                            </w:r>
                            <w:r>
                              <w:rPr>
                                <w:rFonts w:ascii="Arial" w:hAnsi="Arial" w:cs="Arial"/>
                                <w:bCs/>
                                <w:sz w:val="20"/>
                                <w:szCs w:val="20"/>
                                <w:lang w:val="en-GB"/>
                              </w:rPr>
                              <w:t xml:space="preserve">. </w:t>
                            </w:r>
                          </w:p>
                          <w:p w14:paraId="3713167D" w14:textId="65815D25"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 xml:space="preserve">Phasor Measurement Units </w:t>
                            </w:r>
                            <w:r>
                              <w:rPr>
                                <w:rFonts w:ascii="Arial" w:hAnsi="Arial" w:cs="Arial"/>
                                <w:bCs/>
                                <w:sz w:val="20"/>
                                <w:szCs w:val="20"/>
                                <w:lang w:val="en-GB"/>
                              </w:rPr>
                              <w:t xml:space="preserve">will be installed </w:t>
                            </w:r>
                            <w:r w:rsidRPr="00865FCB">
                              <w:rPr>
                                <w:rFonts w:ascii="Arial" w:hAnsi="Arial" w:cs="Arial"/>
                                <w:bCs/>
                                <w:sz w:val="20"/>
                                <w:szCs w:val="20"/>
                                <w:lang w:val="en-GB"/>
                              </w:rPr>
                              <w:t>at the tie-lines to improve the observability of inter-area modes and provide useful data for other applications such as real-time monitoring, post-mortem analysis of widespread blackouts and model validation, among others.</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206A46" id="Text Box 24" o:spid="_x0000_s1030" type="#_x0000_t202" style="width:481.3pt;height:6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" fillcolor="#ebf1de" strokeweight=".5pt">
                <v:textbox>
                  <w:txbxContent>
                    <w:p w14:paraId="14D7E0C1" w14:textId="16E550E7" w:rsidR="005276A4" w:rsidRPr="00865FCB" w:rsidRDefault="005276A4" w:rsidP="00865FCB">
                      <w:pPr>
                        <w:jc w:val="left"/>
                        <w:rPr>
                          <w:bCs/>
                        </w:rPr>
                      </w:pPr>
                      <w:r w:rsidRPr="00865FCB">
                        <w:rPr>
                          <w:bCs/>
                        </w:rPr>
                        <w:t>Guidelines 3</w:t>
                      </w:r>
                      <w:r>
                        <w:rPr>
                          <w:bCs/>
                        </w:rPr>
                        <w:t>:</w:t>
                      </w:r>
                      <w:r w:rsidRPr="00865FCB">
                        <w:rPr>
                          <w:bCs/>
                        </w:rPr>
                        <w:t xml:space="preserve"> Power System Adequacy, Capability and Robustness (Capacity Readiness) </w:t>
                      </w:r>
                    </w:p>
                    <w:p w14:paraId="059B4B72" w14:textId="0023E89C"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 xml:space="preserve">For generation and transmission systems capacity readiness, the </w:t>
                      </w:r>
                      <w:r>
                        <w:rPr>
                          <w:rFonts w:ascii="Arial" w:hAnsi="Arial" w:cs="Arial"/>
                          <w:bCs/>
                          <w:sz w:val="20"/>
                          <w:szCs w:val="20"/>
                          <w:lang w:val="en-GB"/>
                        </w:rPr>
                        <w:t xml:space="preserve">Power Pools’ </w:t>
                      </w:r>
                      <w:r w:rsidRPr="00865FCB">
                        <w:rPr>
                          <w:rFonts w:ascii="Arial" w:hAnsi="Arial" w:cs="Arial"/>
                          <w:bCs/>
                          <w:sz w:val="20"/>
                          <w:szCs w:val="20"/>
                          <w:lang w:val="en-GB"/>
                        </w:rPr>
                        <w:t xml:space="preserve">expansion plans </w:t>
                      </w:r>
                      <w:r>
                        <w:rPr>
                          <w:rFonts w:ascii="Arial" w:hAnsi="Arial" w:cs="Arial"/>
                          <w:bCs/>
                          <w:sz w:val="20"/>
                          <w:szCs w:val="20"/>
                          <w:lang w:val="en-GB"/>
                        </w:rPr>
                        <w:t>will</w:t>
                      </w:r>
                      <w:r w:rsidRPr="00865FCB">
                        <w:rPr>
                          <w:rFonts w:ascii="Arial" w:hAnsi="Arial" w:cs="Arial"/>
                          <w:bCs/>
                          <w:sz w:val="20"/>
                          <w:szCs w:val="20"/>
                          <w:lang w:val="en-GB"/>
                        </w:rPr>
                        <w:t xml:space="preserve"> be synchronised with the Continental Master</w:t>
                      </w:r>
                      <w:r>
                        <w:rPr>
                          <w:rFonts w:ascii="Arial" w:hAnsi="Arial" w:cs="Arial"/>
                          <w:bCs/>
                          <w:sz w:val="20"/>
                          <w:szCs w:val="20"/>
                          <w:lang w:val="en-GB"/>
                        </w:rPr>
                        <w:t xml:space="preserve"> P</w:t>
                      </w:r>
                      <w:r w:rsidRPr="00865FCB">
                        <w:rPr>
                          <w:rFonts w:ascii="Arial" w:hAnsi="Arial" w:cs="Arial"/>
                          <w:bCs/>
                          <w:sz w:val="20"/>
                          <w:szCs w:val="20"/>
                          <w:lang w:val="en-GB"/>
                        </w:rPr>
                        <w:t>lan. This will serve as the basis for inter-</w:t>
                      </w:r>
                      <w:r>
                        <w:rPr>
                          <w:rFonts w:ascii="Arial" w:hAnsi="Arial" w:cs="Arial"/>
                          <w:bCs/>
                          <w:sz w:val="20"/>
                          <w:szCs w:val="20"/>
                          <w:lang w:val="en-GB"/>
                        </w:rPr>
                        <w:t>P</w:t>
                      </w:r>
                      <w:r w:rsidRPr="00865FCB">
                        <w:rPr>
                          <w:rFonts w:ascii="Arial" w:hAnsi="Arial" w:cs="Arial"/>
                          <w:bCs/>
                          <w:sz w:val="20"/>
                          <w:szCs w:val="20"/>
                          <w:lang w:val="en-GB"/>
                        </w:rPr>
                        <w:t xml:space="preserve">ower </w:t>
                      </w:r>
                      <w:r>
                        <w:rPr>
                          <w:rFonts w:ascii="Arial" w:hAnsi="Arial" w:cs="Arial"/>
                          <w:bCs/>
                          <w:sz w:val="20"/>
                          <w:szCs w:val="20"/>
                          <w:lang w:val="en-GB"/>
                        </w:rPr>
                        <w:t>P</w:t>
                      </w:r>
                      <w:r w:rsidRPr="00865FCB">
                        <w:rPr>
                          <w:rFonts w:ascii="Arial" w:hAnsi="Arial" w:cs="Arial"/>
                          <w:bCs/>
                          <w:sz w:val="20"/>
                          <w:szCs w:val="20"/>
                          <w:lang w:val="en-GB"/>
                        </w:rPr>
                        <w:t xml:space="preserve">ool coupling for trading and technical operations. The </w:t>
                      </w:r>
                      <w:r>
                        <w:rPr>
                          <w:rFonts w:ascii="Arial" w:hAnsi="Arial" w:cs="Arial"/>
                          <w:bCs/>
                          <w:sz w:val="20"/>
                          <w:szCs w:val="20"/>
                          <w:lang w:val="en-GB"/>
                        </w:rPr>
                        <w:t>R</w:t>
                      </w:r>
                      <w:r w:rsidRPr="00865FCB">
                        <w:rPr>
                          <w:rFonts w:ascii="Arial" w:hAnsi="Arial" w:cs="Arial"/>
                          <w:bCs/>
                          <w:sz w:val="20"/>
                          <w:szCs w:val="20"/>
                          <w:lang w:val="en-GB"/>
                        </w:rPr>
                        <w:t xml:space="preserve">egional and </w:t>
                      </w:r>
                      <w:r>
                        <w:rPr>
                          <w:rFonts w:ascii="Arial" w:hAnsi="Arial" w:cs="Arial"/>
                          <w:bCs/>
                          <w:sz w:val="20"/>
                          <w:szCs w:val="20"/>
                          <w:lang w:val="en-GB"/>
                        </w:rPr>
                        <w:t>C</w:t>
                      </w:r>
                      <w:r w:rsidRPr="00865FCB">
                        <w:rPr>
                          <w:rFonts w:ascii="Arial" w:hAnsi="Arial" w:cs="Arial"/>
                          <w:bCs/>
                          <w:sz w:val="20"/>
                          <w:szCs w:val="20"/>
                          <w:lang w:val="en-GB"/>
                        </w:rPr>
                        <w:t xml:space="preserve">ontinental </w:t>
                      </w:r>
                      <w:r>
                        <w:rPr>
                          <w:rFonts w:ascii="Arial" w:hAnsi="Arial" w:cs="Arial"/>
                          <w:bCs/>
                          <w:sz w:val="20"/>
                          <w:szCs w:val="20"/>
                          <w:lang w:val="en-GB"/>
                        </w:rPr>
                        <w:t>M</w:t>
                      </w:r>
                      <w:r w:rsidRPr="00865FCB">
                        <w:rPr>
                          <w:rFonts w:ascii="Arial" w:hAnsi="Arial" w:cs="Arial"/>
                          <w:bCs/>
                          <w:sz w:val="20"/>
                          <w:szCs w:val="20"/>
                          <w:lang w:val="en-GB"/>
                        </w:rPr>
                        <w:t>aster</w:t>
                      </w:r>
                      <w:r>
                        <w:rPr>
                          <w:rFonts w:ascii="Arial" w:hAnsi="Arial" w:cs="Arial"/>
                          <w:bCs/>
                          <w:sz w:val="20"/>
                          <w:szCs w:val="20"/>
                          <w:lang w:val="en-GB"/>
                        </w:rPr>
                        <w:t xml:space="preserve"> P</w:t>
                      </w:r>
                      <w:r w:rsidRPr="00865FCB">
                        <w:rPr>
                          <w:rFonts w:ascii="Arial" w:hAnsi="Arial" w:cs="Arial"/>
                          <w:bCs/>
                          <w:sz w:val="20"/>
                          <w:szCs w:val="20"/>
                          <w:lang w:val="en-GB"/>
                        </w:rPr>
                        <w:t xml:space="preserve">lans </w:t>
                      </w:r>
                      <w:r>
                        <w:rPr>
                          <w:rFonts w:ascii="Arial" w:hAnsi="Arial" w:cs="Arial"/>
                          <w:bCs/>
                          <w:sz w:val="20"/>
                          <w:szCs w:val="20"/>
                          <w:lang w:val="en-GB"/>
                        </w:rPr>
                        <w:t>will</w:t>
                      </w:r>
                      <w:r w:rsidRPr="00865FCB">
                        <w:rPr>
                          <w:rFonts w:ascii="Arial" w:hAnsi="Arial" w:cs="Arial"/>
                          <w:bCs/>
                          <w:sz w:val="20"/>
                          <w:szCs w:val="20"/>
                          <w:lang w:val="en-GB"/>
                        </w:rPr>
                        <w:t xml:space="preserve"> be updated periodically on uniform basis, as more firm arrangements are made and construction is also completed for additional generati</w:t>
                      </w:r>
                      <w:r>
                        <w:rPr>
                          <w:rFonts w:ascii="Arial" w:hAnsi="Arial" w:cs="Arial"/>
                          <w:bCs/>
                          <w:sz w:val="20"/>
                          <w:szCs w:val="20"/>
                          <w:lang w:val="en-GB"/>
                        </w:rPr>
                        <w:t>o</w:t>
                      </w:r>
                      <w:r w:rsidRPr="00865FCB">
                        <w:rPr>
                          <w:rFonts w:ascii="Arial" w:hAnsi="Arial" w:cs="Arial"/>
                          <w:bCs/>
                          <w:sz w:val="20"/>
                          <w:szCs w:val="20"/>
                          <w:lang w:val="en-GB"/>
                        </w:rPr>
                        <w:t>n projects</w:t>
                      </w:r>
                      <w:r>
                        <w:rPr>
                          <w:rFonts w:ascii="Arial" w:hAnsi="Arial" w:cs="Arial"/>
                          <w:bCs/>
                          <w:sz w:val="20"/>
                          <w:szCs w:val="20"/>
                          <w:lang w:val="en-GB"/>
                        </w:rPr>
                        <w:t xml:space="preserve">. </w:t>
                      </w:r>
                    </w:p>
                    <w:p w14:paraId="31A9F8E8" w14:textId="49E26EBB"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 xml:space="preserve">Investment in transmission network </w:t>
                      </w:r>
                      <w:r>
                        <w:rPr>
                          <w:rFonts w:ascii="Arial" w:hAnsi="Arial" w:cs="Arial"/>
                          <w:bCs/>
                          <w:sz w:val="20"/>
                          <w:szCs w:val="20"/>
                          <w:lang w:val="en-GB"/>
                        </w:rPr>
                        <w:t>will</w:t>
                      </w:r>
                      <w:r w:rsidRPr="00865FCB">
                        <w:rPr>
                          <w:rFonts w:ascii="Arial" w:hAnsi="Arial" w:cs="Arial"/>
                          <w:bCs/>
                          <w:sz w:val="20"/>
                          <w:szCs w:val="20"/>
                          <w:lang w:val="en-GB"/>
                        </w:rPr>
                        <w:t xml:space="preserve"> ensure that </w:t>
                      </w:r>
                      <w:r>
                        <w:rPr>
                          <w:rFonts w:ascii="Arial" w:hAnsi="Arial" w:cs="Arial"/>
                          <w:bCs/>
                          <w:sz w:val="20"/>
                          <w:szCs w:val="20"/>
                          <w:lang w:val="en-GB"/>
                        </w:rPr>
                        <w:t>the i</w:t>
                      </w:r>
                      <w:r w:rsidRPr="00865FCB">
                        <w:rPr>
                          <w:rFonts w:ascii="Arial" w:hAnsi="Arial" w:cs="Arial"/>
                          <w:bCs/>
                          <w:sz w:val="20"/>
                          <w:szCs w:val="20"/>
                          <w:lang w:val="en-GB"/>
                        </w:rPr>
                        <w:t xml:space="preserve">nterconnector firm or net transfer capacity will be adequate. This </w:t>
                      </w:r>
                      <w:r>
                        <w:rPr>
                          <w:rFonts w:ascii="Arial" w:hAnsi="Arial" w:cs="Arial"/>
                          <w:bCs/>
                          <w:sz w:val="20"/>
                          <w:szCs w:val="20"/>
                          <w:lang w:val="en-GB"/>
                        </w:rPr>
                        <w:t>will</w:t>
                      </w:r>
                      <w:r w:rsidRPr="00865FCB">
                        <w:rPr>
                          <w:rFonts w:ascii="Arial" w:hAnsi="Arial" w:cs="Arial"/>
                          <w:bCs/>
                          <w:sz w:val="20"/>
                          <w:szCs w:val="20"/>
                          <w:lang w:val="en-GB"/>
                        </w:rPr>
                        <w:t xml:space="preserve"> be done by aligning the </w:t>
                      </w:r>
                      <w:r>
                        <w:rPr>
                          <w:rFonts w:ascii="Arial" w:hAnsi="Arial" w:cs="Arial"/>
                          <w:bCs/>
                          <w:sz w:val="20"/>
                          <w:szCs w:val="20"/>
                          <w:lang w:val="en-GB"/>
                        </w:rPr>
                        <w:t>R</w:t>
                      </w:r>
                      <w:r w:rsidRPr="00865FCB">
                        <w:rPr>
                          <w:rFonts w:ascii="Arial" w:hAnsi="Arial" w:cs="Arial"/>
                          <w:bCs/>
                          <w:sz w:val="20"/>
                          <w:szCs w:val="20"/>
                          <w:lang w:val="en-GB"/>
                        </w:rPr>
                        <w:t>egional Master</w:t>
                      </w:r>
                      <w:r>
                        <w:rPr>
                          <w:rFonts w:ascii="Arial" w:hAnsi="Arial" w:cs="Arial"/>
                          <w:bCs/>
                          <w:sz w:val="20"/>
                          <w:szCs w:val="20"/>
                          <w:lang w:val="en-GB"/>
                        </w:rPr>
                        <w:t xml:space="preserve"> P</w:t>
                      </w:r>
                      <w:r w:rsidRPr="00865FCB">
                        <w:rPr>
                          <w:rFonts w:ascii="Arial" w:hAnsi="Arial" w:cs="Arial"/>
                          <w:bCs/>
                          <w:sz w:val="20"/>
                          <w:szCs w:val="20"/>
                          <w:lang w:val="en-GB"/>
                        </w:rPr>
                        <w:t>lans with the Continental Master</w:t>
                      </w:r>
                      <w:r>
                        <w:rPr>
                          <w:rFonts w:ascii="Arial" w:hAnsi="Arial" w:cs="Arial"/>
                          <w:bCs/>
                          <w:sz w:val="20"/>
                          <w:szCs w:val="20"/>
                          <w:lang w:val="en-GB"/>
                        </w:rPr>
                        <w:t xml:space="preserve"> P</w:t>
                      </w:r>
                      <w:r w:rsidRPr="00865FCB">
                        <w:rPr>
                          <w:rFonts w:ascii="Arial" w:hAnsi="Arial" w:cs="Arial"/>
                          <w:bCs/>
                          <w:sz w:val="20"/>
                          <w:szCs w:val="20"/>
                          <w:lang w:val="en-GB"/>
                        </w:rPr>
                        <w:t>lan. This will enable the intercon</w:t>
                      </w:r>
                      <w:r>
                        <w:rPr>
                          <w:rFonts w:ascii="Arial" w:hAnsi="Arial" w:cs="Arial"/>
                          <w:bCs/>
                          <w:sz w:val="20"/>
                          <w:szCs w:val="20"/>
                          <w:lang w:val="en-GB"/>
                        </w:rPr>
                        <w:t>n</w:t>
                      </w:r>
                      <w:r w:rsidRPr="00865FCB">
                        <w:rPr>
                          <w:rFonts w:ascii="Arial" w:hAnsi="Arial" w:cs="Arial"/>
                          <w:bCs/>
                          <w:sz w:val="20"/>
                          <w:szCs w:val="20"/>
                          <w:lang w:val="en-GB"/>
                        </w:rPr>
                        <w:t>ectors to transmit financially-secured bilateral transactions</w:t>
                      </w:r>
                      <w:r>
                        <w:rPr>
                          <w:rFonts w:ascii="Arial" w:hAnsi="Arial" w:cs="Arial"/>
                          <w:bCs/>
                          <w:sz w:val="20"/>
                          <w:szCs w:val="20"/>
                          <w:lang w:val="en-GB"/>
                        </w:rPr>
                        <w:t>,</w:t>
                      </w:r>
                      <w:r w:rsidRPr="00865FCB">
                        <w:rPr>
                          <w:rFonts w:ascii="Arial" w:hAnsi="Arial" w:cs="Arial"/>
                          <w:bCs/>
                          <w:sz w:val="20"/>
                          <w:szCs w:val="20"/>
                          <w:lang w:val="en-GB"/>
                        </w:rPr>
                        <w:t xml:space="preserve"> and also take into account the extra capacity required to accommodate highly-probable additional and future </w:t>
                      </w:r>
                      <w:r>
                        <w:rPr>
                          <w:rFonts w:ascii="Arial" w:hAnsi="Arial" w:cs="Arial"/>
                          <w:bCs/>
                          <w:sz w:val="20"/>
                          <w:szCs w:val="20"/>
                          <w:lang w:val="en-GB"/>
                        </w:rPr>
                        <w:t xml:space="preserve">electricity </w:t>
                      </w:r>
                      <w:r w:rsidRPr="00865FCB">
                        <w:rPr>
                          <w:rFonts w:ascii="Arial" w:hAnsi="Arial" w:cs="Arial"/>
                          <w:bCs/>
                          <w:sz w:val="20"/>
                          <w:szCs w:val="20"/>
                          <w:lang w:val="en-GB"/>
                        </w:rPr>
                        <w:t>trade</w:t>
                      </w:r>
                      <w:r>
                        <w:rPr>
                          <w:rFonts w:ascii="Arial" w:hAnsi="Arial" w:cs="Arial"/>
                          <w:bCs/>
                          <w:sz w:val="20"/>
                          <w:szCs w:val="20"/>
                          <w:lang w:val="en-GB"/>
                        </w:rPr>
                        <w:t xml:space="preserve">. </w:t>
                      </w:r>
                    </w:p>
                    <w:p w14:paraId="60BEA15D" w14:textId="53BB631F"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To achieve interconnector capacity adequacy and readiness, the Power Pools (</w:t>
                      </w:r>
                      <w:r>
                        <w:rPr>
                          <w:rFonts w:ascii="Arial" w:hAnsi="Arial" w:cs="Arial"/>
                          <w:bCs/>
                          <w:sz w:val="20"/>
                          <w:szCs w:val="20"/>
                          <w:lang w:val="en-GB"/>
                        </w:rPr>
                        <w:t>R</w:t>
                      </w:r>
                      <w:r w:rsidRPr="00865FCB">
                        <w:rPr>
                          <w:rFonts w:ascii="Arial" w:hAnsi="Arial" w:cs="Arial"/>
                          <w:bCs/>
                          <w:sz w:val="20"/>
                          <w:szCs w:val="20"/>
                          <w:lang w:val="en-GB"/>
                        </w:rPr>
                        <w:t xml:space="preserve">SMOs) and </w:t>
                      </w:r>
                      <w:r>
                        <w:rPr>
                          <w:rFonts w:ascii="Arial" w:hAnsi="Arial" w:cs="Arial"/>
                          <w:bCs/>
                          <w:sz w:val="20"/>
                          <w:szCs w:val="20"/>
                          <w:lang w:val="en-GB"/>
                        </w:rPr>
                        <w:t xml:space="preserve">the </w:t>
                      </w:r>
                      <w:r w:rsidRPr="00865FCB">
                        <w:rPr>
                          <w:rFonts w:ascii="Arial" w:hAnsi="Arial" w:cs="Arial"/>
                          <w:bCs/>
                          <w:sz w:val="20"/>
                          <w:szCs w:val="20"/>
                          <w:lang w:val="en-GB"/>
                        </w:rPr>
                        <w:t>national TSOs will need to work with the national and regional regulator</w:t>
                      </w:r>
                      <w:r>
                        <w:rPr>
                          <w:rFonts w:ascii="Arial" w:hAnsi="Arial" w:cs="Arial"/>
                          <w:bCs/>
                          <w:sz w:val="20"/>
                          <w:szCs w:val="20"/>
                          <w:lang w:val="en-GB"/>
                        </w:rPr>
                        <w:t>y authorities</w:t>
                      </w:r>
                      <w:r w:rsidRPr="00865FCB">
                        <w:rPr>
                          <w:rFonts w:ascii="Arial" w:hAnsi="Arial" w:cs="Arial"/>
                          <w:bCs/>
                          <w:sz w:val="20"/>
                          <w:szCs w:val="20"/>
                          <w:lang w:val="en-GB"/>
                        </w:rPr>
                        <w:t xml:space="preserve"> to ensure that interconnectors fulfil the </w:t>
                      </w:r>
                      <w:r>
                        <w:rPr>
                          <w:rFonts w:ascii="Arial" w:hAnsi="Arial" w:cs="Arial"/>
                          <w:bCs/>
                          <w:sz w:val="20"/>
                          <w:szCs w:val="20"/>
                          <w:lang w:val="en-GB"/>
                        </w:rPr>
                        <w:t>(</w:t>
                      </w:r>
                      <w:r w:rsidRPr="00865FCB">
                        <w:rPr>
                          <w:rFonts w:ascii="Arial" w:hAnsi="Arial" w:cs="Arial"/>
                          <w:bCs/>
                          <w:sz w:val="20"/>
                          <w:szCs w:val="20"/>
                          <w:lang w:val="en-GB"/>
                        </w:rPr>
                        <w:t>N-1</w:t>
                      </w:r>
                      <w:r>
                        <w:rPr>
                          <w:rFonts w:ascii="Arial" w:hAnsi="Arial" w:cs="Arial"/>
                          <w:bCs/>
                          <w:sz w:val="20"/>
                          <w:szCs w:val="20"/>
                          <w:lang w:val="en-GB"/>
                        </w:rPr>
                        <w:t>)</w:t>
                      </w:r>
                      <w:r w:rsidRPr="00865FCB">
                        <w:rPr>
                          <w:rFonts w:ascii="Arial" w:hAnsi="Arial" w:cs="Arial"/>
                          <w:bCs/>
                          <w:sz w:val="20"/>
                          <w:szCs w:val="20"/>
                          <w:lang w:val="en-GB"/>
                        </w:rPr>
                        <w:t xml:space="preserve"> criteria. Non-firm capacity can affect the nature of </w:t>
                      </w:r>
                      <w:r>
                        <w:rPr>
                          <w:rFonts w:ascii="Arial" w:hAnsi="Arial" w:cs="Arial"/>
                          <w:bCs/>
                          <w:sz w:val="20"/>
                          <w:szCs w:val="20"/>
                          <w:lang w:val="en-GB"/>
                        </w:rPr>
                        <w:t>electricity</w:t>
                      </w:r>
                      <w:r w:rsidRPr="00865FCB">
                        <w:rPr>
                          <w:rFonts w:ascii="Arial" w:hAnsi="Arial" w:cs="Arial"/>
                          <w:bCs/>
                          <w:sz w:val="20"/>
                          <w:szCs w:val="20"/>
                          <w:lang w:val="en-GB"/>
                        </w:rPr>
                        <w:t xml:space="preserve"> trade agreements that are deemed feasible. Non-firm capacity can also influence power system stability and tie-line separation, which can lead to a scenario where a problem in one Control Area could cascade into other areas and cause network instability in another Control Area</w:t>
                      </w:r>
                      <w:r>
                        <w:rPr>
                          <w:rFonts w:ascii="Arial" w:hAnsi="Arial" w:cs="Arial"/>
                          <w:bCs/>
                          <w:sz w:val="20"/>
                          <w:szCs w:val="20"/>
                          <w:lang w:val="en-GB"/>
                        </w:rPr>
                        <w:t xml:space="preserve">. </w:t>
                      </w:r>
                    </w:p>
                    <w:p w14:paraId="0C4158C3" w14:textId="04CC0E16"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 xml:space="preserve">For </w:t>
                      </w:r>
                      <w:r>
                        <w:rPr>
                          <w:rFonts w:ascii="Arial" w:hAnsi="Arial" w:cs="Arial"/>
                          <w:bCs/>
                          <w:sz w:val="20"/>
                          <w:szCs w:val="20"/>
                          <w:lang w:val="en-GB"/>
                        </w:rPr>
                        <w:t xml:space="preserve">transmission </w:t>
                      </w:r>
                      <w:r w:rsidRPr="00865FCB">
                        <w:rPr>
                          <w:rFonts w:ascii="Arial" w:hAnsi="Arial" w:cs="Arial"/>
                          <w:bCs/>
                          <w:sz w:val="20"/>
                          <w:szCs w:val="20"/>
                          <w:lang w:val="en-GB"/>
                        </w:rPr>
                        <w:t>network capability, the operational voltage limits of the interconnector should be verified for stability, as prescribed by the regional grid code. In addit</w:t>
                      </w:r>
                      <w:r>
                        <w:rPr>
                          <w:rFonts w:ascii="Arial" w:hAnsi="Arial" w:cs="Arial"/>
                          <w:bCs/>
                          <w:sz w:val="20"/>
                          <w:szCs w:val="20"/>
                          <w:lang w:val="en-GB"/>
                        </w:rPr>
                        <w:t>i</w:t>
                      </w:r>
                      <w:r w:rsidRPr="00865FCB">
                        <w:rPr>
                          <w:rFonts w:ascii="Arial" w:hAnsi="Arial" w:cs="Arial"/>
                          <w:bCs/>
                          <w:sz w:val="20"/>
                          <w:szCs w:val="20"/>
                          <w:lang w:val="en-GB"/>
                        </w:rPr>
                        <w:t xml:space="preserve">on, the </w:t>
                      </w:r>
                      <w:r>
                        <w:rPr>
                          <w:rFonts w:ascii="Arial" w:hAnsi="Arial" w:cs="Arial"/>
                          <w:bCs/>
                          <w:sz w:val="20"/>
                          <w:szCs w:val="20"/>
                          <w:lang w:val="en-GB"/>
                        </w:rPr>
                        <w:t>q</w:t>
                      </w:r>
                      <w:r w:rsidRPr="00865FCB">
                        <w:rPr>
                          <w:rFonts w:ascii="Arial" w:hAnsi="Arial" w:cs="Arial"/>
                          <w:bCs/>
                          <w:sz w:val="20"/>
                          <w:szCs w:val="20"/>
                          <w:lang w:val="en-GB"/>
                        </w:rPr>
                        <w:t>uality-of-supply criteria and the harmonic limits of the interconnector need to be specified as per the technical regulations and the grid code</w:t>
                      </w:r>
                      <w:r>
                        <w:rPr>
                          <w:rFonts w:ascii="Arial" w:hAnsi="Arial" w:cs="Arial"/>
                          <w:bCs/>
                          <w:sz w:val="20"/>
                          <w:szCs w:val="20"/>
                          <w:lang w:val="en-GB"/>
                        </w:rPr>
                        <w:t xml:space="preserve">. </w:t>
                      </w:r>
                    </w:p>
                    <w:p w14:paraId="41F6DA80" w14:textId="2CD9A851"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The operational voltage limits of the interconnector during switching operations need to be verified for stability. This should be done as per the regional grid code and technical regulations</w:t>
                      </w:r>
                      <w:r>
                        <w:rPr>
                          <w:rFonts w:ascii="Arial" w:hAnsi="Arial" w:cs="Arial"/>
                          <w:bCs/>
                          <w:sz w:val="20"/>
                          <w:szCs w:val="20"/>
                          <w:lang w:val="en-GB"/>
                        </w:rPr>
                        <w:t xml:space="preserve">. </w:t>
                      </w:r>
                    </w:p>
                    <w:p w14:paraId="36293A0A" w14:textId="4D0ADF38"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The regional regulator</w:t>
                      </w:r>
                      <w:r>
                        <w:rPr>
                          <w:rFonts w:ascii="Arial" w:hAnsi="Arial" w:cs="Arial"/>
                          <w:bCs/>
                          <w:sz w:val="20"/>
                          <w:szCs w:val="20"/>
                          <w:lang w:val="en-GB"/>
                        </w:rPr>
                        <w:t>y authority will</w:t>
                      </w:r>
                      <w:r w:rsidRPr="00865FCB">
                        <w:rPr>
                          <w:rFonts w:ascii="Arial" w:hAnsi="Arial" w:cs="Arial"/>
                          <w:bCs/>
                          <w:sz w:val="20"/>
                          <w:szCs w:val="20"/>
                          <w:lang w:val="en-GB"/>
                        </w:rPr>
                        <w:t xml:space="preserve"> develop and publish intercon</w:t>
                      </w:r>
                      <w:r>
                        <w:rPr>
                          <w:rFonts w:ascii="Arial" w:hAnsi="Arial" w:cs="Arial"/>
                          <w:bCs/>
                          <w:sz w:val="20"/>
                          <w:szCs w:val="20"/>
                          <w:lang w:val="en-GB"/>
                        </w:rPr>
                        <w:t>n</w:t>
                      </w:r>
                      <w:r w:rsidRPr="00865FCB">
                        <w:rPr>
                          <w:rFonts w:ascii="Arial" w:hAnsi="Arial" w:cs="Arial"/>
                          <w:bCs/>
                          <w:sz w:val="20"/>
                          <w:szCs w:val="20"/>
                          <w:lang w:val="en-GB"/>
                        </w:rPr>
                        <w:t xml:space="preserve">ector transfer limit calculation methodology including determination of the margins and the net transfer limits. As the complexity of the grid increases, it is imperative to define the </w:t>
                      </w:r>
                      <w:r>
                        <w:rPr>
                          <w:rFonts w:ascii="Arial" w:hAnsi="Arial" w:cs="Arial"/>
                          <w:bCs/>
                          <w:sz w:val="20"/>
                          <w:szCs w:val="20"/>
                          <w:lang w:val="en-GB"/>
                        </w:rPr>
                        <w:t>n</w:t>
                      </w:r>
                      <w:r w:rsidRPr="00865FCB">
                        <w:rPr>
                          <w:rFonts w:ascii="Arial" w:hAnsi="Arial" w:cs="Arial"/>
                          <w:bCs/>
                          <w:sz w:val="20"/>
                          <w:szCs w:val="20"/>
                          <w:lang w:val="en-GB"/>
                        </w:rPr>
                        <w:t xml:space="preserve">et </w:t>
                      </w:r>
                      <w:r>
                        <w:rPr>
                          <w:rFonts w:ascii="Arial" w:hAnsi="Arial" w:cs="Arial"/>
                          <w:bCs/>
                          <w:sz w:val="20"/>
                          <w:szCs w:val="20"/>
                          <w:lang w:val="en-GB"/>
                        </w:rPr>
                        <w:t>t</w:t>
                      </w:r>
                      <w:r w:rsidRPr="00865FCB">
                        <w:rPr>
                          <w:rFonts w:ascii="Arial" w:hAnsi="Arial" w:cs="Arial"/>
                          <w:bCs/>
                          <w:sz w:val="20"/>
                          <w:szCs w:val="20"/>
                          <w:lang w:val="en-GB"/>
                        </w:rPr>
                        <w:t xml:space="preserve">ransfer </w:t>
                      </w:r>
                      <w:r>
                        <w:rPr>
                          <w:rFonts w:ascii="Arial" w:hAnsi="Arial" w:cs="Arial"/>
                          <w:bCs/>
                          <w:sz w:val="20"/>
                          <w:szCs w:val="20"/>
                          <w:lang w:val="en-GB"/>
                        </w:rPr>
                        <w:t>c</w:t>
                      </w:r>
                      <w:r w:rsidRPr="00865FCB">
                        <w:rPr>
                          <w:rFonts w:ascii="Arial" w:hAnsi="Arial" w:cs="Arial"/>
                          <w:bCs/>
                          <w:sz w:val="20"/>
                          <w:szCs w:val="20"/>
                          <w:lang w:val="en-GB"/>
                        </w:rPr>
                        <w:t>apacities between neighbouring countries under different scenario, to guarantee safe and stable operation of the interconnected system.</w:t>
                      </w:r>
                      <w:r>
                        <w:rPr>
                          <w:rFonts w:ascii="Arial" w:hAnsi="Arial" w:cs="Arial"/>
                          <w:bCs/>
                          <w:sz w:val="20"/>
                          <w:szCs w:val="20"/>
                          <w:lang w:val="en-GB"/>
                        </w:rPr>
                        <w:t xml:space="preserve"> </w:t>
                      </w:r>
                    </w:p>
                    <w:p w14:paraId="66A46DCB" w14:textId="1BA79A18"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The calculation of the transfer limit should be done in a uniform and transparent manner based on agreed assumptions and taking into account intercon</w:t>
                      </w:r>
                      <w:r>
                        <w:rPr>
                          <w:rFonts w:ascii="Arial" w:hAnsi="Arial" w:cs="Arial"/>
                          <w:bCs/>
                          <w:sz w:val="20"/>
                          <w:szCs w:val="20"/>
                          <w:lang w:val="en-GB"/>
                        </w:rPr>
                        <w:t>n</w:t>
                      </w:r>
                      <w:r w:rsidRPr="00865FCB">
                        <w:rPr>
                          <w:rFonts w:ascii="Arial" w:hAnsi="Arial" w:cs="Arial"/>
                          <w:bCs/>
                          <w:sz w:val="20"/>
                          <w:szCs w:val="20"/>
                          <w:lang w:val="en-GB"/>
                        </w:rPr>
                        <w:t xml:space="preserve">ections with adjacent countries, since available capacity for trading can be affected by other trades as well as internal country flows. </w:t>
                      </w:r>
                    </w:p>
                    <w:p w14:paraId="4D14EE9F" w14:textId="05D46D38"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G</w:t>
                      </w:r>
                      <w:r w:rsidRPr="00865FCB">
                        <w:rPr>
                          <w:rFonts w:ascii="Arial" w:hAnsi="Arial" w:cs="Arial"/>
                          <w:bCs/>
                          <w:sz w:val="20"/>
                          <w:szCs w:val="20"/>
                          <w:lang w:val="en-GB"/>
                        </w:rPr>
                        <w:t>enerating units with nominal capacity equal to or higher than the required capacity threshold (</w:t>
                      </w:r>
                      <w:r>
                        <w:rPr>
                          <w:rFonts w:ascii="Arial" w:hAnsi="Arial" w:cs="Arial"/>
                          <w:bCs/>
                          <w:sz w:val="20"/>
                          <w:szCs w:val="20"/>
                          <w:lang w:val="en-GB"/>
                        </w:rPr>
                        <w:t xml:space="preserve">in </w:t>
                      </w:r>
                      <w:r w:rsidRPr="00865FCB">
                        <w:rPr>
                          <w:rFonts w:ascii="Arial" w:hAnsi="Arial" w:cs="Arial"/>
                          <w:bCs/>
                          <w:sz w:val="20"/>
                          <w:szCs w:val="20"/>
                          <w:lang w:val="en-GB"/>
                        </w:rPr>
                        <w:t xml:space="preserve">MVA) as allowed in the grid code, </w:t>
                      </w:r>
                      <w:r>
                        <w:rPr>
                          <w:rFonts w:ascii="Arial" w:hAnsi="Arial" w:cs="Arial"/>
                          <w:bCs/>
                          <w:sz w:val="20"/>
                          <w:szCs w:val="20"/>
                          <w:lang w:val="en-GB"/>
                        </w:rPr>
                        <w:t>will</w:t>
                      </w:r>
                      <w:r w:rsidRPr="00865FCB">
                        <w:rPr>
                          <w:rFonts w:ascii="Arial" w:hAnsi="Arial" w:cs="Arial"/>
                          <w:bCs/>
                          <w:sz w:val="20"/>
                          <w:szCs w:val="20"/>
                          <w:lang w:val="en-GB"/>
                        </w:rPr>
                        <w:t xml:space="preserve"> be equipped with Power System Stabilizers that are tuned to provide positive damping for electromechanical oscillations, within the frequency range prescribed by the grid code</w:t>
                      </w:r>
                      <w:r>
                        <w:rPr>
                          <w:rFonts w:ascii="Arial" w:hAnsi="Arial" w:cs="Arial"/>
                          <w:bCs/>
                          <w:sz w:val="20"/>
                          <w:szCs w:val="20"/>
                          <w:lang w:val="en-GB"/>
                        </w:rPr>
                        <w:t xml:space="preserve">. </w:t>
                      </w:r>
                    </w:p>
                    <w:p w14:paraId="3713167D" w14:textId="65815D25" w:rsidR="005276A4" w:rsidRPr="00865FCB"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865FCB">
                        <w:rPr>
                          <w:rFonts w:ascii="Arial" w:hAnsi="Arial" w:cs="Arial"/>
                          <w:bCs/>
                          <w:sz w:val="20"/>
                          <w:szCs w:val="20"/>
                          <w:lang w:val="en-GB"/>
                        </w:rPr>
                        <w:t xml:space="preserve">Phasor Measurement Units </w:t>
                      </w:r>
                      <w:r>
                        <w:rPr>
                          <w:rFonts w:ascii="Arial" w:hAnsi="Arial" w:cs="Arial"/>
                          <w:bCs/>
                          <w:sz w:val="20"/>
                          <w:szCs w:val="20"/>
                          <w:lang w:val="en-GB"/>
                        </w:rPr>
                        <w:t xml:space="preserve">will be installed </w:t>
                      </w:r>
                      <w:r w:rsidRPr="00865FCB">
                        <w:rPr>
                          <w:rFonts w:ascii="Arial" w:hAnsi="Arial" w:cs="Arial"/>
                          <w:bCs/>
                          <w:sz w:val="20"/>
                          <w:szCs w:val="20"/>
                          <w:lang w:val="en-GB"/>
                        </w:rPr>
                        <w:t>at the tie-lines to improve the observability of inter-area modes and provide useful data for other applications such as real-time monitoring, post-mortem analysis of widespread blackouts and model validation, among others.</w:t>
                      </w:r>
                      <w:r>
                        <w:rPr>
                          <w:rFonts w:ascii="Arial" w:hAnsi="Arial" w:cs="Arial"/>
                          <w:bCs/>
                          <w:sz w:val="20"/>
                          <w:szCs w:val="20"/>
                          <w:lang w:val="en-GB"/>
                        </w:rPr>
                        <w:t xml:space="preserve"> </w:t>
                      </w:r>
                    </w:p>
                  </w:txbxContent>
                </v:textbox>
                <w10:anchorlock/>
              </v:shape>
            </w:pict>
          </mc:Fallback>
        </mc:AlternateContent>
      </w:r>
    </w:p>
    <w:p w14:paraId="7636F549" w14:textId="74273877" w:rsidR="00483DE9" w:rsidRPr="00316837" w:rsidRDefault="00483DE9" w:rsidP="00483DE9">
      <w:pPr>
        <w:pStyle w:val="Heading2"/>
        <w:rPr>
          <w:rFonts w:eastAsia="Calibri"/>
        </w:rPr>
      </w:pPr>
      <w:bookmarkStart w:id="187" w:name="_Toc77260318"/>
      <w:r w:rsidRPr="00316837">
        <w:rPr>
          <w:rFonts w:eastAsia="Calibri"/>
        </w:rPr>
        <w:t xml:space="preserve">Guidelines 4: </w:t>
      </w:r>
      <w:r w:rsidR="00744D32" w:rsidRPr="00316837">
        <w:rPr>
          <w:rFonts w:eastAsia="Calibri"/>
        </w:rPr>
        <w:t>Market Compatibility for Trading</w:t>
      </w:r>
      <w:bookmarkEnd w:id="187"/>
      <w:r w:rsidR="00744D32" w:rsidRPr="00316837">
        <w:rPr>
          <w:rFonts w:eastAsia="Calibri"/>
        </w:rPr>
        <w:t xml:space="preserve"> </w:t>
      </w:r>
    </w:p>
    <w:p w14:paraId="650C2004" w14:textId="360E3992" w:rsidR="005A362E" w:rsidRPr="00316837" w:rsidRDefault="005A362E" w:rsidP="005A362E">
      <w:pPr>
        <w:rPr>
          <w:rFonts w:eastAsia="Calibri"/>
          <w:szCs w:val="22"/>
        </w:rPr>
      </w:pPr>
      <w:r w:rsidRPr="00316837">
        <w:rPr>
          <w:rFonts w:eastAsia="Calibri"/>
          <w:szCs w:val="22"/>
        </w:rPr>
        <w:t xml:space="preserve">The electricity market should be a trading market, which is put into operation on the basis of a trading platform. It should expectedly accommodate least-cost electricity flows within (intra-) and between (inter-) interconnected Power Pools, given certain technical requirements and conditions are satisfied for system operation. This also assumes meeting given and fluctuating electricity demand in the power system, under </w:t>
      </w:r>
      <w:r w:rsidRPr="00316837">
        <w:rPr>
          <w:rFonts w:eastAsia="Calibri"/>
          <w:szCs w:val="22"/>
        </w:rPr>
        <w:lastRenderedPageBreak/>
        <w:t xml:space="preserve">specified requirements/conditions. The trade-based electricity flows which occur throughout transmission systems reflect the trade volumes (quantity) and the market clearing prices for the different periods of electricity trade (for </w:t>
      </w:r>
      <w:r w:rsidR="00184DCE" w:rsidRPr="00316837">
        <w:rPr>
          <w:rFonts w:eastAsia="Calibri"/>
          <w:szCs w:val="22"/>
        </w:rPr>
        <w:t>example</w:t>
      </w:r>
      <w:r w:rsidRPr="00316837">
        <w:rPr>
          <w:rFonts w:eastAsia="Calibri"/>
          <w:szCs w:val="22"/>
        </w:rPr>
        <w:t xml:space="preserve">, year-, quarter-, month-, week-, day-, hour-, and/or 15 or 5 minutes-ahead). </w:t>
      </w:r>
    </w:p>
    <w:p w14:paraId="1385C5C4" w14:textId="18B22E20" w:rsidR="00483DE9" w:rsidRPr="00316837" w:rsidRDefault="00625352" w:rsidP="00625352">
      <w:pPr>
        <w:rPr>
          <w:rFonts w:eastAsia="Calibri"/>
          <w:szCs w:val="22"/>
        </w:rPr>
      </w:pPr>
      <w:r w:rsidRPr="00316837">
        <w:rPr>
          <w:rFonts w:eastAsia="Calibri"/>
          <w:szCs w:val="22"/>
        </w:rPr>
        <w:t xml:space="preserve">Power Pools are expected to develop their trading environment to facilitate both the bilateral trading based on cross-border bilateral contracts (usually of longer-term) and the trading through an organised platform (usually of shorter-term). Their progress into their market concept should be developed as a stepwise and evolutionary process driven by a concrete willingness to increase the regional trading in the most efficient way and offer more and more sophisticated solutions based on the needs from its members. </w:t>
      </w:r>
    </w:p>
    <w:p w14:paraId="51699613" w14:textId="66C13DFC" w:rsidR="00765926" w:rsidRPr="00316837" w:rsidRDefault="001C5DFE" w:rsidP="001C5DFE">
      <w:pPr>
        <w:rPr>
          <w:rFonts w:eastAsia="Calibri"/>
          <w:szCs w:val="22"/>
        </w:rPr>
      </w:pPr>
      <w:r w:rsidRPr="00316837">
        <w:rPr>
          <w:rFonts w:eastAsia="Calibri"/>
          <w:szCs w:val="22"/>
        </w:rPr>
        <w:t xml:space="preserve">The only advanced trading activities </w:t>
      </w:r>
      <w:r w:rsidR="00625352" w:rsidRPr="00316837">
        <w:rPr>
          <w:rFonts w:eastAsia="Calibri"/>
          <w:szCs w:val="22"/>
        </w:rPr>
        <w:t xml:space="preserve">among Power Pools </w:t>
      </w:r>
      <w:r w:rsidRPr="00316837">
        <w:rPr>
          <w:rFonts w:eastAsia="Calibri"/>
          <w:szCs w:val="22"/>
        </w:rPr>
        <w:t xml:space="preserve">are today taking place in SAPP (including through an organised platform). In other Power Pools, current trading is very limited, mainly based on individual bilateral trading, and is not enabled through an organised platform. This is a natural consequence of SAPP trading operations being in place over a longer term than has been the case with other Power Pools. Also, the market conditions for cross-border electricity trade are better in SAPP since it is more interconnected as a region. </w:t>
      </w:r>
    </w:p>
    <w:p w14:paraId="5F0C61E8" w14:textId="6CC324A2" w:rsidR="00625352" w:rsidRPr="00316837" w:rsidRDefault="00BA4CDB" w:rsidP="00625352">
      <w:pPr>
        <w:rPr>
          <w:rFonts w:eastAsia="Calibri"/>
          <w:szCs w:val="22"/>
        </w:rPr>
      </w:pPr>
      <w:r w:rsidRPr="006273BD">
        <w:rPr>
          <w:rFonts w:eastAsia="Calibri"/>
          <w:noProof/>
          <w:szCs w:val="20"/>
          <w:lang w:eastAsia="en-GB"/>
        </w:rPr>
        <mc:AlternateContent>
          <mc:Choice Requires="wps">
            <w:drawing>
              <wp:anchor distT="45720" distB="45720" distL="114300" distR="114300" simplePos="0" relativeHeight="251664384" behindDoc="1" locked="0" layoutInCell="1" allowOverlap="1" wp14:anchorId="19EFCAD3" wp14:editId="6E0E5F67">
                <wp:simplePos x="0" y="0"/>
                <wp:positionH relativeFrom="margin">
                  <wp:posOffset>3756217</wp:posOffset>
                </wp:positionH>
                <wp:positionV relativeFrom="paragraph">
                  <wp:posOffset>1322218</wp:posOffset>
                </wp:positionV>
                <wp:extent cx="2338705" cy="4975860"/>
                <wp:effectExtent l="0" t="0" r="23495" b="1524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4975860"/>
                        </a:xfrm>
                        <a:prstGeom prst="rect">
                          <a:avLst/>
                        </a:prstGeom>
                        <a:solidFill>
                          <a:srgbClr val="FFFFFF"/>
                        </a:solidFill>
                        <a:ln w="9525">
                          <a:solidFill>
                            <a:srgbClr val="000000"/>
                          </a:solidFill>
                          <a:miter lim="800000"/>
                          <a:headEnd/>
                          <a:tailEnd/>
                        </a:ln>
                      </wps:spPr>
                      <wps:txbx>
                        <w:txbxContent>
                          <w:p w14:paraId="70138862" w14:textId="242E262C" w:rsidR="005276A4" w:rsidRPr="004D60AA" w:rsidRDefault="005276A4" w:rsidP="004D60AA">
                            <w:pPr>
                              <w:jc w:val="center"/>
                              <w:rPr>
                                <w:lang w:val="en-US"/>
                              </w:rPr>
                            </w:pPr>
                            <w:r>
                              <w:rPr>
                                <w:lang w:val="en-US"/>
                              </w:rPr>
                              <w:t>National TSOs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FCAD3" id="_x0000_s1031" type="#_x0000_t202" style="position:absolute;left:0;text-align:left;margin-left:295.75pt;margin-top:104.1pt;width:184.15pt;height:391.8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">
                <v:textbox>
                  <w:txbxContent>
                    <w:p w14:paraId="70138862" w14:textId="242E262C" w:rsidR="005276A4" w:rsidRPr="004D60AA" w:rsidRDefault="005276A4" w:rsidP="004D60AA">
                      <w:pPr>
                        <w:jc w:val="center"/>
                        <w:rPr>
                          <w:lang w:val="en-US"/>
                        </w:rPr>
                      </w:pPr>
                      <w:r>
                        <w:rPr>
                          <w:lang w:val="en-US"/>
                        </w:rPr>
                        <w:t>National TSOs</w:t>
                      </w:r>
                    </w:p>
                  </w:txbxContent>
                </v:textbox>
                <w10:wrap anchorx="margin"/>
              </v:shape>
            </w:pict>
          </mc:Fallback>
        </mc:AlternateContent>
      </w:r>
      <w:r w:rsidR="00F0392C" w:rsidRPr="006273BD">
        <w:rPr>
          <w:rFonts w:eastAsia="Calibri"/>
          <w:noProof/>
          <w:szCs w:val="20"/>
          <w:lang w:eastAsia="en-GB"/>
        </w:rPr>
        <mc:AlternateContent>
          <mc:Choice Requires="wps">
            <w:drawing>
              <wp:anchor distT="45720" distB="45720" distL="114300" distR="114300" simplePos="0" relativeHeight="251662336" behindDoc="1" locked="0" layoutInCell="1" allowOverlap="1" wp14:anchorId="20AFADC0" wp14:editId="6459AC12">
                <wp:simplePos x="0" y="0"/>
                <wp:positionH relativeFrom="column">
                  <wp:posOffset>-55556</wp:posOffset>
                </wp:positionH>
                <wp:positionV relativeFrom="paragraph">
                  <wp:posOffset>1322218</wp:posOffset>
                </wp:positionV>
                <wp:extent cx="3725707" cy="4976037"/>
                <wp:effectExtent l="0" t="0" r="27305" b="1524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707" cy="4976037"/>
                        </a:xfrm>
                        <a:prstGeom prst="rect">
                          <a:avLst/>
                        </a:prstGeom>
                        <a:solidFill>
                          <a:srgbClr val="FFFFFF"/>
                        </a:solidFill>
                        <a:ln w="9525">
                          <a:solidFill>
                            <a:srgbClr val="000000"/>
                          </a:solidFill>
                          <a:miter lim="800000"/>
                          <a:headEnd/>
                          <a:tailEnd/>
                        </a:ln>
                      </wps:spPr>
                      <wps:txbx>
                        <w:txbxContent>
                          <w:p w14:paraId="292EF7EC" w14:textId="12563921" w:rsidR="005276A4" w:rsidRDefault="005276A4" w:rsidP="00625352">
                            <w:pPr>
                              <w:jc w:val="center"/>
                            </w:pPr>
                            <w:r>
                              <w:t>Power Pool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FADC0" id="_x0000_s1032" type="#_x0000_t202" style="position:absolute;left:0;text-align:left;margin-left:-4.35pt;margin-top:104.1pt;width:293.35pt;height:391.8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">
                <v:textbox>
                  <w:txbxContent>
                    <w:p w14:paraId="292EF7EC" w14:textId="12563921" w:rsidR="005276A4" w:rsidRDefault="005276A4" w:rsidP="00625352">
                      <w:pPr>
                        <w:jc w:val="center"/>
                      </w:pPr>
                      <w:r>
                        <w:t>Power Pool</w:t>
                      </w:r>
                    </w:p>
                  </w:txbxContent>
                </v:textbox>
              </v:shape>
            </w:pict>
          </mc:Fallback>
        </mc:AlternateContent>
      </w:r>
      <w:r w:rsidR="00625352" w:rsidRPr="00654753">
        <w:rPr>
          <w:rFonts w:eastAsia="Calibri"/>
          <w:szCs w:val="20"/>
        </w:rPr>
        <w:t xml:space="preserve">Over the past number of years, SAPP has developed a holistic market concept approach (see </w:t>
      </w:r>
      <w:r w:rsidRPr="00681DAA">
        <w:rPr>
          <w:rFonts w:eastAsia="Calibri"/>
          <w:szCs w:val="20"/>
        </w:rPr>
        <w:fldChar w:fldCharType="begin"/>
      </w:r>
      <w:r w:rsidRPr="00316837">
        <w:rPr>
          <w:rFonts w:eastAsia="Calibri"/>
          <w:szCs w:val="20"/>
        </w:rPr>
        <w:instrText xml:space="preserve"> REF _Ref76481613 \h  \* MERGEFORMAT </w:instrText>
      </w:r>
      <w:r w:rsidRPr="00681DAA">
        <w:rPr>
          <w:rFonts w:eastAsia="Calibri"/>
          <w:szCs w:val="20"/>
        </w:rPr>
      </w:r>
      <w:r w:rsidRPr="00681DAA">
        <w:rPr>
          <w:rFonts w:eastAsia="Calibri"/>
          <w:szCs w:val="20"/>
        </w:rPr>
        <w:fldChar w:fldCharType="separate"/>
      </w:r>
      <w:r w:rsidR="00316837" w:rsidRPr="006273BD">
        <w:rPr>
          <w:rFonts w:eastAsia="Calibri"/>
          <w:bCs/>
          <w:szCs w:val="20"/>
        </w:rPr>
        <w:t>Figure 5</w:t>
      </w:r>
      <w:r w:rsidR="00316837" w:rsidRPr="006273BD">
        <w:rPr>
          <w:rFonts w:eastAsia="Calibri"/>
          <w:bCs/>
          <w:szCs w:val="20"/>
        </w:rPr>
        <w:noBreakHyphen/>
        <w:t>1</w:t>
      </w:r>
      <w:r w:rsidRPr="00681DAA">
        <w:rPr>
          <w:rFonts w:eastAsia="Calibri"/>
          <w:szCs w:val="20"/>
        </w:rPr>
        <w:fldChar w:fldCharType="end"/>
      </w:r>
      <w:r w:rsidR="00625352" w:rsidRPr="00654753">
        <w:rPr>
          <w:rFonts w:eastAsia="Calibri"/>
          <w:szCs w:val="20"/>
        </w:rPr>
        <w:t>),</w:t>
      </w:r>
      <w:r w:rsidR="00625352" w:rsidRPr="00681DAA">
        <w:rPr>
          <w:rFonts w:eastAsia="Calibri"/>
          <w:szCs w:val="22"/>
        </w:rPr>
        <w:t xml:space="preserve"> which consists of a number of different markets that target different needs. S</w:t>
      </w:r>
      <w:r w:rsidR="00765926" w:rsidRPr="00316837">
        <w:rPr>
          <w:rFonts w:eastAsia="Calibri"/>
          <w:szCs w:val="22"/>
        </w:rPr>
        <w:t xml:space="preserve">everal bilateral contracts are still being traded </w:t>
      </w:r>
      <w:r w:rsidR="00625352" w:rsidRPr="00316837">
        <w:rPr>
          <w:rFonts w:eastAsia="Calibri"/>
          <w:szCs w:val="22"/>
        </w:rPr>
        <w:t xml:space="preserve">within SAPP </w:t>
      </w:r>
      <w:r w:rsidR="00765926" w:rsidRPr="00316837">
        <w:rPr>
          <w:rFonts w:eastAsia="Calibri"/>
          <w:szCs w:val="22"/>
        </w:rPr>
        <w:t xml:space="preserve">between the </w:t>
      </w:r>
      <w:r w:rsidR="00625352" w:rsidRPr="00316837">
        <w:rPr>
          <w:rFonts w:eastAsia="Calibri"/>
          <w:szCs w:val="22"/>
        </w:rPr>
        <w:t xml:space="preserve">member </w:t>
      </w:r>
      <w:r w:rsidR="00765926" w:rsidRPr="00316837">
        <w:rPr>
          <w:rFonts w:eastAsia="Calibri"/>
          <w:szCs w:val="22"/>
        </w:rPr>
        <w:t xml:space="preserve">countries. </w:t>
      </w:r>
      <w:r w:rsidR="00625352" w:rsidRPr="00316837">
        <w:rPr>
          <w:rFonts w:eastAsia="Calibri"/>
          <w:szCs w:val="22"/>
        </w:rPr>
        <w:t>A</w:t>
      </w:r>
      <w:r w:rsidR="00765926" w:rsidRPr="00316837">
        <w:rPr>
          <w:rFonts w:eastAsia="Calibri"/>
          <w:szCs w:val="22"/>
        </w:rPr>
        <w:t>ddition</w:t>
      </w:r>
      <w:r w:rsidR="00625352" w:rsidRPr="00316837">
        <w:rPr>
          <w:rFonts w:eastAsia="Calibri"/>
          <w:szCs w:val="22"/>
        </w:rPr>
        <w:t>ally</w:t>
      </w:r>
      <w:r w:rsidR="00765926" w:rsidRPr="00316837">
        <w:rPr>
          <w:rFonts w:eastAsia="Calibri"/>
          <w:szCs w:val="22"/>
        </w:rPr>
        <w:t>, four different organised markets have been made available for SAPP member</w:t>
      </w:r>
      <w:r w:rsidR="00625352" w:rsidRPr="00316837">
        <w:rPr>
          <w:rFonts w:eastAsia="Calibri"/>
          <w:szCs w:val="22"/>
        </w:rPr>
        <w:t xml:space="preserve"> utilities</w:t>
      </w:r>
      <w:r w:rsidR="00765926" w:rsidRPr="00316837">
        <w:rPr>
          <w:rFonts w:eastAsia="Calibri"/>
          <w:szCs w:val="22"/>
        </w:rPr>
        <w:t xml:space="preserve">: 1) the Forward Physical Market – Monthly, 2) the Forward Physical Market – Weekly, 3) the Day-Ahead Market, and 4) the Intraday Market. SAPP </w:t>
      </w:r>
      <w:r w:rsidR="00625352" w:rsidRPr="00316837">
        <w:rPr>
          <w:rFonts w:eastAsia="Calibri"/>
          <w:szCs w:val="22"/>
        </w:rPr>
        <w:t xml:space="preserve">also </w:t>
      </w:r>
      <w:r w:rsidR="00765926" w:rsidRPr="00316837">
        <w:rPr>
          <w:rFonts w:eastAsia="Calibri"/>
          <w:szCs w:val="22"/>
        </w:rPr>
        <w:t>has a sophisticated suite of rules that has been developed, refined</w:t>
      </w:r>
      <w:r w:rsidR="00625352" w:rsidRPr="00316837">
        <w:rPr>
          <w:rFonts w:eastAsia="Calibri"/>
          <w:szCs w:val="22"/>
        </w:rPr>
        <w:t>,</w:t>
      </w:r>
      <w:r w:rsidR="00765926" w:rsidRPr="00316837">
        <w:rPr>
          <w:rFonts w:eastAsia="Calibri"/>
          <w:szCs w:val="22"/>
        </w:rPr>
        <w:t xml:space="preserve"> and agreed to and applied over time. </w:t>
      </w:r>
      <w:r w:rsidR="00625352" w:rsidRPr="00316837">
        <w:rPr>
          <w:rFonts w:eastAsia="Calibri"/>
          <w:szCs w:val="22"/>
        </w:rPr>
        <w:t xml:space="preserve">The ownership of the licence for the Market Trading Platform (MTP) resides with SAPP. </w:t>
      </w:r>
    </w:p>
    <w:p w14:paraId="06E64624" w14:textId="77777777" w:rsidR="00BA4CDB" w:rsidRPr="00316837" w:rsidRDefault="00BA4CDB" w:rsidP="00625352">
      <w:pPr>
        <w:rPr>
          <w:rFonts w:eastAsia="Calibri"/>
          <w:szCs w:val="22"/>
        </w:rPr>
      </w:pPr>
    </w:p>
    <w:p w14:paraId="694C2CF2" w14:textId="3CF425B6" w:rsidR="00625352" w:rsidRPr="00316837" w:rsidRDefault="00625352" w:rsidP="00625352">
      <w:pPr>
        <w:rPr>
          <w:rFonts w:eastAsia="Calibri"/>
          <w:szCs w:val="22"/>
        </w:rPr>
      </w:pPr>
    </w:p>
    <w:p w14:paraId="24977EB9" w14:textId="5DB8B09A" w:rsidR="00625352" w:rsidRPr="00654753" w:rsidRDefault="00625352" w:rsidP="00625352">
      <w:pPr>
        <w:rPr>
          <w:rFonts w:eastAsia="Calibri"/>
          <w:szCs w:val="22"/>
        </w:rPr>
      </w:pPr>
      <w:r w:rsidRPr="006273BD">
        <w:rPr>
          <w:rFonts w:eastAsia="Calibri"/>
          <w:noProof/>
          <w:szCs w:val="22"/>
          <w:lang w:eastAsia="en-GB"/>
        </w:rPr>
        <mc:AlternateContent>
          <mc:Choice Requires="wps">
            <w:drawing>
              <wp:inline distT="0" distB="0" distL="0" distR="0" wp14:anchorId="7770CA09" wp14:editId="09E9E491">
                <wp:extent cx="1164265" cy="3195083"/>
                <wp:effectExtent l="0" t="0" r="17145"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265" cy="3195083"/>
                        </a:xfrm>
                        <a:prstGeom prst="rect">
                          <a:avLst/>
                        </a:prstGeom>
                        <a:solidFill>
                          <a:srgbClr val="FFFFFF"/>
                        </a:solidFill>
                        <a:ln w="9525">
                          <a:solidFill>
                            <a:srgbClr val="000000"/>
                          </a:solidFill>
                          <a:miter lim="800000"/>
                          <a:headEnd/>
                          <a:tailEnd/>
                        </a:ln>
                      </wps:spPr>
                      <wps:txbx>
                        <w:txbxContent>
                          <w:p w14:paraId="08D2B364" w14:textId="166B44D5" w:rsidR="005276A4" w:rsidRPr="00625352" w:rsidRDefault="005276A4" w:rsidP="00625352">
                            <w:pPr>
                              <w:pBdr>
                                <w:bottom w:val="single" w:sz="6" w:space="1" w:color="auto"/>
                              </w:pBdr>
                              <w:jc w:val="center"/>
                              <w:rPr>
                                <w:sz w:val="16"/>
                                <w:szCs w:val="16"/>
                              </w:rPr>
                            </w:pPr>
                            <w:r w:rsidRPr="00625352">
                              <w:rPr>
                                <w:sz w:val="16"/>
                                <w:szCs w:val="16"/>
                              </w:rPr>
                              <w:t>FPM</w:t>
                            </w:r>
                          </w:p>
                          <w:p w14:paraId="601E4263" w14:textId="19AA991A" w:rsidR="005276A4" w:rsidRDefault="005276A4" w:rsidP="00625352">
                            <w:pPr>
                              <w:jc w:val="center"/>
                              <w:rPr>
                                <w:sz w:val="16"/>
                                <w:szCs w:val="16"/>
                              </w:rPr>
                            </w:pPr>
                            <w:r w:rsidRPr="00625352">
                              <w:rPr>
                                <w:sz w:val="16"/>
                                <w:szCs w:val="16"/>
                              </w:rPr>
                              <w:t>Forward Physical Contracts</w:t>
                            </w:r>
                          </w:p>
                          <w:p w14:paraId="40C02754" w14:textId="77777777" w:rsidR="005276A4" w:rsidRDefault="005276A4" w:rsidP="00625352">
                            <w:pPr>
                              <w:jc w:val="center"/>
                              <w:rPr>
                                <w:sz w:val="16"/>
                                <w:szCs w:val="16"/>
                              </w:rPr>
                            </w:pPr>
                          </w:p>
                          <w:p w14:paraId="2D8FCF1A" w14:textId="21813DF7" w:rsidR="005276A4" w:rsidRDefault="005276A4" w:rsidP="00625352">
                            <w:pPr>
                              <w:jc w:val="center"/>
                              <w:rPr>
                                <w:sz w:val="16"/>
                                <w:szCs w:val="16"/>
                              </w:rPr>
                            </w:pPr>
                            <w:r>
                              <w:rPr>
                                <w:sz w:val="16"/>
                                <w:szCs w:val="16"/>
                              </w:rPr>
                              <w:t>Monthly and weekly</w:t>
                            </w:r>
                          </w:p>
                          <w:p w14:paraId="37632CA3" w14:textId="380E5C57" w:rsidR="005276A4" w:rsidRDefault="005276A4" w:rsidP="00625352">
                            <w:pPr>
                              <w:jc w:val="center"/>
                              <w:rPr>
                                <w:sz w:val="16"/>
                                <w:szCs w:val="16"/>
                              </w:rPr>
                            </w:pPr>
                            <w:r>
                              <w:rPr>
                                <w:sz w:val="16"/>
                                <w:szCs w:val="16"/>
                              </w:rPr>
                              <w:t>- auction trading -</w:t>
                            </w:r>
                          </w:p>
                          <w:p w14:paraId="057F70CC" w14:textId="77777777" w:rsidR="005276A4" w:rsidRDefault="005276A4" w:rsidP="00625352">
                            <w:pPr>
                              <w:jc w:val="center"/>
                              <w:rPr>
                                <w:sz w:val="16"/>
                                <w:szCs w:val="16"/>
                              </w:rPr>
                            </w:pPr>
                          </w:p>
                          <w:p w14:paraId="2FE35C64" w14:textId="12474F49" w:rsidR="005276A4" w:rsidRDefault="005276A4" w:rsidP="00625352">
                            <w:pPr>
                              <w:jc w:val="center"/>
                              <w:rPr>
                                <w:sz w:val="16"/>
                                <w:szCs w:val="16"/>
                              </w:rPr>
                            </w:pPr>
                            <w:r>
                              <w:rPr>
                                <w:sz w:val="16"/>
                                <w:szCs w:val="16"/>
                              </w:rPr>
                              <w:t>Forwards</w:t>
                            </w:r>
                          </w:p>
                          <w:p w14:paraId="0EABE116" w14:textId="3FA7E18B" w:rsidR="005276A4" w:rsidRDefault="005276A4" w:rsidP="00625352">
                            <w:pPr>
                              <w:jc w:val="center"/>
                              <w:rPr>
                                <w:sz w:val="16"/>
                                <w:szCs w:val="16"/>
                              </w:rPr>
                            </w:pPr>
                            <w:r>
                              <w:rPr>
                                <w:sz w:val="16"/>
                                <w:szCs w:val="16"/>
                              </w:rPr>
                              <w:t>Month – off-peak</w:t>
                            </w:r>
                          </w:p>
                          <w:p w14:paraId="26845E4D" w14:textId="33BB969D" w:rsidR="005276A4" w:rsidRDefault="005276A4" w:rsidP="00625352">
                            <w:pPr>
                              <w:jc w:val="center"/>
                              <w:rPr>
                                <w:sz w:val="16"/>
                                <w:szCs w:val="16"/>
                              </w:rPr>
                            </w:pPr>
                            <w:r>
                              <w:rPr>
                                <w:sz w:val="16"/>
                                <w:szCs w:val="16"/>
                              </w:rPr>
                              <w:t>Month – non-off-peak</w:t>
                            </w:r>
                          </w:p>
                          <w:p w14:paraId="54B967A1" w14:textId="7BBCA250" w:rsidR="005276A4" w:rsidRDefault="005276A4" w:rsidP="00625352">
                            <w:pPr>
                              <w:jc w:val="center"/>
                              <w:rPr>
                                <w:sz w:val="16"/>
                                <w:szCs w:val="16"/>
                              </w:rPr>
                            </w:pPr>
                            <w:r>
                              <w:rPr>
                                <w:sz w:val="16"/>
                                <w:szCs w:val="16"/>
                              </w:rPr>
                              <w:t>Week – peak</w:t>
                            </w:r>
                          </w:p>
                          <w:p w14:paraId="6E826FE1" w14:textId="0AF623E6" w:rsidR="005276A4" w:rsidRDefault="005276A4" w:rsidP="00625352">
                            <w:pPr>
                              <w:jc w:val="center"/>
                              <w:rPr>
                                <w:sz w:val="16"/>
                                <w:szCs w:val="16"/>
                              </w:rPr>
                            </w:pPr>
                            <w:r>
                              <w:rPr>
                                <w:sz w:val="16"/>
                                <w:szCs w:val="16"/>
                              </w:rPr>
                              <w:t>Week – standard</w:t>
                            </w:r>
                          </w:p>
                          <w:p w14:paraId="5F707E09" w14:textId="761D370F" w:rsidR="005276A4" w:rsidRPr="00625352" w:rsidRDefault="005276A4" w:rsidP="00625352">
                            <w:pPr>
                              <w:jc w:val="center"/>
                              <w:rPr>
                                <w:sz w:val="16"/>
                                <w:szCs w:val="16"/>
                              </w:rPr>
                            </w:pPr>
                            <w:r>
                              <w:rPr>
                                <w:sz w:val="16"/>
                                <w:szCs w:val="16"/>
                              </w:rPr>
                              <w:t xml:space="preserve">Week – off-peak </w:t>
                            </w:r>
                          </w:p>
                        </w:txbxContent>
                      </wps:txbx>
                      <wps:bodyPr rot="0" vert="horz" wrap="square" lIns="91440" tIns="45720" rIns="91440" bIns="45720" anchor="t" anchorCtr="0">
                        <a:noAutofit/>
                      </wps:bodyPr>
                    </wps:wsp>
                  </a:graphicData>
                </a:graphic>
              </wp:inline>
            </w:drawing>
          </mc:Choice>
          <mc:Fallback>
            <w:pict>
              <v:shape w14:anchorId="7770CA09" id="Text Box 2" o:spid="_x0000_s1033" type="#_x0000_t202" style="width:91.65pt;height:2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5bdKQIAAE4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">
                <v:textbox>
                  <w:txbxContent>
                    <w:p w14:paraId="08D2B364" w14:textId="166B44D5" w:rsidR="005276A4" w:rsidRPr="00625352" w:rsidRDefault="005276A4" w:rsidP="00625352">
                      <w:pPr>
                        <w:pBdr>
                          <w:bottom w:val="single" w:sz="6" w:space="1" w:color="auto"/>
                        </w:pBdr>
                        <w:jc w:val="center"/>
                        <w:rPr>
                          <w:sz w:val="16"/>
                          <w:szCs w:val="16"/>
                        </w:rPr>
                      </w:pPr>
                      <w:r w:rsidRPr="00625352">
                        <w:rPr>
                          <w:sz w:val="16"/>
                          <w:szCs w:val="16"/>
                        </w:rPr>
                        <w:t>FPM</w:t>
                      </w:r>
                    </w:p>
                    <w:p w14:paraId="601E4263" w14:textId="19AA991A" w:rsidR="005276A4" w:rsidRDefault="005276A4" w:rsidP="00625352">
                      <w:pPr>
                        <w:jc w:val="center"/>
                        <w:rPr>
                          <w:sz w:val="16"/>
                          <w:szCs w:val="16"/>
                        </w:rPr>
                      </w:pPr>
                      <w:r w:rsidRPr="00625352">
                        <w:rPr>
                          <w:sz w:val="16"/>
                          <w:szCs w:val="16"/>
                        </w:rPr>
                        <w:t>Forward Physical Contracts</w:t>
                      </w:r>
                    </w:p>
                    <w:p w14:paraId="40C02754" w14:textId="77777777" w:rsidR="005276A4" w:rsidRDefault="005276A4" w:rsidP="00625352">
                      <w:pPr>
                        <w:jc w:val="center"/>
                        <w:rPr>
                          <w:sz w:val="16"/>
                          <w:szCs w:val="16"/>
                        </w:rPr>
                      </w:pPr>
                    </w:p>
                    <w:p w14:paraId="2D8FCF1A" w14:textId="21813DF7" w:rsidR="005276A4" w:rsidRDefault="005276A4" w:rsidP="00625352">
                      <w:pPr>
                        <w:jc w:val="center"/>
                        <w:rPr>
                          <w:sz w:val="16"/>
                          <w:szCs w:val="16"/>
                        </w:rPr>
                      </w:pPr>
                      <w:r>
                        <w:rPr>
                          <w:sz w:val="16"/>
                          <w:szCs w:val="16"/>
                        </w:rPr>
                        <w:t>Monthly and weekly</w:t>
                      </w:r>
                    </w:p>
                    <w:p w14:paraId="37632CA3" w14:textId="380E5C57" w:rsidR="005276A4" w:rsidRDefault="005276A4" w:rsidP="00625352">
                      <w:pPr>
                        <w:jc w:val="center"/>
                        <w:rPr>
                          <w:sz w:val="16"/>
                          <w:szCs w:val="16"/>
                        </w:rPr>
                      </w:pPr>
                      <w:r>
                        <w:rPr>
                          <w:sz w:val="16"/>
                          <w:szCs w:val="16"/>
                        </w:rPr>
                        <w:t>- auction trading -</w:t>
                      </w:r>
                    </w:p>
                    <w:p w14:paraId="057F70CC" w14:textId="77777777" w:rsidR="005276A4" w:rsidRDefault="005276A4" w:rsidP="00625352">
                      <w:pPr>
                        <w:jc w:val="center"/>
                        <w:rPr>
                          <w:sz w:val="16"/>
                          <w:szCs w:val="16"/>
                        </w:rPr>
                      </w:pPr>
                    </w:p>
                    <w:p w14:paraId="2FE35C64" w14:textId="12474F49" w:rsidR="005276A4" w:rsidRDefault="005276A4" w:rsidP="00625352">
                      <w:pPr>
                        <w:jc w:val="center"/>
                        <w:rPr>
                          <w:sz w:val="16"/>
                          <w:szCs w:val="16"/>
                        </w:rPr>
                      </w:pPr>
                      <w:r>
                        <w:rPr>
                          <w:sz w:val="16"/>
                          <w:szCs w:val="16"/>
                        </w:rPr>
                        <w:t>Forwards</w:t>
                      </w:r>
                    </w:p>
                    <w:p w14:paraId="0EABE116" w14:textId="3FA7E18B" w:rsidR="005276A4" w:rsidRDefault="005276A4" w:rsidP="00625352">
                      <w:pPr>
                        <w:jc w:val="center"/>
                        <w:rPr>
                          <w:sz w:val="16"/>
                          <w:szCs w:val="16"/>
                        </w:rPr>
                      </w:pPr>
                      <w:r>
                        <w:rPr>
                          <w:sz w:val="16"/>
                          <w:szCs w:val="16"/>
                        </w:rPr>
                        <w:t>Month – off-peak</w:t>
                      </w:r>
                    </w:p>
                    <w:p w14:paraId="26845E4D" w14:textId="33BB969D" w:rsidR="005276A4" w:rsidRDefault="005276A4" w:rsidP="00625352">
                      <w:pPr>
                        <w:jc w:val="center"/>
                        <w:rPr>
                          <w:sz w:val="16"/>
                          <w:szCs w:val="16"/>
                        </w:rPr>
                      </w:pPr>
                      <w:r>
                        <w:rPr>
                          <w:sz w:val="16"/>
                          <w:szCs w:val="16"/>
                        </w:rPr>
                        <w:t>Month – non-off-peak</w:t>
                      </w:r>
                    </w:p>
                    <w:p w14:paraId="54B967A1" w14:textId="7BBCA250" w:rsidR="005276A4" w:rsidRDefault="005276A4" w:rsidP="00625352">
                      <w:pPr>
                        <w:jc w:val="center"/>
                        <w:rPr>
                          <w:sz w:val="16"/>
                          <w:szCs w:val="16"/>
                        </w:rPr>
                      </w:pPr>
                      <w:r>
                        <w:rPr>
                          <w:sz w:val="16"/>
                          <w:szCs w:val="16"/>
                        </w:rPr>
                        <w:t>Week – peak</w:t>
                      </w:r>
                    </w:p>
                    <w:p w14:paraId="6E826FE1" w14:textId="0AF623E6" w:rsidR="005276A4" w:rsidRDefault="005276A4" w:rsidP="00625352">
                      <w:pPr>
                        <w:jc w:val="center"/>
                        <w:rPr>
                          <w:sz w:val="16"/>
                          <w:szCs w:val="16"/>
                        </w:rPr>
                      </w:pPr>
                      <w:r>
                        <w:rPr>
                          <w:sz w:val="16"/>
                          <w:szCs w:val="16"/>
                        </w:rPr>
                        <w:t>Week – standard</w:t>
                      </w:r>
                    </w:p>
                    <w:p w14:paraId="5F707E09" w14:textId="761D370F" w:rsidR="005276A4" w:rsidRPr="00625352" w:rsidRDefault="005276A4" w:rsidP="00625352">
                      <w:pPr>
                        <w:jc w:val="center"/>
                        <w:rPr>
                          <w:sz w:val="16"/>
                          <w:szCs w:val="16"/>
                        </w:rPr>
                      </w:pPr>
                      <w:r>
                        <w:rPr>
                          <w:sz w:val="16"/>
                          <w:szCs w:val="16"/>
                        </w:rPr>
                        <w:t xml:space="preserve">Week – off-peak </w:t>
                      </w:r>
                    </w:p>
                  </w:txbxContent>
                </v:textbox>
                <w10:anchorlock/>
              </v:shape>
            </w:pict>
          </mc:Fallback>
        </mc:AlternateContent>
      </w:r>
      <w:r w:rsidRPr="00654753">
        <w:rPr>
          <w:rFonts w:eastAsia="Calibri"/>
          <w:szCs w:val="22"/>
        </w:rPr>
        <w:t xml:space="preserve"> </w:t>
      </w:r>
      <w:r w:rsidRPr="006273BD">
        <w:rPr>
          <w:rFonts w:eastAsia="Calibri"/>
          <w:noProof/>
          <w:szCs w:val="22"/>
          <w:lang w:eastAsia="en-GB"/>
        </w:rPr>
        <mc:AlternateContent>
          <mc:Choice Requires="wps">
            <w:drawing>
              <wp:inline distT="0" distB="0" distL="0" distR="0" wp14:anchorId="470C96A5" wp14:editId="48FC07D1">
                <wp:extent cx="1164265" cy="3195083"/>
                <wp:effectExtent l="0" t="0" r="17145" b="2476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265" cy="3195083"/>
                        </a:xfrm>
                        <a:prstGeom prst="rect">
                          <a:avLst/>
                        </a:prstGeom>
                        <a:solidFill>
                          <a:srgbClr val="FFFFFF"/>
                        </a:solidFill>
                        <a:ln w="9525">
                          <a:solidFill>
                            <a:srgbClr val="000000"/>
                          </a:solidFill>
                          <a:miter lim="800000"/>
                          <a:headEnd/>
                          <a:tailEnd/>
                        </a:ln>
                      </wps:spPr>
                      <wps:txbx>
                        <w:txbxContent>
                          <w:p w14:paraId="0FC9F21D" w14:textId="4C96889B" w:rsidR="005276A4" w:rsidRPr="00625352" w:rsidRDefault="005276A4" w:rsidP="00625352">
                            <w:pPr>
                              <w:pBdr>
                                <w:bottom w:val="single" w:sz="6" w:space="1" w:color="auto"/>
                              </w:pBdr>
                              <w:jc w:val="center"/>
                              <w:rPr>
                                <w:sz w:val="16"/>
                                <w:szCs w:val="16"/>
                              </w:rPr>
                            </w:pPr>
                            <w:r>
                              <w:rPr>
                                <w:sz w:val="16"/>
                                <w:szCs w:val="16"/>
                              </w:rPr>
                              <w:t>DA</w:t>
                            </w:r>
                            <w:r w:rsidRPr="00625352">
                              <w:rPr>
                                <w:sz w:val="16"/>
                                <w:szCs w:val="16"/>
                              </w:rPr>
                              <w:t>M</w:t>
                            </w:r>
                          </w:p>
                          <w:p w14:paraId="5159F590" w14:textId="4055BB5C" w:rsidR="005276A4" w:rsidRDefault="005276A4" w:rsidP="00625352">
                            <w:pPr>
                              <w:jc w:val="center"/>
                              <w:rPr>
                                <w:sz w:val="16"/>
                                <w:szCs w:val="16"/>
                              </w:rPr>
                            </w:pPr>
                            <w:r w:rsidRPr="00625352">
                              <w:rPr>
                                <w:sz w:val="16"/>
                                <w:szCs w:val="16"/>
                              </w:rPr>
                              <w:t>Physical Contracts</w:t>
                            </w:r>
                          </w:p>
                          <w:p w14:paraId="032E638B" w14:textId="77777777" w:rsidR="005276A4" w:rsidRDefault="005276A4" w:rsidP="00625352">
                            <w:pPr>
                              <w:jc w:val="center"/>
                              <w:rPr>
                                <w:sz w:val="16"/>
                                <w:szCs w:val="16"/>
                              </w:rPr>
                            </w:pPr>
                          </w:p>
                          <w:p w14:paraId="25AD70E3" w14:textId="00B9FC94" w:rsidR="005276A4" w:rsidRDefault="005276A4" w:rsidP="00625352">
                            <w:pPr>
                              <w:jc w:val="center"/>
                              <w:rPr>
                                <w:sz w:val="16"/>
                                <w:szCs w:val="16"/>
                              </w:rPr>
                            </w:pPr>
                            <w:r>
                              <w:rPr>
                                <w:sz w:val="16"/>
                                <w:szCs w:val="16"/>
                              </w:rPr>
                              <w:t xml:space="preserve">Market equilibrium one day ahead </w:t>
                            </w:r>
                          </w:p>
                          <w:p w14:paraId="09D08073" w14:textId="7E1E69CA" w:rsidR="005276A4" w:rsidRDefault="005276A4" w:rsidP="00625352">
                            <w:pPr>
                              <w:jc w:val="center"/>
                              <w:rPr>
                                <w:sz w:val="16"/>
                                <w:szCs w:val="16"/>
                              </w:rPr>
                            </w:pPr>
                            <w:r>
                              <w:rPr>
                                <w:sz w:val="16"/>
                                <w:szCs w:val="16"/>
                              </w:rPr>
                              <w:t>- auction trading -</w:t>
                            </w:r>
                          </w:p>
                          <w:p w14:paraId="1EDC66F0" w14:textId="34EBEA96" w:rsidR="005276A4" w:rsidRDefault="005276A4" w:rsidP="00625352">
                            <w:pPr>
                              <w:jc w:val="center"/>
                              <w:rPr>
                                <w:sz w:val="16"/>
                                <w:szCs w:val="16"/>
                              </w:rPr>
                            </w:pPr>
                          </w:p>
                          <w:p w14:paraId="04846474" w14:textId="1CC582D3" w:rsidR="005276A4" w:rsidRPr="00625352" w:rsidRDefault="005276A4" w:rsidP="00625352">
                            <w:pPr>
                              <w:jc w:val="center"/>
                              <w:rPr>
                                <w:sz w:val="16"/>
                                <w:szCs w:val="16"/>
                              </w:rPr>
                            </w:pPr>
                            <w:r w:rsidRPr="00625352">
                              <w:rPr>
                                <w:noProof/>
                                <w:lang w:eastAsia="en-GB"/>
                              </w:rPr>
                              <w:drawing>
                                <wp:inline distT="0" distB="0" distL="0" distR="0" wp14:anchorId="6038A899" wp14:editId="52721270">
                                  <wp:extent cx="972185" cy="556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72185" cy="55626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470C96A5" id="_x0000_s1034" type="#_x0000_t202" style="width:91.65pt;height:2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">
                <v:textbox>
                  <w:txbxContent>
                    <w:p w14:paraId="0FC9F21D" w14:textId="4C96889B" w:rsidR="005276A4" w:rsidRPr="00625352" w:rsidRDefault="005276A4" w:rsidP="00625352">
                      <w:pPr>
                        <w:pBdr>
                          <w:bottom w:val="single" w:sz="6" w:space="1" w:color="auto"/>
                        </w:pBdr>
                        <w:jc w:val="center"/>
                        <w:rPr>
                          <w:sz w:val="16"/>
                          <w:szCs w:val="16"/>
                        </w:rPr>
                      </w:pPr>
                      <w:r>
                        <w:rPr>
                          <w:sz w:val="16"/>
                          <w:szCs w:val="16"/>
                        </w:rPr>
                        <w:t>DA</w:t>
                      </w:r>
                      <w:r w:rsidRPr="00625352">
                        <w:rPr>
                          <w:sz w:val="16"/>
                          <w:szCs w:val="16"/>
                        </w:rPr>
                        <w:t>M</w:t>
                      </w:r>
                    </w:p>
                    <w:p w14:paraId="5159F590" w14:textId="4055BB5C" w:rsidR="005276A4" w:rsidRDefault="005276A4" w:rsidP="00625352">
                      <w:pPr>
                        <w:jc w:val="center"/>
                        <w:rPr>
                          <w:sz w:val="16"/>
                          <w:szCs w:val="16"/>
                        </w:rPr>
                      </w:pPr>
                      <w:r w:rsidRPr="00625352">
                        <w:rPr>
                          <w:sz w:val="16"/>
                          <w:szCs w:val="16"/>
                        </w:rPr>
                        <w:t>Physical Contracts</w:t>
                      </w:r>
                    </w:p>
                    <w:p w14:paraId="032E638B" w14:textId="77777777" w:rsidR="005276A4" w:rsidRDefault="005276A4" w:rsidP="00625352">
                      <w:pPr>
                        <w:jc w:val="center"/>
                        <w:rPr>
                          <w:sz w:val="16"/>
                          <w:szCs w:val="16"/>
                        </w:rPr>
                      </w:pPr>
                    </w:p>
                    <w:p w14:paraId="25AD70E3" w14:textId="00B9FC94" w:rsidR="005276A4" w:rsidRDefault="005276A4" w:rsidP="00625352">
                      <w:pPr>
                        <w:jc w:val="center"/>
                        <w:rPr>
                          <w:sz w:val="16"/>
                          <w:szCs w:val="16"/>
                        </w:rPr>
                      </w:pPr>
                      <w:r>
                        <w:rPr>
                          <w:sz w:val="16"/>
                          <w:szCs w:val="16"/>
                        </w:rPr>
                        <w:t xml:space="preserve">Market equilibrium one day ahead </w:t>
                      </w:r>
                    </w:p>
                    <w:p w14:paraId="09D08073" w14:textId="7E1E69CA" w:rsidR="005276A4" w:rsidRDefault="005276A4" w:rsidP="00625352">
                      <w:pPr>
                        <w:jc w:val="center"/>
                        <w:rPr>
                          <w:sz w:val="16"/>
                          <w:szCs w:val="16"/>
                        </w:rPr>
                      </w:pPr>
                      <w:r>
                        <w:rPr>
                          <w:sz w:val="16"/>
                          <w:szCs w:val="16"/>
                        </w:rPr>
                        <w:t>- auction trading -</w:t>
                      </w:r>
                    </w:p>
                    <w:p w14:paraId="1EDC66F0" w14:textId="34EBEA96" w:rsidR="005276A4" w:rsidRDefault="005276A4" w:rsidP="00625352">
                      <w:pPr>
                        <w:jc w:val="center"/>
                        <w:rPr>
                          <w:sz w:val="16"/>
                          <w:szCs w:val="16"/>
                        </w:rPr>
                      </w:pPr>
                    </w:p>
                    <w:p w14:paraId="04846474" w14:textId="1CC582D3" w:rsidR="005276A4" w:rsidRPr="00625352" w:rsidRDefault="005276A4" w:rsidP="00625352">
                      <w:pPr>
                        <w:jc w:val="center"/>
                        <w:rPr>
                          <w:sz w:val="16"/>
                          <w:szCs w:val="16"/>
                        </w:rPr>
                      </w:pPr>
                      <w:r w:rsidRPr="00625352">
                        <w:rPr>
                          <w:noProof/>
                          <w:lang w:eastAsia="en-GB"/>
                        </w:rPr>
                        <w:drawing>
                          <wp:inline distT="0" distB="0" distL="0" distR="0" wp14:anchorId="6038A899" wp14:editId="52721270">
                            <wp:extent cx="972185" cy="556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72185" cy="556260"/>
                                    </a:xfrm>
                                    <a:prstGeom prst="rect">
                                      <a:avLst/>
                                    </a:prstGeom>
                                  </pic:spPr>
                                </pic:pic>
                              </a:graphicData>
                            </a:graphic>
                          </wp:inline>
                        </w:drawing>
                      </w:r>
                    </w:p>
                  </w:txbxContent>
                </v:textbox>
                <w10:anchorlock/>
              </v:shape>
            </w:pict>
          </mc:Fallback>
        </mc:AlternateContent>
      </w:r>
      <w:r w:rsidRPr="00654753">
        <w:rPr>
          <w:rFonts w:eastAsia="Calibri"/>
          <w:szCs w:val="22"/>
        </w:rPr>
        <w:t xml:space="preserve"> </w:t>
      </w:r>
      <w:r w:rsidRPr="006273BD">
        <w:rPr>
          <w:rFonts w:eastAsia="Calibri"/>
          <w:noProof/>
          <w:szCs w:val="22"/>
          <w:lang w:eastAsia="en-GB"/>
        </w:rPr>
        <mc:AlternateContent>
          <mc:Choice Requires="wps">
            <w:drawing>
              <wp:inline distT="0" distB="0" distL="0" distR="0" wp14:anchorId="7C61CAD7" wp14:editId="4EAF8C25">
                <wp:extent cx="1164265" cy="3195083"/>
                <wp:effectExtent l="0" t="0" r="17145" b="24765"/>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265" cy="3195083"/>
                        </a:xfrm>
                        <a:prstGeom prst="rect">
                          <a:avLst/>
                        </a:prstGeom>
                        <a:solidFill>
                          <a:srgbClr val="FFFFFF"/>
                        </a:solidFill>
                        <a:ln w="9525">
                          <a:solidFill>
                            <a:srgbClr val="000000"/>
                          </a:solidFill>
                          <a:miter lim="800000"/>
                          <a:headEnd/>
                          <a:tailEnd/>
                        </a:ln>
                      </wps:spPr>
                      <wps:txbx>
                        <w:txbxContent>
                          <w:p w14:paraId="36032091" w14:textId="59DEF295" w:rsidR="005276A4" w:rsidRPr="00625352" w:rsidRDefault="005276A4" w:rsidP="00625352">
                            <w:pPr>
                              <w:pBdr>
                                <w:bottom w:val="single" w:sz="6" w:space="1" w:color="auto"/>
                              </w:pBdr>
                              <w:jc w:val="center"/>
                              <w:rPr>
                                <w:sz w:val="16"/>
                                <w:szCs w:val="16"/>
                              </w:rPr>
                            </w:pPr>
                            <w:r>
                              <w:rPr>
                                <w:sz w:val="16"/>
                                <w:szCs w:val="16"/>
                              </w:rPr>
                              <w:t>ID</w:t>
                            </w:r>
                            <w:r w:rsidRPr="00625352">
                              <w:rPr>
                                <w:sz w:val="16"/>
                                <w:szCs w:val="16"/>
                              </w:rPr>
                              <w:t>M</w:t>
                            </w:r>
                          </w:p>
                          <w:p w14:paraId="310518A5" w14:textId="77777777" w:rsidR="005276A4" w:rsidRDefault="005276A4" w:rsidP="00625352">
                            <w:pPr>
                              <w:jc w:val="center"/>
                              <w:rPr>
                                <w:sz w:val="16"/>
                                <w:szCs w:val="16"/>
                              </w:rPr>
                            </w:pPr>
                            <w:r w:rsidRPr="00625352">
                              <w:rPr>
                                <w:sz w:val="16"/>
                                <w:szCs w:val="16"/>
                              </w:rPr>
                              <w:t>Physical Contracts</w:t>
                            </w:r>
                          </w:p>
                          <w:p w14:paraId="2B8F2DBC" w14:textId="77777777" w:rsidR="005276A4" w:rsidRDefault="005276A4" w:rsidP="00625352">
                            <w:pPr>
                              <w:jc w:val="center"/>
                              <w:rPr>
                                <w:sz w:val="16"/>
                                <w:szCs w:val="16"/>
                              </w:rPr>
                            </w:pPr>
                          </w:p>
                          <w:p w14:paraId="2EDA5D30" w14:textId="58B8CF3C" w:rsidR="005276A4" w:rsidRDefault="005276A4" w:rsidP="00625352">
                            <w:pPr>
                              <w:jc w:val="center"/>
                              <w:rPr>
                                <w:sz w:val="16"/>
                                <w:szCs w:val="16"/>
                              </w:rPr>
                            </w:pPr>
                            <w:r>
                              <w:rPr>
                                <w:sz w:val="16"/>
                                <w:szCs w:val="16"/>
                              </w:rPr>
                              <w:t xml:space="preserve">Up to hour-ahead </w:t>
                            </w:r>
                          </w:p>
                          <w:p w14:paraId="0A35D6C1" w14:textId="41C484DC" w:rsidR="005276A4" w:rsidRDefault="005276A4" w:rsidP="00625352">
                            <w:pPr>
                              <w:jc w:val="center"/>
                              <w:rPr>
                                <w:sz w:val="16"/>
                                <w:szCs w:val="16"/>
                              </w:rPr>
                            </w:pPr>
                            <w:r>
                              <w:rPr>
                                <w:sz w:val="16"/>
                                <w:szCs w:val="16"/>
                              </w:rPr>
                              <w:t>- continuous trading -</w:t>
                            </w:r>
                          </w:p>
                          <w:p w14:paraId="4E7C5532" w14:textId="77777777" w:rsidR="005276A4" w:rsidRPr="00625352" w:rsidRDefault="005276A4" w:rsidP="00625352">
                            <w:pPr>
                              <w:jc w:val="center"/>
                              <w:rPr>
                                <w:sz w:val="18"/>
                                <w:szCs w:val="18"/>
                              </w:rPr>
                            </w:pPr>
                          </w:p>
                          <w:p w14:paraId="12DD4A04" w14:textId="222E61EF" w:rsidR="005276A4" w:rsidRPr="00625352" w:rsidRDefault="005276A4" w:rsidP="00625352">
                            <w:pPr>
                              <w:jc w:val="center"/>
                              <w:rPr>
                                <w:color w:val="00B050"/>
                                <w:sz w:val="18"/>
                                <w:szCs w:val="18"/>
                              </w:rPr>
                            </w:pPr>
                            <w:r w:rsidRPr="00625352">
                              <w:rPr>
                                <w:color w:val="00B050"/>
                                <w:sz w:val="18"/>
                                <w:szCs w:val="18"/>
                              </w:rPr>
                              <w:t>114.25 (50)</w:t>
                            </w:r>
                          </w:p>
                          <w:p w14:paraId="686FD4A1" w14:textId="37396A9E" w:rsidR="005276A4" w:rsidRPr="00625352" w:rsidRDefault="005276A4" w:rsidP="00625352">
                            <w:pPr>
                              <w:jc w:val="center"/>
                              <w:rPr>
                                <w:color w:val="00B050"/>
                                <w:sz w:val="18"/>
                                <w:szCs w:val="18"/>
                              </w:rPr>
                            </w:pPr>
                            <w:r w:rsidRPr="00625352">
                              <w:rPr>
                                <w:color w:val="00B050"/>
                                <w:sz w:val="18"/>
                                <w:szCs w:val="18"/>
                              </w:rPr>
                              <w:t>114.00 (20)</w:t>
                            </w:r>
                          </w:p>
                          <w:p w14:paraId="30BC05A4" w14:textId="6D04F7EB" w:rsidR="005276A4" w:rsidRPr="00625352" w:rsidRDefault="005276A4" w:rsidP="00625352">
                            <w:pPr>
                              <w:jc w:val="center"/>
                              <w:rPr>
                                <w:color w:val="00B050"/>
                                <w:sz w:val="18"/>
                                <w:szCs w:val="18"/>
                              </w:rPr>
                            </w:pPr>
                            <w:r w:rsidRPr="00625352">
                              <w:rPr>
                                <w:color w:val="00B050"/>
                                <w:sz w:val="18"/>
                                <w:szCs w:val="18"/>
                              </w:rPr>
                              <w:t>113.75 (60)</w:t>
                            </w:r>
                          </w:p>
                          <w:p w14:paraId="72A7DF50" w14:textId="42835AD7" w:rsidR="005276A4" w:rsidRPr="00625352" w:rsidRDefault="005276A4" w:rsidP="00625352">
                            <w:pPr>
                              <w:jc w:val="center"/>
                              <w:rPr>
                                <w:color w:val="C00000"/>
                                <w:sz w:val="18"/>
                                <w:szCs w:val="18"/>
                              </w:rPr>
                            </w:pPr>
                            <w:r w:rsidRPr="00625352">
                              <w:rPr>
                                <w:color w:val="C00000"/>
                                <w:sz w:val="18"/>
                                <w:szCs w:val="18"/>
                              </w:rPr>
                              <w:t>113.50 (45)</w:t>
                            </w:r>
                          </w:p>
                          <w:p w14:paraId="4440B0FD" w14:textId="67EF2C56" w:rsidR="005276A4" w:rsidRPr="00625352" w:rsidRDefault="005276A4" w:rsidP="00625352">
                            <w:pPr>
                              <w:jc w:val="center"/>
                              <w:rPr>
                                <w:color w:val="C00000"/>
                                <w:sz w:val="18"/>
                                <w:szCs w:val="18"/>
                              </w:rPr>
                            </w:pPr>
                            <w:r w:rsidRPr="00625352">
                              <w:rPr>
                                <w:color w:val="C00000"/>
                                <w:sz w:val="18"/>
                                <w:szCs w:val="18"/>
                              </w:rPr>
                              <w:t>113.00 (25)</w:t>
                            </w:r>
                          </w:p>
                          <w:p w14:paraId="5D84DB3F" w14:textId="68EABF5E" w:rsidR="005276A4" w:rsidRPr="00625352" w:rsidRDefault="005276A4" w:rsidP="00625352">
                            <w:pPr>
                              <w:jc w:val="center"/>
                              <w:rPr>
                                <w:color w:val="C00000"/>
                                <w:sz w:val="18"/>
                                <w:szCs w:val="18"/>
                              </w:rPr>
                            </w:pPr>
                            <w:r w:rsidRPr="00625352">
                              <w:rPr>
                                <w:color w:val="C00000"/>
                                <w:sz w:val="18"/>
                                <w:szCs w:val="18"/>
                              </w:rPr>
                              <w:t xml:space="preserve">112.75 (55) </w:t>
                            </w:r>
                          </w:p>
                        </w:txbxContent>
                      </wps:txbx>
                      <wps:bodyPr rot="0" vert="horz" wrap="square" lIns="91440" tIns="45720" rIns="91440" bIns="45720" anchor="t" anchorCtr="0">
                        <a:noAutofit/>
                      </wps:bodyPr>
                    </wps:wsp>
                  </a:graphicData>
                </a:graphic>
              </wp:inline>
            </w:drawing>
          </mc:Choice>
          <mc:Fallback>
            <w:pict>
              <v:shape w14:anchorId="7C61CAD7" id="_x0000_s1035" type="#_x0000_t202" style="width:91.65pt;height:2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">
                <v:textbox>
                  <w:txbxContent>
                    <w:p w14:paraId="36032091" w14:textId="59DEF295" w:rsidR="005276A4" w:rsidRPr="00625352" w:rsidRDefault="005276A4" w:rsidP="00625352">
                      <w:pPr>
                        <w:pBdr>
                          <w:bottom w:val="single" w:sz="6" w:space="1" w:color="auto"/>
                        </w:pBdr>
                        <w:jc w:val="center"/>
                        <w:rPr>
                          <w:sz w:val="16"/>
                          <w:szCs w:val="16"/>
                        </w:rPr>
                      </w:pPr>
                      <w:r>
                        <w:rPr>
                          <w:sz w:val="16"/>
                          <w:szCs w:val="16"/>
                        </w:rPr>
                        <w:t>ID</w:t>
                      </w:r>
                      <w:r w:rsidRPr="00625352">
                        <w:rPr>
                          <w:sz w:val="16"/>
                          <w:szCs w:val="16"/>
                        </w:rPr>
                        <w:t>M</w:t>
                      </w:r>
                    </w:p>
                    <w:p w14:paraId="310518A5" w14:textId="77777777" w:rsidR="005276A4" w:rsidRDefault="005276A4" w:rsidP="00625352">
                      <w:pPr>
                        <w:jc w:val="center"/>
                        <w:rPr>
                          <w:sz w:val="16"/>
                          <w:szCs w:val="16"/>
                        </w:rPr>
                      </w:pPr>
                      <w:r w:rsidRPr="00625352">
                        <w:rPr>
                          <w:sz w:val="16"/>
                          <w:szCs w:val="16"/>
                        </w:rPr>
                        <w:t>Physical Contracts</w:t>
                      </w:r>
                    </w:p>
                    <w:p w14:paraId="2B8F2DBC" w14:textId="77777777" w:rsidR="005276A4" w:rsidRDefault="005276A4" w:rsidP="00625352">
                      <w:pPr>
                        <w:jc w:val="center"/>
                        <w:rPr>
                          <w:sz w:val="16"/>
                          <w:szCs w:val="16"/>
                        </w:rPr>
                      </w:pPr>
                    </w:p>
                    <w:p w14:paraId="2EDA5D30" w14:textId="58B8CF3C" w:rsidR="005276A4" w:rsidRDefault="005276A4" w:rsidP="00625352">
                      <w:pPr>
                        <w:jc w:val="center"/>
                        <w:rPr>
                          <w:sz w:val="16"/>
                          <w:szCs w:val="16"/>
                        </w:rPr>
                      </w:pPr>
                      <w:r>
                        <w:rPr>
                          <w:sz w:val="16"/>
                          <w:szCs w:val="16"/>
                        </w:rPr>
                        <w:t xml:space="preserve">Up to hour-ahead </w:t>
                      </w:r>
                    </w:p>
                    <w:p w14:paraId="0A35D6C1" w14:textId="41C484DC" w:rsidR="005276A4" w:rsidRDefault="005276A4" w:rsidP="00625352">
                      <w:pPr>
                        <w:jc w:val="center"/>
                        <w:rPr>
                          <w:sz w:val="16"/>
                          <w:szCs w:val="16"/>
                        </w:rPr>
                      </w:pPr>
                      <w:r>
                        <w:rPr>
                          <w:sz w:val="16"/>
                          <w:szCs w:val="16"/>
                        </w:rPr>
                        <w:t>- continuous trading -</w:t>
                      </w:r>
                    </w:p>
                    <w:p w14:paraId="4E7C5532" w14:textId="77777777" w:rsidR="005276A4" w:rsidRPr="00625352" w:rsidRDefault="005276A4" w:rsidP="00625352">
                      <w:pPr>
                        <w:jc w:val="center"/>
                        <w:rPr>
                          <w:sz w:val="18"/>
                          <w:szCs w:val="18"/>
                        </w:rPr>
                      </w:pPr>
                    </w:p>
                    <w:p w14:paraId="12DD4A04" w14:textId="222E61EF" w:rsidR="005276A4" w:rsidRPr="00625352" w:rsidRDefault="005276A4" w:rsidP="00625352">
                      <w:pPr>
                        <w:jc w:val="center"/>
                        <w:rPr>
                          <w:color w:val="00B050"/>
                          <w:sz w:val="18"/>
                          <w:szCs w:val="18"/>
                        </w:rPr>
                      </w:pPr>
                      <w:r w:rsidRPr="00625352">
                        <w:rPr>
                          <w:color w:val="00B050"/>
                          <w:sz w:val="18"/>
                          <w:szCs w:val="18"/>
                        </w:rPr>
                        <w:t>114.25 (50)</w:t>
                      </w:r>
                    </w:p>
                    <w:p w14:paraId="686FD4A1" w14:textId="37396A9E" w:rsidR="005276A4" w:rsidRPr="00625352" w:rsidRDefault="005276A4" w:rsidP="00625352">
                      <w:pPr>
                        <w:jc w:val="center"/>
                        <w:rPr>
                          <w:color w:val="00B050"/>
                          <w:sz w:val="18"/>
                          <w:szCs w:val="18"/>
                        </w:rPr>
                      </w:pPr>
                      <w:r w:rsidRPr="00625352">
                        <w:rPr>
                          <w:color w:val="00B050"/>
                          <w:sz w:val="18"/>
                          <w:szCs w:val="18"/>
                        </w:rPr>
                        <w:t>114.00 (20)</w:t>
                      </w:r>
                    </w:p>
                    <w:p w14:paraId="30BC05A4" w14:textId="6D04F7EB" w:rsidR="005276A4" w:rsidRPr="00625352" w:rsidRDefault="005276A4" w:rsidP="00625352">
                      <w:pPr>
                        <w:jc w:val="center"/>
                        <w:rPr>
                          <w:color w:val="00B050"/>
                          <w:sz w:val="18"/>
                          <w:szCs w:val="18"/>
                        </w:rPr>
                      </w:pPr>
                      <w:r w:rsidRPr="00625352">
                        <w:rPr>
                          <w:color w:val="00B050"/>
                          <w:sz w:val="18"/>
                          <w:szCs w:val="18"/>
                        </w:rPr>
                        <w:t>113.75 (60)</w:t>
                      </w:r>
                    </w:p>
                    <w:p w14:paraId="72A7DF50" w14:textId="42835AD7" w:rsidR="005276A4" w:rsidRPr="00625352" w:rsidRDefault="005276A4" w:rsidP="00625352">
                      <w:pPr>
                        <w:jc w:val="center"/>
                        <w:rPr>
                          <w:color w:val="C00000"/>
                          <w:sz w:val="18"/>
                          <w:szCs w:val="18"/>
                        </w:rPr>
                      </w:pPr>
                      <w:r w:rsidRPr="00625352">
                        <w:rPr>
                          <w:color w:val="C00000"/>
                          <w:sz w:val="18"/>
                          <w:szCs w:val="18"/>
                        </w:rPr>
                        <w:t>113.50 (45)</w:t>
                      </w:r>
                    </w:p>
                    <w:p w14:paraId="4440B0FD" w14:textId="67EF2C56" w:rsidR="005276A4" w:rsidRPr="00625352" w:rsidRDefault="005276A4" w:rsidP="00625352">
                      <w:pPr>
                        <w:jc w:val="center"/>
                        <w:rPr>
                          <w:color w:val="C00000"/>
                          <w:sz w:val="18"/>
                          <w:szCs w:val="18"/>
                        </w:rPr>
                      </w:pPr>
                      <w:r w:rsidRPr="00625352">
                        <w:rPr>
                          <w:color w:val="C00000"/>
                          <w:sz w:val="18"/>
                          <w:szCs w:val="18"/>
                        </w:rPr>
                        <w:t>113.00 (25)</w:t>
                      </w:r>
                    </w:p>
                    <w:p w14:paraId="5D84DB3F" w14:textId="68EABF5E" w:rsidR="005276A4" w:rsidRPr="00625352" w:rsidRDefault="005276A4" w:rsidP="00625352">
                      <w:pPr>
                        <w:jc w:val="center"/>
                        <w:rPr>
                          <w:color w:val="C00000"/>
                          <w:sz w:val="18"/>
                          <w:szCs w:val="18"/>
                        </w:rPr>
                      </w:pPr>
                      <w:r w:rsidRPr="00625352">
                        <w:rPr>
                          <w:color w:val="C00000"/>
                          <w:sz w:val="18"/>
                          <w:szCs w:val="18"/>
                        </w:rPr>
                        <w:t xml:space="preserve">112.75 (55) </w:t>
                      </w:r>
                    </w:p>
                  </w:txbxContent>
                </v:textbox>
                <w10:anchorlock/>
              </v:shape>
            </w:pict>
          </mc:Fallback>
        </mc:AlternateContent>
      </w:r>
      <w:r w:rsidRPr="00654753">
        <w:rPr>
          <w:rFonts w:eastAsia="Calibri"/>
          <w:szCs w:val="22"/>
        </w:rPr>
        <w:t xml:space="preserve"> </w:t>
      </w:r>
      <w:r w:rsidR="004D60AA" w:rsidRPr="00681DAA">
        <w:rPr>
          <w:rFonts w:eastAsia="Calibri"/>
          <w:szCs w:val="22"/>
        </w:rPr>
        <w:t xml:space="preserve">     </w:t>
      </w:r>
      <w:r w:rsidR="004D60AA" w:rsidRPr="006273BD">
        <w:rPr>
          <w:rFonts w:eastAsia="Calibri"/>
          <w:noProof/>
          <w:szCs w:val="22"/>
          <w:lang w:eastAsia="en-GB"/>
        </w:rPr>
        <mc:AlternateContent>
          <mc:Choice Requires="wps">
            <w:drawing>
              <wp:inline distT="0" distB="0" distL="0" distR="0" wp14:anchorId="3B66B032" wp14:editId="342454C8">
                <wp:extent cx="1100470" cy="3195083"/>
                <wp:effectExtent l="0" t="0" r="23495" b="24765"/>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70" cy="3195083"/>
                        </a:xfrm>
                        <a:prstGeom prst="rect">
                          <a:avLst/>
                        </a:prstGeom>
                        <a:solidFill>
                          <a:srgbClr val="FFFFFF"/>
                        </a:solidFill>
                        <a:ln w="9525">
                          <a:solidFill>
                            <a:srgbClr val="000000"/>
                          </a:solidFill>
                          <a:miter lim="800000"/>
                          <a:headEnd/>
                          <a:tailEnd/>
                        </a:ln>
                      </wps:spPr>
                      <wps:txbx>
                        <w:txbxContent>
                          <w:p w14:paraId="75F801B8" w14:textId="154E87AF" w:rsidR="005276A4" w:rsidRPr="00625352" w:rsidRDefault="005276A4" w:rsidP="004D60AA">
                            <w:pPr>
                              <w:pBdr>
                                <w:bottom w:val="single" w:sz="6" w:space="1" w:color="auto"/>
                              </w:pBdr>
                              <w:jc w:val="center"/>
                              <w:rPr>
                                <w:sz w:val="16"/>
                                <w:szCs w:val="16"/>
                              </w:rPr>
                            </w:pPr>
                            <w:r>
                              <w:rPr>
                                <w:sz w:val="16"/>
                                <w:szCs w:val="16"/>
                              </w:rPr>
                              <w:t xml:space="preserve">Balancing Energy Single Buyer </w:t>
                            </w:r>
                          </w:p>
                          <w:p w14:paraId="73732C5E" w14:textId="77777777" w:rsidR="005276A4" w:rsidRPr="004D60AA" w:rsidRDefault="005276A4" w:rsidP="004D60AA">
                            <w:pPr>
                              <w:jc w:val="center"/>
                              <w:rPr>
                                <w:sz w:val="16"/>
                                <w:szCs w:val="16"/>
                              </w:rPr>
                            </w:pPr>
                          </w:p>
                          <w:p w14:paraId="76226646" w14:textId="7ED31758" w:rsidR="005276A4" w:rsidRPr="004D60AA" w:rsidRDefault="005276A4" w:rsidP="004D60AA">
                            <w:pPr>
                              <w:jc w:val="center"/>
                              <w:rPr>
                                <w:sz w:val="16"/>
                                <w:szCs w:val="16"/>
                              </w:rPr>
                            </w:pPr>
                            <w:r w:rsidRPr="004D60AA">
                              <w:rPr>
                                <w:sz w:val="16"/>
                                <w:szCs w:val="16"/>
                              </w:rPr>
                              <w:t>National markets</w:t>
                            </w:r>
                          </w:p>
                          <w:p w14:paraId="300C75DB" w14:textId="47D54057" w:rsidR="005276A4" w:rsidRPr="004D60AA" w:rsidRDefault="005276A4" w:rsidP="004D60AA">
                            <w:pPr>
                              <w:jc w:val="center"/>
                              <w:rPr>
                                <w:sz w:val="16"/>
                                <w:szCs w:val="16"/>
                              </w:rPr>
                            </w:pPr>
                          </w:p>
                          <w:p w14:paraId="5B122577" w14:textId="063C028C" w:rsidR="005276A4" w:rsidRPr="004D60AA" w:rsidRDefault="005276A4" w:rsidP="004D60AA">
                            <w:pPr>
                              <w:jc w:val="center"/>
                              <w:rPr>
                                <w:sz w:val="16"/>
                                <w:szCs w:val="16"/>
                              </w:rPr>
                            </w:pPr>
                            <w:r w:rsidRPr="004D60AA">
                              <w:rPr>
                                <w:noProof/>
                                <w:lang w:eastAsia="en-GB"/>
                              </w:rPr>
                              <w:drawing>
                                <wp:inline distT="0" distB="0" distL="0" distR="0" wp14:anchorId="473A5694" wp14:editId="2DDE7315">
                                  <wp:extent cx="914400" cy="57874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18797" cy="581525"/>
                                          </a:xfrm>
                                          <a:prstGeom prst="rect">
                                            <a:avLst/>
                                          </a:prstGeom>
                                        </pic:spPr>
                                      </pic:pic>
                                    </a:graphicData>
                                  </a:graphic>
                                </wp:inline>
                              </w:drawing>
                            </w:r>
                          </w:p>
                          <w:p w14:paraId="08B8B66F" w14:textId="77777777" w:rsidR="005276A4" w:rsidRPr="004D60AA" w:rsidRDefault="005276A4" w:rsidP="004D60AA">
                            <w:pPr>
                              <w:jc w:val="center"/>
                              <w:rPr>
                                <w:sz w:val="16"/>
                                <w:szCs w:val="16"/>
                              </w:rPr>
                            </w:pPr>
                          </w:p>
                          <w:p w14:paraId="4345BA62" w14:textId="71C39006" w:rsidR="005276A4" w:rsidRPr="004D60AA" w:rsidRDefault="005276A4" w:rsidP="004D60AA">
                            <w:pPr>
                              <w:jc w:val="center"/>
                              <w:rPr>
                                <w:sz w:val="16"/>
                                <w:szCs w:val="16"/>
                              </w:rPr>
                            </w:pPr>
                            <w:r w:rsidRPr="004D60AA">
                              <w:rPr>
                                <w:sz w:val="16"/>
                                <w:szCs w:val="16"/>
                              </w:rPr>
                              <w:t>Balancing generation and consumption in real-time</w:t>
                            </w:r>
                          </w:p>
                        </w:txbxContent>
                      </wps:txbx>
                      <wps:bodyPr rot="0" vert="horz" wrap="square" lIns="91440" tIns="45720" rIns="91440" bIns="45720" anchor="t" anchorCtr="0">
                        <a:noAutofit/>
                      </wps:bodyPr>
                    </wps:wsp>
                  </a:graphicData>
                </a:graphic>
              </wp:inline>
            </w:drawing>
          </mc:Choice>
          <mc:Fallback>
            <w:pict>
              <v:shape w14:anchorId="3B66B032" id="_x0000_s1036" type="#_x0000_t202" style="width:86.65pt;height:2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9JwIAAE4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">
                <v:textbox>
                  <w:txbxContent>
                    <w:p w14:paraId="75F801B8" w14:textId="154E87AF" w:rsidR="005276A4" w:rsidRPr="00625352" w:rsidRDefault="005276A4" w:rsidP="004D60AA">
                      <w:pPr>
                        <w:pBdr>
                          <w:bottom w:val="single" w:sz="6" w:space="1" w:color="auto"/>
                        </w:pBdr>
                        <w:jc w:val="center"/>
                        <w:rPr>
                          <w:sz w:val="16"/>
                          <w:szCs w:val="16"/>
                        </w:rPr>
                      </w:pPr>
                      <w:r>
                        <w:rPr>
                          <w:sz w:val="16"/>
                          <w:szCs w:val="16"/>
                        </w:rPr>
                        <w:t xml:space="preserve">Balancing Energy Single Buyer </w:t>
                      </w:r>
                    </w:p>
                    <w:p w14:paraId="73732C5E" w14:textId="77777777" w:rsidR="005276A4" w:rsidRPr="004D60AA" w:rsidRDefault="005276A4" w:rsidP="004D60AA">
                      <w:pPr>
                        <w:jc w:val="center"/>
                        <w:rPr>
                          <w:sz w:val="16"/>
                          <w:szCs w:val="16"/>
                        </w:rPr>
                      </w:pPr>
                    </w:p>
                    <w:p w14:paraId="76226646" w14:textId="7ED31758" w:rsidR="005276A4" w:rsidRPr="004D60AA" w:rsidRDefault="005276A4" w:rsidP="004D60AA">
                      <w:pPr>
                        <w:jc w:val="center"/>
                        <w:rPr>
                          <w:sz w:val="16"/>
                          <w:szCs w:val="16"/>
                        </w:rPr>
                      </w:pPr>
                      <w:r w:rsidRPr="004D60AA">
                        <w:rPr>
                          <w:sz w:val="16"/>
                          <w:szCs w:val="16"/>
                        </w:rPr>
                        <w:t>National markets</w:t>
                      </w:r>
                    </w:p>
                    <w:p w14:paraId="300C75DB" w14:textId="47D54057" w:rsidR="005276A4" w:rsidRPr="004D60AA" w:rsidRDefault="005276A4" w:rsidP="004D60AA">
                      <w:pPr>
                        <w:jc w:val="center"/>
                        <w:rPr>
                          <w:sz w:val="16"/>
                          <w:szCs w:val="16"/>
                        </w:rPr>
                      </w:pPr>
                    </w:p>
                    <w:p w14:paraId="5B122577" w14:textId="063C028C" w:rsidR="005276A4" w:rsidRPr="004D60AA" w:rsidRDefault="005276A4" w:rsidP="004D60AA">
                      <w:pPr>
                        <w:jc w:val="center"/>
                        <w:rPr>
                          <w:sz w:val="16"/>
                          <w:szCs w:val="16"/>
                        </w:rPr>
                      </w:pPr>
                      <w:r w:rsidRPr="004D60AA">
                        <w:rPr>
                          <w:noProof/>
                          <w:lang w:eastAsia="en-GB"/>
                        </w:rPr>
                        <w:drawing>
                          <wp:inline distT="0" distB="0" distL="0" distR="0" wp14:anchorId="473A5694" wp14:editId="2DDE7315">
                            <wp:extent cx="914400" cy="57874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18797" cy="581525"/>
                                    </a:xfrm>
                                    <a:prstGeom prst="rect">
                                      <a:avLst/>
                                    </a:prstGeom>
                                  </pic:spPr>
                                </pic:pic>
                              </a:graphicData>
                            </a:graphic>
                          </wp:inline>
                        </w:drawing>
                      </w:r>
                    </w:p>
                    <w:p w14:paraId="08B8B66F" w14:textId="77777777" w:rsidR="005276A4" w:rsidRPr="004D60AA" w:rsidRDefault="005276A4" w:rsidP="004D60AA">
                      <w:pPr>
                        <w:jc w:val="center"/>
                        <w:rPr>
                          <w:sz w:val="16"/>
                          <w:szCs w:val="16"/>
                        </w:rPr>
                      </w:pPr>
                    </w:p>
                    <w:p w14:paraId="4345BA62" w14:textId="71C39006" w:rsidR="005276A4" w:rsidRPr="004D60AA" w:rsidRDefault="005276A4" w:rsidP="004D60AA">
                      <w:pPr>
                        <w:jc w:val="center"/>
                        <w:rPr>
                          <w:sz w:val="16"/>
                          <w:szCs w:val="16"/>
                        </w:rPr>
                      </w:pPr>
                      <w:r w:rsidRPr="004D60AA">
                        <w:rPr>
                          <w:sz w:val="16"/>
                          <w:szCs w:val="16"/>
                        </w:rPr>
                        <w:t>Balancing generation and consumption in real-time</w:t>
                      </w:r>
                    </w:p>
                  </w:txbxContent>
                </v:textbox>
                <w10:anchorlock/>
              </v:shape>
            </w:pict>
          </mc:Fallback>
        </mc:AlternateContent>
      </w:r>
      <w:r w:rsidR="004D60AA" w:rsidRPr="00654753">
        <w:rPr>
          <w:rFonts w:eastAsia="Calibri"/>
          <w:szCs w:val="22"/>
        </w:rPr>
        <w:t xml:space="preserve"> </w:t>
      </w:r>
      <w:r w:rsidR="00F0392C" w:rsidRPr="006273BD">
        <w:rPr>
          <w:rFonts w:eastAsia="Calibri"/>
          <w:noProof/>
          <w:szCs w:val="22"/>
          <w:lang w:eastAsia="en-GB"/>
        </w:rPr>
        <mc:AlternateContent>
          <mc:Choice Requires="wps">
            <w:drawing>
              <wp:inline distT="0" distB="0" distL="0" distR="0" wp14:anchorId="115BDACA" wp14:editId="327AA916">
                <wp:extent cx="1047307" cy="3195083"/>
                <wp:effectExtent l="0" t="0" r="19685" b="24765"/>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307" cy="3195083"/>
                        </a:xfrm>
                        <a:prstGeom prst="rect">
                          <a:avLst/>
                        </a:prstGeom>
                        <a:solidFill>
                          <a:srgbClr val="FFFFFF"/>
                        </a:solidFill>
                        <a:ln w="9525">
                          <a:solidFill>
                            <a:srgbClr val="000000"/>
                          </a:solidFill>
                          <a:miter lim="800000"/>
                          <a:headEnd/>
                          <a:tailEnd/>
                        </a:ln>
                      </wps:spPr>
                      <wps:txbx>
                        <w:txbxContent>
                          <w:p w14:paraId="5D00D79D" w14:textId="44EE899E" w:rsidR="005276A4" w:rsidRPr="00625352" w:rsidRDefault="005276A4" w:rsidP="00F0392C">
                            <w:pPr>
                              <w:pBdr>
                                <w:bottom w:val="single" w:sz="6" w:space="1" w:color="auto"/>
                              </w:pBdr>
                              <w:jc w:val="center"/>
                              <w:rPr>
                                <w:sz w:val="16"/>
                                <w:szCs w:val="16"/>
                              </w:rPr>
                            </w:pPr>
                            <w:r>
                              <w:rPr>
                                <w:sz w:val="16"/>
                                <w:szCs w:val="16"/>
                              </w:rPr>
                              <w:t>System Operation</w:t>
                            </w:r>
                          </w:p>
                          <w:p w14:paraId="045C7EA7" w14:textId="77777777" w:rsidR="005276A4" w:rsidRPr="004D60AA" w:rsidRDefault="005276A4" w:rsidP="00F0392C">
                            <w:pPr>
                              <w:jc w:val="center"/>
                              <w:rPr>
                                <w:sz w:val="16"/>
                                <w:szCs w:val="16"/>
                              </w:rPr>
                            </w:pPr>
                          </w:p>
                          <w:p w14:paraId="6B736D42" w14:textId="31B36C05" w:rsidR="005276A4" w:rsidRPr="004D60AA" w:rsidRDefault="005276A4" w:rsidP="00F0392C">
                            <w:pPr>
                              <w:jc w:val="center"/>
                              <w:rPr>
                                <w:sz w:val="16"/>
                                <w:szCs w:val="16"/>
                              </w:rPr>
                            </w:pPr>
                            <w:r>
                              <w:rPr>
                                <w:sz w:val="16"/>
                                <w:szCs w:val="16"/>
                              </w:rPr>
                              <w:t>Real-time operation</w:t>
                            </w:r>
                          </w:p>
                          <w:p w14:paraId="46337DB4" w14:textId="77777777" w:rsidR="005276A4" w:rsidRPr="004D60AA" w:rsidRDefault="005276A4" w:rsidP="00F0392C">
                            <w:pPr>
                              <w:jc w:val="center"/>
                              <w:rPr>
                                <w:sz w:val="16"/>
                                <w:szCs w:val="16"/>
                              </w:rPr>
                            </w:pPr>
                          </w:p>
                          <w:p w14:paraId="406A3EA1" w14:textId="77777777" w:rsidR="005276A4" w:rsidRPr="004D60AA" w:rsidRDefault="005276A4" w:rsidP="00F0392C">
                            <w:pPr>
                              <w:jc w:val="center"/>
                              <w:rPr>
                                <w:sz w:val="16"/>
                                <w:szCs w:val="16"/>
                              </w:rPr>
                            </w:pPr>
                          </w:p>
                          <w:p w14:paraId="46F170F8" w14:textId="4B43DAAD" w:rsidR="005276A4" w:rsidRPr="004D60AA" w:rsidRDefault="005276A4" w:rsidP="00F0392C">
                            <w:pPr>
                              <w:jc w:val="center"/>
                              <w:rPr>
                                <w:sz w:val="16"/>
                                <w:szCs w:val="16"/>
                              </w:rPr>
                            </w:pPr>
                          </w:p>
                          <w:p w14:paraId="3787A2B3" w14:textId="77777777" w:rsidR="005276A4" w:rsidRPr="004D60AA" w:rsidRDefault="005276A4" w:rsidP="00F0392C">
                            <w:pPr>
                              <w:jc w:val="center"/>
                              <w:rPr>
                                <w:sz w:val="16"/>
                                <w:szCs w:val="16"/>
                              </w:rPr>
                            </w:pPr>
                          </w:p>
                          <w:p w14:paraId="6979873D" w14:textId="13AC4817" w:rsidR="005276A4" w:rsidRPr="004D60AA" w:rsidRDefault="005276A4" w:rsidP="00F0392C">
                            <w:pPr>
                              <w:jc w:val="center"/>
                              <w:rPr>
                                <w:sz w:val="16"/>
                                <w:szCs w:val="16"/>
                              </w:rPr>
                            </w:pPr>
                            <w:r>
                              <w:rPr>
                                <w:sz w:val="16"/>
                                <w:szCs w:val="16"/>
                              </w:rPr>
                              <w:t>Provision of system services during real-time operation (controlling frequency and voltage, etc.)</w:t>
                            </w:r>
                          </w:p>
                        </w:txbxContent>
                      </wps:txbx>
                      <wps:bodyPr rot="0" vert="horz" wrap="square" lIns="91440" tIns="45720" rIns="91440" bIns="45720" anchor="t" anchorCtr="0">
                        <a:noAutofit/>
                      </wps:bodyPr>
                    </wps:wsp>
                  </a:graphicData>
                </a:graphic>
              </wp:inline>
            </w:drawing>
          </mc:Choice>
          <mc:Fallback>
            <w:pict>
              <v:shape w14:anchorId="115BDACA" id="_x0000_s1037" type="#_x0000_t202" style="width:82.45pt;height:2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eeJwIAAE4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">
                <v:textbox>
                  <w:txbxContent>
                    <w:p w14:paraId="5D00D79D" w14:textId="44EE899E" w:rsidR="005276A4" w:rsidRPr="00625352" w:rsidRDefault="005276A4" w:rsidP="00F0392C">
                      <w:pPr>
                        <w:pBdr>
                          <w:bottom w:val="single" w:sz="6" w:space="1" w:color="auto"/>
                        </w:pBdr>
                        <w:jc w:val="center"/>
                        <w:rPr>
                          <w:sz w:val="16"/>
                          <w:szCs w:val="16"/>
                        </w:rPr>
                      </w:pPr>
                      <w:r>
                        <w:rPr>
                          <w:sz w:val="16"/>
                          <w:szCs w:val="16"/>
                        </w:rPr>
                        <w:t>System Operation</w:t>
                      </w:r>
                    </w:p>
                    <w:p w14:paraId="045C7EA7" w14:textId="77777777" w:rsidR="005276A4" w:rsidRPr="004D60AA" w:rsidRDefault="005276A4" w:rsidP="00F0392C">
                      <w:pPr>
                        <w:jc w:val="center"/>
                        <w:rPr>
                          <w:sz w:val="16"/>
                          <w:szCs w:val="16"/>
                        </w:rPr>
                      </w:pPr>
                    </w:p>
                    <w:p w14:paraId="6B736D42" w14:textId="31B36C05" w:rsidR="005276A4" w:rsidRPr="004D60AA" w:rsidRDefault="005276A4" w:rsidP="00F0392C">
                      <w:pPr>
                        <w:jc w:val="center"/>
                        <w:rPr>
                          <w:sz w:val="16"/>
                          <w:szCs w:val="16"/>
                        </w:rPr>
                      </w:pPr>
                      <w:r>
                        <w:rPr>
                          <w:sz w:val="16"/>
                          <w:szCs w:val="16"/>
                        </w:rPr>
                        <w:t>Real-time operation</w:t>
                      </w:r>
                    </w:p>
                    <w:p w14:paraId="46337DB4" w14:textId="77777777" w:rsidR="005276A4" w:rsidRPr="004D60AA" w:rsidRDefault="005276A4" w:rsidP="00F0392C">
                      <w:pPr>
                        <w:jc w:val="center"/>
                        <w:rPr>
                          <w:sz w:val="16"/>
                          <w:szCs w:val="16"/>
                        </w:rPr>
                      </w:pPr>
                    </w:p>
                    <w:p w14:paraId="406A3EA1" w14:textId="77777777" w:rsidR="005276A4" w:rsidRPr="004D60AA" w:rsidRDefault="005276A4" w:rsidP="00F0392C">
                      <w:pPr>
                        <w:jc w:val="center"/>
                        <w:rPr>
                          <w:sz w:val="16"/>
                          <w:szCs w:val="16"/>
                        </w:rPr>
                      </w:pPr>
                    </w:p>
                    <w:p w14:paraId="46F170F8" w14:textId="4B43DAAD" w:rsidR="005276A4" w:rsidRPr="004D60AA" w:rsidRDefault="005276A4" w:rsidP="00F0392C">
                      <w:pPr>
                        <w:jc w:val="center"/>
                        <w:rPr>
                          <w:sz w:val="16"/>
                          <w:szCs w:val="16"/>
                        </w:rPr>
                      </w:pPr>
                    </w:p>
                    <w:p w14:paraId="3787A2B3" w14:textId="77777777" w:rsidR="005276A4" w:rsidRPr="004D60AA" w:rsidRDefault="005276A4" w:rsidP="00F0392C">
                      <w:pPr>
                        <w:jc w:val="center"/>
                        <w:rPr>
                          <w:sz w:val="16"/>
                          <w:szCs w:val="16"/>
                        </w:rPr>
                      </w:pPr>
                    </w:p>
                    <w:p w14:paraId="6979873D" w14:textId="13AC4817" w:rsidR="005276A4" w:rsidRPr="004D60AA" w:rsidRDefault="005276A4" w:rsidP="00F0392C">
                      <w:pPr>
                        <w:jc w:val="center"/>
                        <w:rPr>
                          <w:sz w:val="16"/>
                          <w:szCs w:val="16"/>
                        </w:rPr>
                      </w:pPr>
                      <w:r>
                        <w:rPr>
                          <w:sz w:val="16"/>
                          <w:szCs w:val="16"/>
                        </w:rPr>
                        <w:t>Provision of system services during real-time operation (controlling frequency and voltage, etc.)</w:t>
                      </w:r>
                    </w:p>
                  </w:txbxContent>
                </v:textbox>
                <w10:anchorlock/>
              </v:shape>
            </w:pict>
          </mc:Fallback>
        </mc:AlternateContent>
      </w:r>
    </w:p>
    <w:p w14:paraId="70DBB812" w14:textId="06738BE2" w:rsidR="00625352" w:rsidRPr="00654753" w:rsidRDefault="00625352" w:rsidP="00625352">
      <w:pPr>
        <w:rPr>
          <w:rFonts w:eastAsia="Calibri"/>
          <w:szCs w:val="22"/>
        </w:rPr>
      </w:pPr>
      <w:r w:rsidRPr="006273BD">
        <w:rPr>
          <w:rFonts w:eastAsia="Calibri"/>
          <w:noProof/>
          <w:szCs w:val="22"/>
          <w:lang w:eastAsia="en-GB"/>
        </w:rPr>
        <mc:AlternateContent>
          <mc:Choice Requires="wps">
            <w:drawing>
              <wp:inline distT="0" distB="0" distL="0" distR="0" wp14:anchorId="0293C4BD" wp14:editId="41F6E76E">
                <wp:extent cx="3598810" cy="882502"/>
                <wp:effectExtent l="0" t="0" r="20955" b="13335"/>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810" cy="882502"/>
                        </a:xfrm>
                        <a:prstGeom prst="rect">
                          <a:avLst/>
                        </a:prstGeom>
                        <a:solidFill>
                          <a:srgbClr val="FFFFFF"/>
                        </a:solidFill>
                        <a:ln w="9525">
                          <a:solidFill>
                            <a:srgbClr val="000000"/>
                          </a:solidFill>
                          <a:miter lim="800000"/>
                          <a:headEnd/>
                          <a:tailEnd/>
                        </a:ln>
                      </wps:spPr>
                      <wps:txbx>
                        <w:txbxContent>
                          <w:p w14:paraId="7249DC7D" w14:textId="08E73FC1" w:rsidR="005276A4" w:rsidRPr="00625352" w:rsidRDefault="005276A4" w:rsidP="00625352">
                            <w:pPr>
                              <w:pBdr>
                                <w:bottom w:val="single" w:sz="6" w:space="1" w:color="auto"/>
                              </w:pBdr>
                              <w:jc w:val="center"/>
                              <w:rPr>
                                <w:sz w:val="16"/>
                                <w:szCs w:val="16"/>
                              </w:rPr>
                            </w:pPr>
                            <w:r>
                              <w:rPr>
                                <w:sz w:val="16"/>
                                <w:szCs w:val="16"/>
                              </w:rPr>
                              <w:t>Power Pool Settlement and Financial Management</w:t>
                            </w:r>
                          </w:p>
                          <w:p w14:paraId="63F66F14" w14:textId="55790A4C" w:rsidR="005276A4" w:rsidRDefault="005276A4" w:rsidP="00625352">
                            <w:pPr>
                              <w:jc w:val="center"/>
                              <w:rPr>
                                <w:sz w:val="16"/>
                                <w:szCs w:val="16"/>
                              </w:rPr>
                            </w:pPr>
                            <w:r>
                              <w:rPr>
                                <w:sz w:val="16"/>
                                <w:szCs w:val="16"/>
                              </w:rPr>
                              <w:t>Settlement of all</w:t>
                            </w:r>
                            <w:r w:rsidRPr="00625352">
                              <w:rPr>
                                <w:sz w:val="16"/>
                                <w:szCs w:val="16"/>
                              </w:rPr>
                              <w:t xml:space="preserve"> </w:t>
                            </w:r>
                            <w:r>
                              <w:rPr>
                                <w:sz w:val="16"/>
                                <w:szCs w:val="16"/>
                              </w:rPr>
                              <w:t>p</w:t>
                            </w:r>
                            <w:r w:rsidRPr="00625352">
                              <w:rPr>
                                <w:sz w:val="16"/>
                                <w:szCs w:val="16"/>
                              </w:rPr>
                              <w:t xml:space="preserve">hysical </w:t>
                            </w:r>
                            <w:r>
                              <w:rPr>
                                <w:sz w:val="16"/>
                                <w:szCs w:val="16"/>
                              </w:rPr>
                              <w:t>c</w:t>
                            </w:r>
                            <w:r w:rsidRPr="00625352">
                              <w:rPr>
                                <w:sz w:val="16"/>
                                <w:szCs w:val="16"/>
                              </w:rPr>
                              <w:t>ontracts</w:t>
                            </w:r>
                            <w:r>
                              <w:rPr>
                                <w:sz w:val="16"/>
                                <w:szCs w:val="16"/>
                              </w:rPr>
                              <w:t xml:space="preserve"> </w:t>
                            </w:r>
                            <w:r>
                              <w:rPr>
                                <w:rFonts w:cs="Arial"/>
                                <w:sz w:val="16"/>
                                <w:szCs w:val="16"/>
                              </w:rPr>
                              <w:t>│</w:t>
                            </w:r>
                            <w:r>
                              <w:rPr>
                                <w:sz w:val="16"/>
                                <w:szCs w:val="16"/>
                              </w:rPr>
                              <w:t xml:space="preserve"> Settlement of wheeling and losses</w:t>
                            </w:r>
                          </w:p>
                          <w:p w14:paraId="2023057E" w14:textId="1DE0E29E" w:rsidR="005276A4" w:rsidRDefault="005276A4" w:rsidP="00625352">
                            <w:pPr>
                              <w:jc w:val="center"/>
                              <w:rPr>
                                <w:sz w:val="16"/>
                                <w:szCs w:val="16"/>
                              </w:rPr>
                            </w:pPr>
                            <w:r>
                              <w:rPr>
                                <w:sz w:val="16"/>
                                <w:szCs w:val="16"/>
                              </w:rPr>
                              <w:t>Regional market monitoring and reporting</w:t>
                            </w:r>
                          </w:p>
                        </w:txbxContent>
                      </wps:txbx>
                      <wps:bodyPr rot="0" vert="horz" wrap="square" lIns="91440" tIns="45720" rIns="91440" bIns="45720" anchor="t" anchorCtr="0">
                        <a:noAutofit/>
                      </wps:bodyPr>
                    </wps:wsp>
                  </a:graphicData>
                </a:graphic>
              </wp:inline>
            </w:drawing>
          </mc:Choice>
          <mc:Fallback>
            <w:pict>
              <v:shape w14:anchorId="0293C4BD" id="_x0000_s1038" type="#_x0000_t202" style="width:283.35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">
                <v:textbox>
                  <w:txbxContent>
                    <w:p w14:paraId="7249DC7D" w14:textId="08E73FC1" w:rsidR="005276A4" w:rsidRPr="00625352" w:rsidRDefault="005276A4" w:rsidP="00625352">
                      <w:pPr>
                        <w:pBdr>
                          <w:bottom w:val="single" w:sz="6" w:space="1" w:color="auto"/>
                        </w:pBdr>
                        <w:jc w:val="center"/>
                        <w:rPr>
                          <w:sz w:val="16"/>
                          <w:szCs w:val="16"/>
                        </w:rPr>
                      </w:pPr>
                      <w:r>
                        <w:rPr>
                          <w:sz w:val="16"/>
                          <w:szCs w:val="16"/>
                        </w:rPr>
                        <w:t>Power Pool Settlement and Financial Management</w:t>
                      </w:r>
                    </w:p>
                    <w:p w14:paraId="63F66F14" w14:textId="55790A4C" w:rsidR="005276A4" w:rsidRDefault="005276A4" w:rsidP="00625352">
                      <w:pPr>
                        <w:jc w:val="center"/>
                        <w:rPr>
                          <w:sz w:val="16"/>
                          <w:szCs w:val="16"/>
                        </w:rPr>
                      </w:pPr>
                      <w:r>
                        <w:rPr>
                          <w:sz w:val="16"/>
                          <w:szCs w:val="16"/>
                        </w:rPr>
                        <w:t>Settlement of all</w:t>
                      </w:r>
                      <w:r w:rsidRPr="00625352">
                        <w:rPr>
                          <w:sz w:val="16"/>
                          <w:szCs w:val="16"/>
                        </w:rPr>
                        <w:t xml:space="preserve"> </w:t>
                      </w:r>
                      <w:r>
                        <w:rPr>
                          <w:sz w:val="16"/>
                          <w:szCs w:val="16"/>
                        </w:rPr>
                        <w:t>p</w:t>
                      </w:r>
                      <w:r w:rsidRPr="00625352">
                        <w:rPr>
                          <w:sz w:val="16"/>
                          <w:szCs w:val="16"/>
                        </w:rPr>
                        <w:t xml:space="preserve">hysical </w:t>
                      </w:r>
                      <w:r>
                        <w:rPr>
                          <w:sz w:val="16"/>
                          <w:szCs w:val="16"/>
                        </w:rPr>
                        <w:t>c</w:t>
                      </w:r>
                      <w:r w:rsidRPr="00625352">
                        <w:rPr>
                          <w:sz w:val="16"/>
                          <w:szCs w:val="16"/>
                        </w:rPr>
                        <w:t>ontracts</w:t>
                      </w:r>
                      <w:r>
                        <w:rPr>
                          <w:sz w:val="16"/>
                          <w:szCs w:val="16"/>
                        </w:rPr>
                        <w:t xml:space="preserve"> </w:t>
                      </w:r>
                      <w:r>
                        <w:rPr>
                          <w:rFonts w:cs="Arial"/>
                          <w:sz w:val="16"/>
                          <w:szCs w:val="16"/>
                        </w:rPr>
                        <w:t>│</w:t>
                      </w:r>
                      <w:r>
                        <w:rPr>
                          <w:sz w:val="16"/>
                          <w:szCs w:val="16"/>
                        </w:rPr>
                        <w:t xml:space="preserve"> Settlement of wheeling and losses</w:t>
                      </w:r>
                    </w:p>
                    <w:p w14:paraId="2023057E" w14:textId="1DE0E29E" w:rsidR="005276A4" w:rsidRDefault="005276A4" w:rsidP="00625352">
                      <w:pPr>
                        <w:jc w:val="center"/>
                        <w:rPr>
                          <w:sz w:val="16"/>
                          <w:szCs w:val="16"/>
                        </w:rPr>
                      </w:pPr>
                      <w:r>
                        <w:rPr>
                          <w:sz w:val="16"/>
                          <w:szCs w:val="16"/>
                        </w:rPr>
                        <w:t>Regional market monitoring and reporting</w:t>
                      </w:r>
                    </w:p>
                  </w:txbxContent>
                </v:textbox>
                <w10:anchorlock/>
              </v:shape>
            </w:pict>
          </mc:Fallback>
        </mc:AlternateContent>
      </w:r>
      <w:r w:rsidR="004D60AA" w:rsidRPr="00654753">
        <w:rPr>
          <w:rFonts w:eastAsia="Calibri"/>
          <w:szCs w:val="22"/>
        </w:rPr>
        <w:t xml:space="preserve">   </w:t>
      </w:r>
      <w:r w:rsidR="00F0392C" w:rsidRPr="00681DAA">
        <w:rPr>
          <w:rFonts w:eastAsia="Calibri"/>
          <w:szCs w:val="22"/>
        </w:rPr>
        <w:t xml:space="preserve">  </w:t>
      </w:r>
      <w:r w:rsidR="004D60AA" w:rsidRPr="00681DAA">
        <w:rPr>
          <w:rFonts w:eastAsia="Calibri"/>
          <w:szCs w:val="22"/>
        </w:rPr>
        <w:t xml:space="preserve"> </w:t>
      </w:r>
      <w:r w:rsidR="00F0392C" w:rsidRPr="006273BD">
        <w:rPr>
          <w:rFonts w:eastAsia="Calibri"/>
          <w:noProof/>
          <w:szCs w:val="22"/>
          <w:lang w:eastAsia="en-GB"/>
        </w:rPr>
        <mc:AlternateContent>
          <mc:Choice Requires="wps">
            <w:drawing>
              <wp:inline distT="0" distB="0" distL="0" distR="0" wp14:anchorId="4EA34899" wp14:editId="473CE6EA">
                <wp:extent cx="2211484" cy="882502"/>
                <wp:effectExtent l="0" t="0" r="17780" b="13335"/>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484" cy="882502"/>
                        </a:xfrm>
                        <a:prstGeom prst="rect">
                          <a:avLst/>
                        </a:prstGeom>
                        <a:solidFill>
                          <a:srgbClr val="FFFFFF"/>
                        </a:solidFill>
                        <a:ln w="9525">
                          <a:solidFill>
                            <a:srgbClr val="000000"/>
                          </a:solidFill>
                          <a:miter lim="800000"/>
                          <a:headEnd/>
                          <a:tailEnd/>
                        </a:ln>
                      </wps:spPr>
                      <wps:txbx>
                        <w:txbxContent>
                          <w:p w14:paraId="5287641C" w14:textId="7F731DE2" w:rsidR="005276A4" w:rsidRPr="00625352" w:rsidRDefault="005276A4" w:rsidP="00F0392C">
                            <w:pPr>
                              <w:pBdr>
                                <w:bottom w:val="single" w:sz="6" w:space="1" w:color="auto"/>
                              </w:pBdr>
                              <w:jc w:val="center"/>
                              <w:rPr>
                                <w:sz w:val="16"/>
                                <w:szCs w:val="16"/>
                              </w:rPr>
                            </w:pPr>
                            <w:r>
                              <w:rPr>
                                <w:sz w:val="16"/>
                                <w:szCs w:val="16"/>
                              </w:rPr>
                              <w:t xml:space="preserve">National Balancing Settlement </w:t>
                            </w:r>
                          </w:p>
                          <w:p w14:paraId="2F1871C5" w14:textId="318EB903" w:rsidR="005276A4" w:rsidRDefault="005276A4" w:rsidP="00F0392C">
                            <w:pPr>
                              <w:jc w:val="center"/>
                              <w:rPr>
                                <w:sz w:val="16"/>
                                <w:szCs w:val="16"/>
                              </w:rPr>
                            </w:pPr>
                            <w:r>
                              <w:rPr>
                                <w:sz w:val="16"/>
                                <w:szCs w:val="16"/>
                              </w:rPr>
                              <w:t xml:space="preserve">Balancing settlement </w:t>
                            </w:r>
                            <w:r>
                              <w:rPr>
                                <w:rFonts w:cs="Arial"/>
                                <w:sz w:val="16"/>
                                <w:szCs w:val="16"/>
                              </w:rPr>
                              <w:t>│</w:t>
                            </w:r>
                            <w:r>
                              <w:rPr>
                                <w:sz w:val="16"/>
                                <w:szCs w:val="16"/>
                              </w:rPr>
                              <w:t xml:space="preserve"> Calculation of losses</w:t>
                            </w:r>
                          </w:p>
                          <w:p w14:paraId="57D1661C" w14:textId="5E9DFA5F" w:rsidR="005276A4" w:rsidRDefault="005276A4" w:rsidP="00F0392C">
                            <w:pPr>
                              <w:jc w:val="center"/>
                              <w:rPr>
                                <w:sz w:val="16"/>
                                <w:szCs w:val="16"/>
                              </w:rPr>
                            </w:pPr>
                            <w:r>
                              <w:rPr>
                                <w:sz w:val="16"/>
                                <w:szCs w:val="16"/>
                              </w:rPr>
                              <w:t xml:space="preserve">National market monitoring and reporting </w:t>
                            </w:r>
                          </w:p>
                        </w:txbxContent>
                      </wps:txbx>
                      <wps:bodyPr rot="0" vert="horz" wrap="square" lIns="91440" tIns="45720" rIns="91440" bIns="45720" anchor="t" anchorCtr="0">
                        <a:noAutofit/>
                      </wps:bodyPr>
                    </wps:wsp>
                  </a:graphicData>
                </a:graphic>
              </wp:inline>
            </w:drawing>
          </mc:Choice>
          <mc:Fallback>
            <w:pict>
              <v:shape w14:anchorId="4EA34899" id="_x0000_s1039" type="#_x0000_t202" style="width:174.15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">
                <v:textbox>
                  <w:txbxContent>
                    <w:p w14:paraId="5287641C" w14:textId="7F731DE2" w:rsidR="005276A4" w:rsidRPr="00625352" w:rsidRDefault="005276A4" w:rsidP="00F0392C">
                      <w:pPr>
                        <w:pBdr>
                          <w:bottom w:val="single" w:sz="6" w:space="1" w:color="auto"/>
                        </w:pBdr>
                        <w:jc w:val="center"/>
                        <w:rPr>
                          <w:sz w:val="16"/>
                          <w:szCs w:val="16"/>
                        </w:rPr>
                      </w:pPr>
                      <w:r>
                        <w:rPr>
                          <w:sz w:val="16"/>
                          <w:szCs w:val="16"/>
                        </w:rPr>
                        <w:t xml:space="preserve">National Balancing Settlement </w:t>
                      </w:r>
                    </w:p>
                    <w:p w14:paraId="2F1871C5" w14:textId="318EB903" w:rsidR="005276A4" w:rsidRDefault="005276A4" w:rsidP="00F0392C">
                      <w:pPr>
                        <w:jc w:val="center"/>
                        <w:rPr>
                          <w:sz w:val="16"/>
                          <w:szCs w:val="16"/>
                        </w:rPr>
                      </w:pPr>
                      <w:r>
                        <w:rPr>
                          <w:sz w:val="16"/>
                          <w:szCs w:val="16"/>
                        </w:rPr>
                        <w:t xml:space="preserve">Balancing settlement </w:t>
                      </w:r>
                      <w:r>
                        <w:rPr>
                          <w:rFonts w:cs="Arial"/>
                          <w:sz w:val="16"/>
                          <w:szCs w:val="16"/>
                        </w:rPr>
                        <w:t>│</w:t>
                      </w:r>
                      <w:r>
                        <w:rPr>
                          <w:sz w:val="16"/>
                          <w:szCs w:val="16"/>
                        </w:rPr>
                        <w:t xml:space="preserve"> Calculation of losses</w:t>
                      </w:r>
                    </w:p>
                    <w:p w14:paraId="57D1661C" w14:textId="5E9DFA5F" w:rsidR="005276A4" w:rsidRDefault="005276A4" w:rsidP="00F0392C">
                      <w:pPr>
                        <w:jc w:val="center"/>
                        <w:rPr>
                          <w:sz w:val="16"/>
                          <w:szCs w:val="16"/>
                        </w:rPr>
                      </w:pPr>
                      <w:r>
                        <w:rPr>
                          <w:sz w:val="16"/>
                          <w:szCs w:val="16"/>
                        </w:rPr>
                        <w:t xml:space="preserve">National market monitoring and reporting </w:t>
                      </w:r>
                    </w:p>
                  </w:txbxContent>
                </v:textbox>
                <w10:anchorlock/>
              </v:shape>
            </w:pict>
          </mc:Fallback>
        </mc:AlternateContent>
      </w:r>
    </w:p>
    <w:p w14:paraId="5BB79A74" w14:textId="1561433B" w:rsidR="00625352" w:rsidRPr="00681DAA" w:rsidRDefault="00625352" w:rsidP="00625352">
      <w:pPr>
        <w:rPr>
          <w:rFonts w:eastAsia="Calibri"/>
          <w:bCs/>
          <w:sz w:val="18"/>
          <w:szCs w:val="18"/>
        </w:rPr>
      </w:pPr>
      <w:bookmarkStart w:id="188" w:name="_Ref76481613"/>
      <w:bookmarkStart w:id="189" w:name="_Toc77260277"/>
      <w:r w:rsidRPr="00681DAA">
        <w:rPr>
          <w:rFonts w:eastAsia="Calibri"/>
          <w:bCs/>
          <w:sz w:val="18"/>
          <w:szCs w:val="18"/>
        </w:rPr>
        <w:t xml:space="preserve">Figure </w:t>
      </w:r>
      <w:r w:rsidRPr="00681DAA">
        <w:rPr>
          <w:rFonts w:eastAsia="Calibri"/>
          <w:bCs/>
          <w:sz w:val="18"/>
          <w:szCs w:val="18"/>
        </w:rPr>
        <w:fldChar w:fldCharType="begin"/>
      </w:r>
      <w:r w:rsidRPr="00316837">
        <w:rPr>
          <w:rFonts w:eastAsia="Calibri"/>
          <w:bCs/>
          <w:sz w:val="18"/>
          <w:szCs w:val="18"/>
        </w:rPr>
        <w:instrText xml:space="preserve"> STYLEREF 1 \s </w:instrText>
      </w:r>
      <w:r w:rsidRPr="00681DAA">
        <w:rPr>
          <w:rFonts w:eastAsia="Calibri"/>
          <w:bCs/>
          <w:sz w:val="18"/>
          <w:szCs w:val="18"/>
        </w:rPr>
        <w:fldChar w:fldCharType="separate"/>
      </w:r>
      <w:r w:rsidRPr="00681DAA">
        <w:rPr>
          <w:rFonts w:eastAsia="Calibri"/>
          <w:bCs/>
          <w:sz w:val="18"/>
          <w:szCs w:val="18"/>
        </w:rPr>
        <w:t>5</w:t>
      </w:r>
      <w:r w:rsidRPr="00681DAA">
        <w:rPr>
          <w:rFonts w:eastAsia="Calibri"/>
          <w:sz w:val="18"/>
          <w:szCs w:val="18"/>
        </w:rPr>
        <w:fldChar w:fldCharType="end"/>
      </w:r>
      <w:r w:rsidRPr="00654753">
        <w:rPr>
          <w:rFonts w:eastAsia="Calibri"/>
          <w:bCs/>
          <w:sz w:val="18"/>
          <w:szCs w:val="18"/>
        </w:rPr>
        <w:noBreakHyphen/>
      </w:r>
      <w:r w:rsidRPr="00681DAA">
        <w:rPr>
          <w:rFonts w:eastAsia="Calibri"/>
          <w:bCs/>
          <w:sz w:val="18"/>
          <w:szCs w:val="18"/>
        </w:rPr>
        <w:fldChar w:fldCharType="begin"/>
      </w:r>
      <w:r w:rsidRPr="00316837">
        <w:rPr>
          <w:rFonts w:eastAsia="Calibri"/>
          <w:bCs/>
          <w:sz w:val="18"/>
          <w:szCs w:val="18"/>
        </w:rPr>
        <w:instrText xml:space="preserve"> SEQ Figure \* ARABIC \s 1 </w:instrText>
      </w:r>
      <w:r w:rsidRPr="00681DAA">
        <w:rPr>
          <w:rFonts w:eastAsia="Calibri"/>
          <w:bCs/>
          <w:sz w:val="18"/>
          <w:szCs w:val="18"/>
        </w:rPr>
        <w:fldChar w:fldCharType="separate"/>
      </w:r>
      <w:r w:rsidR="00316837">
        <w:rPr>
          <w:rFonts w:eastAsia="Calibri"/>
          <w:bCs/>
          <w:noProof/>
          <w:sz w:val="18"/>
          <w:szCs w:val="18"/>
        </w:rPr>
        <w:t>1</w:t>
      </w:r>
      <w:r w:rsidRPr="00681DAA">
        <w:rPr>
          <w:rFonts w:eastAsia="Calibri"/>
          <w:sz w:val="18"/>
          <w:szCs w:val="18"/>
        </w:rPr>
        <w:fldChar w:fldCharType="end"/>
      </w:r>
      <w:bookmarkEnd w:id="188"/>
      <w:r w:rsidRPr="00654753">
        <w:rPr>
          <w:rFonts w:eastAsia="Calibri"/>
          <w:bCs/>
          <w:sz w:val="18"/>
          <w:szCs w:val="18"/>
        </w:rPr>
        <w:t>: SAPP market concept (source: SAPP)</w:t>
      </w:r>
      <w:bookmarkEnd w:id="189"/>
      <w:r w:rsidRPr="00654753">
        <w:rPr>
          <w:rFonts w:eastAsia="Calibri"/>
          <w:bCs/>
          <w:sz w:val="18"/>
          <w:szCs w:val="18"/>
        </w:rPr>
        <w:t xml:space="preserve"> </w:t>
      </w:r>
    </w:p>
    <w:p w14:paraId="1AB23C36" w14:textId="77777777" w:rsidR="00625352" w:rsidRPr="00681DAA" w:rsidRDefault="00625352" w:rsidP="00625352">
      <w:pPr>
        <w:rPr>
          <w:rFonts w:eastAsia="Calibri"/>
          <w:szCs w:val="22"/>
        </w:rPr>
      </w:pPr>
    </w:p>
    <w:p w14:paraId="29385DB7" w14:textId="74228558" w:rsidR="001C5DFE" w:rsidRPr="00316837" w:rsidRDefault="001C5DFE" w:rsidP="00765926">
      <w:pPr>
        <w:rPr>
          <w:rFonts w:eastAsia="Calibri"/>
          <w:szCs w:val="22"/>
        </w:rPr>
      </w:pPr>
      <w:r w:rsidRPr="00681DAA">
        <w:rPr>
          <w:rFonts w:eastAsia="Calibri"/>
          <w:szCs w:val="22"/>
        </w:rPr>
        <w:lastRenderedPageBreak/>
        <w:t>As there are no common interconnections between any two Power Pools yet, there is no inter-Po</w:t>
      </w:r>
      <w:r w:rsidRPr="00316837">
        <w:rPr>
          <w:rFonts w:eastAsia="Calibri"/>
          <w:szCs w:val="22"/>
        </w:rPr>
        <w:t xml:space="preserve">wer Pool trading at this stage. </w:t>
      </w:r>
      <w:r w:rsidR="00765926" w:rsidRPr="00316837">
        <w:rPr>
          <w:rFonts w:eastAsia="Calibri"/>
          <w:szCs w:val="22"/>
        </w:rPr>
        <w:t xml:space="preserve">For that to happen, the interconnecting Power Pools will have to come up with more concrete reference to the coupling initiative between the two and more details on the governance of the cooperation as well as the concrete activities to be supported. </w:t>
      </w:r>
    </w:p>
    <w:p w14:paraId="6503A5A8" w14:textId="353DC8CC" w:rsidR="001C5DFE" w:rsidRPr="00316837" w:rsidRDefault="00BA4CDB" w:rsidP="00483DE9">
      <w:pPr>
        <w:rPr>
          <w:rFonts w:eastAsia="Calibri"/>
          <w:szCs w:val="22"/>
        </w:rPr>
      </w:pPr>
      <w:r w:rsidRPr="00316837">
        <w:rPr>
          <w:rFonts w:eastAsia="Calibri"/>
          <w:szCs w:val="22"/>
        </w:rPr>
        <w:t xml:space="preserve">Based on the above discussions, the Guidelines 4 is presented as follows: </w:t>
      </w:r>
    </w:p>
    <w:p w14:paraId="1E4D117A" w14:textId="44497D72" w:rsidR="00BA4CDB" w:rsidRPr="00654753" w:rsidRDefault="00BA4CDB" w:rsidP="00483DE9">
      <w:pPr>
        <w:rPr>
          <w:rFonts w:eastAsia="Calibri"/>
          <w:szCs w:val="22"/>
        </w:rPr>
      </w:pPr>
      <w:r w:rsidRPr="006273BD">
        <w:rPr>
          <w:rFonts w:eastAsia="Calibri"/>
          <w:noProof/>
          <w:lang w:eastAsia="en-GB"/>
        </w:rPr>
        <mc:AlternateContent>
          <mc:Choice Requires="wps">
            <w:drawing>
              <wp:inline distT="0" distB="0" distL="0" distR="0" wp14:anchorId="525E4AEA" wp14:editId="1F8A2481">
                <wp:extent cx="6112800" cy="4418252"/>
                <wp:effectExtent l="0" t="0" r="21590" b="20955"/>
                <wp:docPr id="48" name="Text Box 48"/>
                <wp:cNvGraphicFramePr/>
                <a:graphic xmlns:a="http://schemas.openxmlformats.org/drawingml/2006/main">
                  <a:graphicData uri="http://schemas.microsoft.com/office/word/2010/wordprocessingShape">
                    <wps:wsp>
                      <wps:cNvSpPr txBox="1"/>
                      <wps:spPr>
                        <a:xfrm>
                          <a:off x="0" y="0"/>
                          <a:ext cx="6112800" cy="4418252"/>
                        </a:xfrm>
                        <a:prstGeom prst="rect">
                          <a:avLst/>
                        </a:prstGeom>
                        <a:solidFill>
                          <a:srgbClr val="9BBB59">
                            <a:lumMod val="20000"/>
                            <a:lumOff val="80000"/>
                          </a:srgbClr>
                        </a:solidFill>
                        <a:ln w="6350">
                          <a:solidFill>
                            <a:prstClr val="black"/>
                          </a:solidFill>
                        </a:ln>
                        <a:effectLst/>
                      </wps:spPr>
                      <wps:txbx>
                        <w:txbxContent>
                          <w:p w14:paraId="73465AD0" w14:textId="2E4910F8" w:rsidR="005276A4" w:rsidRPr="003D494F" w:rsidRDefault="005276A4" w:rsidP="00BA4CDB">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.1:</w:t>
                            </w:r>
                            <w:r w:rsidRPr="003D494F">
                              <w:rPr>
                                <w:rFonts w:cs="Arial"/>
                                <w:bCs/>
                                <w:szCs w:val="20"/>
                              </w:rPr>
                              <w:t xml:space="preserve"> </w:t>
                            </w:r>
                            <w:r>
                              <w:rPr>
                                <w:rFonts w:cs="Arial"/>
                                <w:bCs/>
                                <w:szCs w:val="20"/>
                              </w:rPr>
                              <w:t xml:space="preserve">Market Compatibility for Trading – Bilateral Contracts </w:t>
                            </w:r>
                          </w:p>
                          <w:p w14:paraId="48E2902F" w14:textId="04774CD4" w:rsidR="005276A4" w:rsidRPr="00DE37F7"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Bilateral contracts do not have to be part of the central organised market </w:t>
                            </w:r>
                            <w:r>
                              <w:rPr>
                                <w:rFonts w:ascii="Arial" w:hAnsi="Arial" w:cs="Arial"/>
                                <w:bCs/>
                                <w:sz w:val="20"/>
                                <w:szCs w:val="20"/>
                                <w:lang w:val="en-GB"/>
                              </w:rPr>
                              <w:t xml:space="preserve">trading </w:t>
                            </w:r>
                            <w:r w:rsidRPr="00DE37F7">
                              <w:rPr>
                                <w:rFonts w:ascii="Arial" w:hAnsi="Arial" w:cs="Arial"/>
                                <w:bCs/>
                                <w:sz w:val="20"/>
                                <w:szCs w:val="20"/>
                                <w:lang w:val="en-GB"/>
                              </w:rPr>
                              <w:t>platform, but can still make a vital part of the Power Pool trading environment to be used for the two main reasons:</w:t>
                            </w:r>
                            <w:r>
                              <w:rPr>
                                <w:rFonts w:ascii="Arial" w:hAnsi="Arial" w:cs="Arial"/>
                                <w:bCs/>
                                <w:sz w:val="20"/>
                                <w:szCs w:val="20"/>
                                <w:lang w:val="en-GB"/>
                              </w:rPr>
                              <w:t xml:space="preserve"> </w:t>
                            </w:r>
                          </w:p>
                          <w:p w14:paraId="51C879F3" w14:textId="0610814A" w:rsidR="005276A4" w:rsidRPr="00DE37F7"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l</w:t>
                            </w:r>
                            <w:r w:rsidRPr="00DE37F7">
                              <w:rPr>
                                <w:rFonts w:ascii="Arial" w:hAnsi="Arial" w:cs="Arial"/>
                                <w:bCs/>
                                <w:sz w:val="20"/>
                                <w:szCs w:val="20"/>
                                <w:lang w:val="en-GB"/>
                              </w:rPr>
                              <w:t>ong-term bilateral contract</w:t>
                            </w:r>
                            <w:r>
                              <w:rPr>
                                <w:rFonts w:ascii="Arial" w:hAnsi="Arial" w:cs="Arial"/>
                                <w:bCs/>
                                <w:sz w:val="20"/>
                                <w:szCs w:val="20"/>
                                <w:lang w:val="en-GB"/>
                              </w:rPr>
                              <w:t>s</w:t>
                            </w:r>
                            <w:r w:rsidRPr="00DE37F7">
                              <w:rPr>
                                <w:rFonts w:ascii="Arial" w:hAnsi="Arial" w:cs="Arial"/>
                                <w:bCs/>
                                <w:sz w:val="20"/>
                                <w:szCs w:val="20"/>
                                <w:lang w:val="en-GB"/>
                              </w:rPr>
                              <w:t xml:space="preserve"> will be a way to underpin the investment for either transmission or generation projects</w:t>
                            </w:r>
                            <w:r>
                              <w:rPr>
                                <w:rFonts w:ascii="Arial" w:hAnsi="Arial" w:cs="Arial"/>
                                <w:bCs/>
                                <w:sz w:val="20"/>
                                <w:szCs w:val="20"/>
                                <w:lang w:val="en-GB"/>
                              </w:rPr>
                              <w:t xml:space="preserve">, and </w:t>
                            </w:r>
                          </w:p>
                          <w:p w14:paraId="4AC265F5" w14:textId="0741A888" w:rsidR="005276A4" w:rsidRPr="00DE37F7"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 xml:space="preserve">long-term bilateral contracts will </w:t>
                            </w:r>
                            <w:r w:rsidRPr="00DE37F7">
                              <w:rPr>
                                <w:rFonts w:ascii="Arial" w:hAnsi="Arial" w:cs="Arial"/>
                                <w:bCs/>
                                <w:sz w:val="20"/>
                                <w:szCs w:val="20"/>
                                <w:lang w:val="en-GB"/>
                              </w:rPr>
                              <w:t xml:space="preserve">support non-standard longer-term agreements between two </w:t>
                            </w:r>
                            <w:r>
                              <w:rPr>
                                <w:rFonts w:ascii="Arial" w:hAnsi="Arial" w:cs="Arial"/>
                                <w:bCs/>
                                <w:sz w:val="20"/>
                                <w:szCs w:val="20"/>
                                <w:lang w:val="en-GB"/>
                              </w:rPr>
                              <w:t xml:space="preserve">contractual </w:t>
                            </w:r>
                            <w:r w:rsidRPr="00DE37F7">
                              <w:rPr>
                                <w:rFonts w:ascii="Arial" w:hAnsi="Arial" w:cs="Arial"/>
                                <w:bCs/>
                                <w:sz w:val="20"/>
                                <w:szCs w:val="20"/>
                                <w:lang w:val="en-GB"/>
                              </w:rPr>
                              <w:t>parties that cannot be traded through the standardi</w:t>
                            </w:r>
                            <w:r>
                              <w:rPr>
                                <w:rFonts w:ascii="Arial" w:hAnsi="Arial" w:cs="Arial"/>
                                <w:bCs/>
                                <w:sz w:val="20"/>
                                <w:szCs w:val="20"/>
                                <w:lang w:val="en-GB"/>
                              </w:rPr>
                              <w:t>s</w:t>
                            </w:r>
                            <w:r w:rsidRPr="00DE37F7">
                              <w:rPr>
                                <w:rFonts w:ascii="Arial" w:hAnsi="Arial" w:cs="Arial"/>
                                <w:bCs/>
                                <w:sz w:val="20"/>
                                <w:szCs w:val="20"/>
                                <w:lang w:val="en-GB"/>
                              </w:rPr>
                              <w:t>ed markets.</w:t>
                            </w:r>
                            <w:r>
                              <w:rPr>
                                <w:rFonts w:ascii="Arial" w:hAnsi="Arial" w:cs="Arial"/>
                                <w:bCs/>
                                <w:sz w:val="20"/>
                                <w:szCs w:val="20"/>
                                <w:lang w:val="en-GB"/>
                              </w:rPr>
                              <w:t xml:space="preserve"> </w:t>
                            </w:r>
                          </w:p>
                          <w:p w14:paraId="39252E74"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Even though bilateral contracts </w:t>
                            </w:r>
                            <w:r>
                              <w:rPr>
                                <w:rFonts w:ascii="Arial" w:hAnsi="Arial" w:cs="Arial"/>
                                <w:bCs/>
                                <w:sz w:val="20"/>
                                <w:szCs w:val="20"/>
                                <w:lang w:val="en-GB"/>
                              </w:rPr>
                              <w:t>do</w:t>
                            </w:r>
                            <w:r w:rsidRPr="00DE37F7">
                              <w:rPr>
                                <w:rFonts w:ascii="Arial" w:hAnsi="Arial" w:cs="Arial"/>
                                <w:bCs/>
                                <w:sz w:val="20"/>
                                <w:szCs w:val="20"/>
                                <w:lang w:val="en-GB"/>
                              </w:rPr>
                              <w:t xml:space="preserve"> not </w:t>
                            </w:r>
                            <w:r>
                              <w:rPr>
                                <w:rFonts w:ascii="Arial" w:hAnsi="Arial" w:cs="Arial"/>
                                <w:bCs/>
                                <w:sz w:val="20"/>
                                <w:szCs w:val="20"/>
                                <w:lang w:val="en-GB"/>
                              </w:rPr>
                              <w:t xml:space="preserve">have to be </w:t>
                            </w:r>
                            <w:r w:rsidRPr="00DE37F7">
                              <w:rPr>
                                <w:rFonts w:ascii="Arial" w:hAnsi="Arial" w:cs="Arial"/>
                                <w:bCs/>
                                <w:sz w:val="20"/>
                                <w:szCs w:val="20"/>
                                <w:lang w:val="en-GB"/>
                              </w:rPr>
                              <w:t xml:space="preserve">negotiated through the central organised market trading platform, all </w:t>
                            </w:r>
                            <w:r>
                              <w:rPr>
                                <w:rFonts w:ascii="Arial" w:hAnsi="Arial" w:cs="Arial"/>
                                <w:bCs/>
                                <w:sz w:val="20"/>
                                <w:szCs w:val="20"/>
                                <w:lang w:val="en-GB"/>
                              </w:rPr>
                              <w:t xml:space="preserve">such </w:t>
                            </w:r>
                            <w:r w:rsidRPr="00DE37F7">
                              <w:rPr>
                                <w:rFonts w:ascii="Arial" w:hAnsi="Arial" w:cs="Arial"/>
                                <w:bCs/>
                                <w:sz w:val="20"/>
                                <w:szCs w:val="20"/>
                                <w:lang w:val="en-GB"/>
                              </w:rPr>
                              <w:t xml:space="preserve">contracts </w:t>
                            </w:r>
                            <w:r>
                              <w:rPr>
                                <w:rFonts w:ascii="Arial" w:hAnsi="Arial" w:cs="Arial"/>
                                <w:bCs/>
                                <w:sz w:val="20"/>
                                <w:szCs w:val="20"/>
                                <w:lang w:val="en-GB"/>
                              </w:rPr>
                              <w:t xml:space="preserve">will be </w:t>
                            </w:r>
                            <w:r w:rsidRPr="00DE37F7">
                              <w:rPr>
                                <w:rFonts w:ascii="Arial" w:hAnsi="Arial" w:cs="Arial"/>
                                <w:bCs/>
                                <w:sz w:val="20"/>
                                <w:szCs w:val="20"/>
                                <w:lang w:val="en-GB"/>
                              </w:rPr>
                              <w:t>registered with its agreed trading path, maximum volume and two c</w:t>
                            </w:r>
                            <w:r>
                              <w:rPr>
                                <w:rFonts w:ascii="Arial" w:hAnsi="Arial" w:cs="Arial"/>
                                <w:bCs/>
                                <w:sz w:val="20"/>
                                <w:szCs w:val="20"/>
                                <w:lang w:val="en-GB"/>
                              </w:rPr>
                              <w:t>ontractual parties</w:t>
                            </w:r>
                            <w:r w:rsidRPr="00DE37F7">
                              <w:rPr>
                                <w:rFonts w:ascii="Arial" w:hAnsi="Arial" w:cs="Arial"/>
                                <w:bCs/>
                                <w:sz w:val="20"/>
                                <w:szCs w:val="20"/>
                                <w:lang w:val="en-GB"/>
                              </w:rPr>
                              <w:t xml:space="preserve">. </w:t>
                            </w:r>
                          </w:p>
                          <w:p w14:paraId="22467C16" w14:textId="7EEA3EFC" w:rsidR="005276A4" w:rsidRPr="00DE37F7"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As part of the daily operation, P</w:t>
                            </w:r>
                            <w:r>
                              <w:rPr>
                                <w:rFonts w:ascii="Arial" w:hAnsi="Arial" w:cs="Arial"/>
                                <w:bCs/>
                                <w:sz w:val="20"/>
                                <w:szCs w:val="20"/>
                                <w:lang w:val="en-GB"/>
                              </w:rPr>
                              <w:t xml:space="preserve">ower </w:t>
                            </w:r>
                            <w:r w:rsidRPr="00DE37F7">
                              <w:rPr>
                                <w:rFonts w:ascii="Arial" w:hAnsi="Arial" w:cs="Arial"/>
                                <w:bCs/>
                                <w:sz w:val="20"/>
                                <w:szCs w:val="20"/>
                                <w:lang w:val="en-GB"/>
                              </w:rPr>
                              <w:t>P</w:t>
                            </w:r>
                            <w:r>
                              <w:rPr>
                                <w:rFonts w:ascii="Arial" w:hAnsi="Arial" w:cs="Arial"/>
                                <w:bCs/>
                                <w:sz w:val="20"/>
                                <w:szCs w:val="20"/>
                                <w:lang w:val="en-GB"/>
                              </w:rPr>
                              <w:t>ool</w:t>
                            </w:r>
                            <w:r w:rsidRPr="00DE37F7">
                              <w:rPr>
                                <w:rFonts w:ascii="Arial" w:hAnsi="Arial" w:cs="Arial"/>
                                <w:bCs/>
                                <w:sz w:val="20"/>
                                <w:szCs w:val="20"/>
                                <w:lang w:val="en-GB"/>
                              </w:rPr>
                              <w:t xml:space="preserve"> will maintain all the nominations and actual utilisation of the bilateral contracts</w:t>
                            </w:r>
                            <w:r>
                              <w:rPr>
                                <w:rFonts w:ascii="Arial" w:hAnsi="Arial" w:cs="Arial"/>
                                <w:bCs/>
                                <w:sz w:val="20"/>
                                <w:szCs w:val="20"/>
                                <w:lang w:val="en-GB"/>
                              </w:rPr>
                              <w:t xml:space="preserve"> for the following </w:t>
                            </w:r>
                            <w:r w:rsidRPr="00DE37F7">
                              <w:rPr>
                                <w:rFonts w:ascii="Arial" w:hAnsi="Arial" w:cs="Arial"/>
                                <w:bCs/>
                                <w:sz w:val="20"/>
                                <w:szCs w:val="20"/>
                                <w:lang w:val="en-GB"/>
                              </w:rPr>
                              <w:t>reasons:</w:t>
                            </w:r>
                            <w:r>
                              <w:rPr>
                                <w:rFonts w:ascii="Arial" w:hAnsi="Arial" w:cs="Arial"/>
                                <w:bCs/>
                                <w:sz w:val="20"/>
                                <w:szCs w:val="20"/>
                                <w:lang w:val="en-GB"/>
                              </w:rPr>
                              <w:t xml:space="preserve"> </w:t>
                            </w:r>
                          </w:p>
                          <w:p w14:paraId="05131510" w14:textId="563859C6" w:rsidR="005276A4" w:rsidRPr="00DE37F7"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t</w:t>
                            </w:r>
                            <w:r w:rsidRPr="00DE37F7">
                              <w:rPr>
                                <w:rFonts w:ascii="Arial" w:hAnsi="Arial" w:cs="Arial"/>
                                <w:bCs/>
                                <w:sz w:val="20"/>
                                <w:szCs w:val="20"/>
                                <w:lang w:val="en-GB"/>
                              </w:rPr>
                              <w:t xml:space="preserve">o be able to optimise the use of the transmission capacity between the countries in the </w:t>
                            </w:r>
                            <w:r>
                              <w:rPr>
                                <w:rFonts w:ascii="Arial" w:hAnsi="Arial" w:cs="Arial"/>
                                <w:bCs/>
                                <w:sz w:val="20"/>
                                <w:szCs w:val="20"/>
                                <w:lang w:val="en-GB"/>
                              </w:rPr>
                              <w:t>regional transmission</w:t>
                            </w:r>
                            <w:r w:rsidRPr="00DE37F7">
                              <w:rPr>
                                <w:rFonts w:ascii="Arial" w:hAnsi="Arial" w:cs="Arial"/>
                                <w:bCs/>
                                <w:sz w:val="20"/>
                                <w:szCs w:val="20"/>
                                <w:lang w:val="en-GB"/>
                              </w:rPr>
                              <w:t xml:space="preserve"> network</w:t>
                            </w:r>
                            <w:r>
                              <w:rPr>
                                <w:rFonts w:ascii="Arial" w:hAnsi="Arial" w:cs="Arial"/>
                                <w:bCs/>
                                <w:sz w:val="20"/>
                                <w:szCs w:val="20"/>
                                <w:lang w:val="en-GB"/>
                              </w:rPr>
                              <w:t xml:space="preserve">, </w:t>
                            </w:r>
                          </w:p>
                          <w:p w14:paraId="6AFD1818" w14:textId="459EA2D8" w:rsidR="005276A4" w:rsidRPr="00DE37F7"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t</w:t>
                            </w:r>
                            <w:r w:rsidRPr="00DE37F7">
                              <w:rPr>
                                <w:rFonts w:ascii="Arial" w:hAnsi="Arial" w:cs="Arial"/>
                                <w:bCs/>
                                <w:sz w:val="20"/>
                                <w:szCs w:val="20"/>
                                <w:lang w:val="en-GB"/>
                              </w:rPr>
                              <w:t>o allow P</w:t>
                            </w:r>
                            <w:r>
                              <w:rPr>
                                <w:rFonts w:ascii="Arial" w:hAnsi="Arial" w:cs="Arial"/>
                                <w:bCs/>
                                <w:sz w:val="20"/>
                                <w:szCs w:val="20"/>
                                <w:lang w:val="en-GB"/>
                              </w:rPr>
                              <w:t xml:space="preserve">ower </w:t>
                            </w:r>
                            <w:r w:rsidRPr="00DE37F7">
                              <w:rPr>
                                <w:rFonts w:ascii="Arial" w:hAnsi="Arial" w:cs="Arial"/>
                                <w:bCs/>
                                <w:sz w:val="20"/>
                                <w:szCs w:val="20"/>
                                <w:lang w:val="en-GB"/>
                              </w:rPr>
                              <w:t>P</w:t>
                            </w:r>
                            <w:r>
                              <w:rPr>
                                <w:rFonts w:ascii="Arial" w:hAnsi="Arial" w:cs="Arial"/>
                                <w:bCs/>
                                <w:sz w:val="20"/>
                                <w:szCs w:val="20"/>
                                <w:lang w:val="en-GB"/>
                              </w:rPr>
                              <w:t>ool</w:t>
                            </w:r>
                            <w:r w:rsidRPr="00DE37F7">
                              <w:rPr>
                                <w:rFonts w:ascii="Arial" w:hAnsi="Arial" w:cs="Arial"/>
                                <w:bCs/>
                                <w:sz w:val="20"/>
                                <w:szCs w:val="20"/>
                                <w:lang w:val="en-GB"/>
                              </w:rPr>
                              <w:t xml:space="preserve"> to perform settlement of both wheeling and losses through a common methodology with the </w:t>
                            </w:r>
                            <w:r>
                              <w:rPr>
                                <w:rFonts w:ascii="Arial" w:hAnsi="Arial" w:cs="Arial"/>
                                <w:bCs/>
                                <w:sz w:val="20"/>
                                <w:szCs w:val="20"/>
                                <w:lang w:val="en-GB"/>
                              </w:rPr>
                              <w:t xml:space="preserve">organised </w:t>
                            </w:r>
                            <w:r w:rsidRPr="00DE37F7">
                              <w:rPr>
                                <w:rFonts w:ascii="Arial" w:hAnsi="Arial" w:cs="Arial"/>
                                <w:bCs/>
                                <w:sz w:val="20"/>
                                <w:szCs w:val="20"/>
                                <w:lang w:val="en-GB"/>
                              </w:rPr>
                              <w:t>market trading and act as a central counterpart for the settlement of these</w:t>
                            </w:r>
                            <w:r>
                              <w:rPr>
                                <w:rFonts w:ascii="Arial" w:hAnsi="Arial" w:cs="Arial"/>
                                <w:bCs/>
                                <w:sz w:val="20"/>
                                <w:szCs w:val="20"/>
                                <w:lang w:val="en-GB"/>
                              </w:rPr>
                              <w:t xml:space="preserve">, and </w:t>
                            </w:r>
                          </w:p>
                          <w:p w14:paraId="6D16CA6E" w14:textId="25106DEE" w:rsidR="005276A4" w:rsidRPr="003D494F"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t</w:t>
                            </w:r>
                            <w:r w:rsidRPr="00DE37F7">
                              <w:rPr>
                                <w:rFonts w:ascii="Arial" w:hAnsi="Arial" w:cs="Arial"/>
                                <w:bCs/>
                                <w:sz w:val="20"/>
                                <w:szCs w:val="20"/>
                                <w:lang w:val="en-GB"/>
                              </w:rPr>
                              <w:t xml:space="preserve">o use these values as part of the </w:t>
                            </w:r>
                            <w:r>
                              <w:rPr>
                                <w:rFonts w:ascii="Arial" w:hAnsi="Arial" w:cs="Arial"/>
                                <w:bCs/>
                                <w:sz w:val="20"/>
                                <w:szCs w:val="20"/>
                                <w:lang w:val="en-GB"/>
                              </w:rPr>
                              <w:t>e</w:t>
                            </w:r>
                            <w:r w:rsidRPr="00DE37F7">
                              <w:rPr>
                                <w:rFonts w:ascii="Arial" w:hAnsi="Arial" w:cs="Arial"/>
                                <w:bCs/>
                                <w:sz w:val="20"/>
                                <w:szCs w:val="20"/>
                                <w:lang w:val="en-GB"/>
                              </w:rPr>
                              <w:t xml:space="preserve">nergy </w:t>
                            </w:r>
                            <w:r>
                              <w:rPr>
                                <w:rFonts w:ascii="Arial" w:hAnsi="Arial" w:cs="Arial"/>
                                <w:bCs/>
                                <w:sz w:val="20"/>
                                <w:szCs w:val="20"/>
                                <w:lang w:val="en-GB"/>
                              </w:rPr>
                              <w:t>i</w:t>
                            </w:r>
                            <w:r w:rsidRPr="00DE37F7">
                              <w:rPr>
                                <w:rFonts w:ascii="Arial" w:hAnsi="Arial" w:cs="Arial"/>
                                <w:bCs/>
                                <w:sz w:val="20"/>
                                <w:szCs w:val="20"/>
                                <w:lang w:val="en-GB"/>
                              </w:rPr>
                              <w:t>mbalance calculations to manage this (=inadvertent energy).</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5E4AEA" id="Text Box 48" o:spid="_x0000_s1040" type="#_x0000_t202" style="width:481.3pt;height:3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" fillcolor="#ebf1de" strokeweight=".5pt">
                <v:textbox>
                  <w:txbxContent>
                    <w:p w14:paraId="73465AD0" w14:textId="2E4910F8" w:rsidR="005276A4" w:rsidRPr="003D494F" w:rsidRDefault="005276A4" w:rsidP="00BA4CDB">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.1:</w:t>
                      </w:r>
                      <w:r w:rsidRPr="003D494F">
                        <w:rPr>
                          <w:rFonts w:cs="Arial"/>
                          <w:bCs/>
                          <w:szCs w:val="20"/>
                        </w:rPr>
                        <w:t xml:space="preserve"> </w:t>
                      </w:r>
                      <w:r>
                        <w:rPr>
                          <w:rFonts w:cs="Arial"/>
                          <w:bCs/>
                          <w:szCs w:val="20"/>
                        </w:rPr>
                        <w:t xml:space="preserve">Market Compatibility for Trading – Bilateral Contracts </w:t>
                      </w:r>
                    </w:p>
                    <w:p w14:paraId="48E2902F" w14:textId="04774CD4" w:rsidR="005276A4" w:rsidRPr="00DE37F7"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Bilateral contracts do not have to be part of the central organised market </w:t>
                      </w:r>
                      <w:r>
                        <w:rPr>
                          <w:rFonts w:ascii="Arial" w:hAnsi="Arial" w:cs="Arial"/>
                          <w:bCs/>
                          <w:sz w:val="20"/>
                          <w:szCs w:val="20"/>
                          <w:lang w:val="en-GB"/>
                        </w:rPr>
                        <w:t xml:space="preserve">trading </w:t>
                      </w:r>
                      <w:r w:rsidRPr="00DE37F7">
                        <w:rPr>
                          <w:rFonts w:ascii="Arial" w:hAnsi="Arial" w:cs="Arial"/>
                          <w:bCs/>
                          <w:sz w:val="20"/>
                          <w:szCs w:val="20"/>
                          <w:lang w:val="en-GB"/>
                        </w:rPr>
                        <w:t>platform, but can still make a vital part of the Power Pool trading environment to be used for the two main reasons:</w:t>
                      </w:r>
                      <w:r>
                        <w:rPr>
                          <w:rFonts w:ascii="Arial" w:hAnsi="Arial" w:cs="Arial"/>
                          <w:bCs/>
                          <w:sz w:val="20"/>
                          <w:szCs w:val="20"/>
                          <w:lang w:val="en-GB"/>
                        </w:rPr>
                        <w:t xml:space="preserve"> </w:t>
                      </w:r>
                    </w:p>
                    <w:p w14:paraId="51C879F3" w14:textId="0610814A" w:rsidR="005276A4" w:rsidRPr="00DE37F7"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l</w:t>
                      </w:r>
                      <w:r w:rsidRPr="00DE37F7">
                        <w:rPr>
                          <w:rFonts w:ascii="Arial" w:hAnsi="Arial" w:cs="Arial"/>
                          <w:bCs/>
                          <w:sz w:val="20"/>
                          <w:szCs w:val="20"/>
                          <w:lang w:val="en-GB"/>
                        </w:rPr>
                        <w:t>ong-term bilateral contract</w:t>
                      </w:r>
                      <w:r>
                        <w:rPr>
                          <w:rFonts w:ascii="Arial" w:hAnsi="Arial" w:cs="Arial"/>
                          <w:bCs/>
                          <w:sz w:val="20"/>
                          <w:szCs w:val="20"/>
                          <w:lang w:val="en-GB"/>
                        </w:rPr>
                        <w:t>s</w:t>
                      </w:r>
                      <w:r w:rsidRPr="00DE37F7">
                        <w:rPr>
                          <w:rFonts w:ascii="Arial" w:hAnsi="Arial" w:cs="Arial"/>
                          <w:bCs/>
                          <w:sz w:val="20"/>
                          <w:szCs w:val="20"/>
                          <w:lang w:val="en-GB"/>
                        </w:rPr>
                        <w:t xml:space="preserve"> will be a way to underpin the investment for either transmission or generation projects</w:t>
                      </w:r>
                      <w:r>
                        <w:rPr>
                          <w:rFonts w:ascii="Arial" w:hAnsi="Arial" w:cs="Arial"/>
                          <w:bCs/>
                          <w:sz w:val="20"/>
                          <w:szCs w:val="20"/>
                          <w:lang w:val="en-GB"/>
                        </w:rPr>
                        <w:t xml:space="preserve">, and </w:t>
                      </w:r>
                    </w:p>
                    <w:p w14:paraId="4AC265F5" w14:textId="0741A888" w:rsidR="005276A4" w:rsidRPr="00DE37F7"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 xml:space="preserve">long-term bilateral contracts will </w:t>
                      </w:r>
                      <w:r w:rsidRPr="00DE37F7">
                        <w:rPr>
                          <w:rFonts w:ascii="Arial" w:hAnsi="Arial" w:cs="Arial"/>
                          <w:bCs/>
                          <w:sz w:val="20"/>
                          <w:szCs w:val="20"/>
                          <w:lang w:val="en-GB"/>
                        </w:rPr>
                        <w:t xml:space="preserve">support non-standard longer-term agreements between two </w:t>
                      </w:r>
                      <w:r>
                        <w:rPr>
                          <w:rFonts w:ascii="Arial" w:hAnsi="Arial" w:cs="Arial"/>
                          <w:bCs/>
                          <w:sz w:val="20"/>
                          <w:szCs w:val="20"/>
                          <w:lang w:val="en-GB"/>
                        </w:rPr>
                        <w:t xml:space="preserve">contractual </w:t>
                      </w:r>
                      <w:r w:rsidRPr="00DE37F7">
                        <w:rPr>
                          <w:rFonts w:ascii="Arial" w:hAnsi="Arial" w:cs="Arial"/>
                          <w:bCs/>
                          <w:sz w:val="20"/>
                          <w:szCs w:val="20"/>
                          <w:lang w:val="en-GB"/>
                        </w:rPr>
                        <w:t>parties that cannot be traded through the standardi</w:t>
                      </w:r>
                      <w:r>
                        <w:rPr>
                          <w:rFonts w:ascii="Arial" w:hAnsi="Arial" w:cs="Arial"/>
                          <w:bCs/>
                          <w:sz w:val="20"/>
                          <w:szCs w:val="20"/>
                          <w:lang w:val="en-GB"/>
                        </w:rPr>
                        <w:t>s</w:t>
                      </w:r>
                      <w:r w:rsidRPr="00DE37F7">
                        <w:rPr>
                          <w:rFonts w:ascii="Arial" w:hAnsi="Arial" w:cs="Arial"/>
                          <w:bCs/>
                          <w:sz w:val="20"/>
                          <w:szCs w:val="20"/>
                          <w:lang w:val="en-GB"/>
                        </w:rPr>
                        <w:t>ed markets.</w:t>
                      </w:r>
                      <w:r>
                        <w:rPr>
                          <w:rFonts w:ascii="Arial" w:hAnsi="Arial" w:cs="Arial"/>
                          <w:bCs/>
                          <w:sz w:val="20"/>
                          <w:szCs w:val="20"/>
                          <w:lang w:val="en-GB"/>
                        </w:rPr>
                        <w:t xml:space="preserve"> </w:t>
                      </w:r>
                    </w:p>
                    <w:p w14:paraId="39252E74"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Even though bilateral contracts </w:t>
                      </w:r>
                      <w:r>
                        <w:rPr>
                          <w:rFonts w:ascii="Arial" w:hAnsi="Arial" w:cs="Arial"/>
                          <w:bCs/>
                          <w:sz w:val="20"/>
                          <w:szCs w:val="20"/>
                          <w:lang w:val="en-GB"/>
                        </w:rPr>
                        <w:t>do</w:t>
                      </w:r>
                      <w:r w:rsidRPr="00DE37F7">
                        <w:rPr>
                          <w:rFonts w:ascii="Arial" w:hAnsi="Arial" w:cs="Arial"/>
                          <w:bCs/>
                          <w:sz w:val="20"/>
                          <w:szCs w:val="20"/>
                          <w:lang w:val="en-GB"/>
                        </w:rPr>
                        <w:t xml:space="preserve"> not </w:t>
                      </w:r>
                      <w:r>
                        <w:rPr>
                          <w:rFonts w:ascii="Arial" w:hAnsi="Arial" w:cs="Arial"/>
                          <w:bCs/>
                          <w:sz w:val="20"/>
                          <w:szCs w:val="20"/>
                          <w:lang w:val="en-GB"/>
                        </w:rPr>
                        <w:t xml:space="preserve">have to be </w:t>
                      </w:r>
                      <w:r w:rsidRPr="00DE37F7">
                        <w:rPr>
                          <w:rFonts w:ascii="Arial" w:hAnsi="Arial" w:cs="Arial"/>
                          <w:bCs/>
                          <w:sz w:val="20"/>
                          <w:szCs w:val="20"/>
                          <w:lang w:val="en-GB"/>
                        </w:rPr>
                        <w:t xml:space="preserve">negotiated through the central organised market trading platform, all </w:t>
                      </w:r>
                      <w:r>
                        <w:rPr>
                          <w:rFonts w:ascii="Arial" w:hAnsi="Arial" w:cs="Arial"/>
                          <w:bCs/>
                          <w:sz w:val="20"/>
                          <w:szCs w:val="20"/>
                          <w:lang w:val="en-GB"/>
                        </w:rPr>
                        <w:t xml:space="preserve">such </w:t>
                      </w:r>
                      <w:r w:rsidRPr="00DE37F7">
                        <w:rPr>
                          <w:rFonts w:ascii="Arial" w:hAnsi="Arial" w:cs="Arial"/>
                          <w:bCs/>
                          <w:sz w:val="20"/>
                          <w:szCs w:val="20"/>
                          <w:lang w:val="en-GB"/>
                        </w:rPr>
                        <w:t xml:space="preserve">contracts </w:t>
                      </w:r>
                      <w:r>
                        <w:rPr>
                          <w:rFonts w:ascii="Arial" w:hAnsi="Arial" w:cs="Arial"/>
                          <w:bCs/>
                          <w:sz w:val="20"/>
                          <w:szCs w:val="20"/>
                          <w:lang w:val="en-GB"/>
                        </w:rPr>
                        <w:t xml:space="preserve">will be </w:t>
                      </w:r>
                      <w:r w:rsidRPr="00DE37F7">
                        <w:rPr>
                          <w:rFonts w:ascii="Arial" w:hAnsi="Arial" w:cs="Arial"/>
                          <w:bCs/>
                          <w:sz w:val="20"/>
                          <w:szCs w:val="20"/>
                          <w:lang w:val="en-GB"/>
                        </w:rPr>
                        <w:t>registered with its agreed trading path, maximum volume and two c</w:t>
                      </w:r>
                      <w:r>
                        <w:rPr>
                          <w:rFonts w:ascii="Arial" w:hAnsi="Arial" w:cs="Arial"/>
                          <w:bCs/>
                          <w:sz w:val="20"/>
                          <w:szCs w:val="20"/>
                          <w:lang w:val="en-GB"/>
                        </w:rPr>
                        <w:t>ontractual parties</w:t>
                      </w:r>
                      <w:r w:rsidRPr="00DE37F7">
                        <w:rPr>
                          <w:rFonts w:ascii="Arial" w:hAnsi="Arial" w:cs="Arial"/>
                          <w:bCs/>
                          <w:sz w:val="20"/>
                          <w:szCs w:val="20"/>
                          <w:lang w:val="en-GB"/>
                        </w:rPr>
                        <w:t xml:space="preserve">. </w:t>
                      </w:r>
                    </w:p>
                    <w:p w14:paraId="22467C16" w14:textId="7EEA3EFC" w:rsidR="005276A4" w:rsidRPr="00DE37F7"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As part of the daily operation, P</w:t>
                      </w:r>
                      <w:r>
                        <w:rPr>
                          <w:rFonts w:ascii="Arial" w:hAnsi="Arial" w:cs="Arial"/>
                          <w:bCs/>
                          <w:sz w:val="20"/>
                          <w:szCs w:val="20"/>
                          <w:lang w:val="en-GB"/>
                        </w:rPr>
                        <w:t xml:space="preserve">ower </w:t>
                      </w:r>
                      <w:r w:rsidRPr="00DE37F7">
                        <w:rPr>
                          <w:rFonts w:ascii="Arial" w:hAnsi="Arial" w:cs="Arial"/>
                          <w:bCs/>
                          <w:sz w:val="20"/>
                          <w:szCs w:val="20"/>
                          <w:lang w:val="en-GB"/>
                        </w:rPr>
                        <w:t>P</w:t>
                      </w:r>
                      <w:r>
                        <w:rPr>
                          <w:rFonts w:ascii="Arial" w:hAnsi="Arial" w:cs="Arial"/>
                          <w:bCs/>
                          <w:sz w:val="20"/>
                          <w:szCs w:val="20"/>
                          <w:lang w:val="en-GB"/>
                        </w:rPr>
                        <w:t>ool</w:t>
                      </w:r>
                      <w:r w:rsidRPr="00DE37F7">
                        <w:rPr>
                          <w:rFonts w:ascii="Arial" w:hAnsi="Arial" w:cs="Arial"/>
                          <w:bCs/>
                          <w:sz w:val="20"/>
                          <w:szCs w:val="20"/>
                          <w:lang w:val="en-GB"/>
                        </w:rPr>
                        <w:t xml:space="preserve"> will maintain all the nominations and actual utilisation of the bilateral contracts</w:t>
                      </w:r>
                      <w:r>
                        <w:rPr>
                          <w:rFonts w:ascii="Arial" w:hAnsi="Arial" w:cs="Arial"/>
                          <w:bCs/>
                          <w:sz w:val="20"/>
                          <w:szCs w:val="20"/>
                          <w:lang w:val="en-GB"/>
                        </w:rPr>
                        <w:t xml:space="preserve"> for the following </w:t>
                      </w:r>
                      <w:r w:rsidRPr="00DE37F7">
                        <w:rPr>
                          <w:rFonts w:ascii="Arial" w:hAnsi="Arial" w:cs="Arial"/>
                          <w:bCs/>
                          <w:sz w:val="20"/>
                          <w:szCs w:val="20"/>
                          <w:lang w:val="en-GB"/>
                        </w:rPr>
                        <w:t>reasons:</w:t>
                      </w:r>
                      <w:r>
                        <w:rPr>
                          <w:rFonts w:ascii="Arial" w:hAnsi="Arial" w:cs="Arial"/>
                          <w:bCs/>
                          <w:sz w:val="20"/>
                          <w:szCs w:val="20"/>
                          <w:lang w:val="en-GB"/>
                        </w:rPr>
                        <w:t xml:space="preserve"> </w:t>
                      </w:r>
                    </w:p>
                    <w:p w14:paraId="05131510" w14:textId="563859C6" w:rsidR="005276A4" w:rsidRPr="00DE37F7"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t</w:t>
                      </w:r>
                      <w:r w:rsidRPr="00DE37F7">
                        <w:rPr>
                          <w:rFonts w:ascii="Arial" w:hAnsi="Arial" w:cs="Arial"/>
                          <w:bCs/>
                          <w:sz w:val="20"/>
                          <w:szCs w:val="20"/>
                          <w:lang w:val="en-GB"/>
                        </w:rPr>
                        <w:t xml:space="preserve">o be able to optimise the use of the transmission capacity between the countries in the </w:t>
                      </w:r>
                      <w:r>
                        <w:rPr>
                          <w:rFonts w:ascii="Arial" w:hAnsi="Arial" w:cs="Arial"/>
                          <w:bCs/>
                          <w:sz w:val="20"/>
                          <w:szCs w:val="20"/>
                          <w:lang w:val="en-GB"/>
                        </w:rPr>
                        <w:t>regional transmission</w:t>
                      </w:r>
                      <w:r w:rsidRPr="00DE37F7">
                        <w:rPr>
                          <w:rFonts w:ascii="Arial" w:hAnsi="Arial" w:cs="Arial"/>
                          <w:bCs/>
                          <w:sz w:val="20"/>
                          <w:szCs w:val="20"/>
                          <w:lang w:val="en-GB"/>
                        </w:rPr>
                        <w:t xml:space="preserve"> network</w:t>
                      </w:r>
                      <w:r>
                        <w:rPr>
                          <w:rFonts w:ascii="Arial" w:hAnsi="Arial" w:cs="Arial"/>
                          <w:bCs/>
                          <w:sz w:val="20"/>
                          <w:szCs w:val="20"/>
                          <w:lang w:val="en-GB"/>
                        </w:rPr>
                        <w:t xml:space="preserve">, </w:t>
                      </w:r>
                    </w:p>
                    <w:p w14:paraId="6AFD1818" w14:textId="459EA2D8" w:rsidR="005276A4" w:rsidRPr="00DE37F7"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t</w:t>
                      </w:r>
                      <w:r w:rsidRPr="00DE37F7">
                        <w:rPr>
                          <w:rFonts w:ascii="Arial" w:hAnsi="Arial" w:cs="Arial"/>
                          <w:bCs/>
                          <w:sz w:val="20"/>
                          <w:szCs w:val="20"/>
                          <w:lang w:val="en-GB"/>
                        </w:rPr>
                        <w:t>o allow P</w:t>
                      </w:r>
                      <w:r>
                        <w:rPr>
                          <w:rFonts w:ascii="Arial" w:hAnsi="Arial" w:cs="Arial"/>
                          <w:bCs/>
                          <w:sz w:val="20"/>
                          <w:szCs w:val="20"/>
                          <w:lang w:val="en-GB"/>
                        </w:rPr>
                        <w:t xml:space="preserve">ower </w:t>
                      </w:r>
                      <w:r w:rsidRPr="00DE37F7">
                        <w:rPr>
                          <w:rFonts w:ascii="Arial" w:hAnsi="Arial" w:cs="Arial"/>
                          <w:bCs/>
                          <w:sz w:val="20"/>
                          <w:szCs w:val="20"/>
                          <w:lang w:val="en-GB"/>
                        </w:rPr>
                        <w:t>P</w:t>
                      </w:r>
                      <w:r>
                        <w:rPr>
                          <w:rFonts w:ascii="Arial" w:hAnsi="Arial" w:cs="Arial"/>
                          <w:bCs/>
                          <w:sz w:val="20"/>
                          <w:szCs w:val="20"/>
                          <w:lang w:val="en-GB"/>
                        </w:rPr>
                        <w:t>ool</w:t>
                      </w:r>
                      <w:r w:rsidRPr="00DE37F7">
                        <w:rPr>
                          <w:rFonts w:ascii="Arial" w:hAnsi="Arial" w:cs="Arial"/>
                          <w:bCs/>
                          <w:sz w:val="20"/>
                          <w:szCs w:val="20"/>
                          <w:lang w:val="en-GB"/>
                        </w:rPr>
                        <w:t xml:space="preserve"> to perform settlement of both wheeling and losses through a common methodology with the </w:t>
                      </w:r>
                      <w:r>
                        <w:rPr>
                          <w:rFonts w:ascii="Arial" w:hAnsi="Arial" w:cs="Arial"/>
                          <w:bCs/>
                          <w:sz w:val="20"/>
                          <w:szCs w:val="20"/>
                          <w:lang w:val="en-GB"/>
                        </w:rPr>
                        <w:t xml:space="preserve">organised </w:t>
                      </w:r>
                      <w:r w:rsidRPr="00DE37F7">
                        <w:rPr>
                          <w:rFonts w:ascii="Arial" w:hAnsi="Arial" w:cs="Arial"/>
                          <w:bCs/>
                          <w:sz w:val="20"/>
                          <w:szCs w:val="20"/>
                          <w:lang w:val="en-GB"/>
                        </w:rPr>
                        <w:t>market trading and act as a central counterpart for the settlement of these</w:t>
                      </w:r>
                      <w:r>
                        <w:rPr>
                          <w:rFonts w:ascii="Arial" w:hAnsi="Arial" w:cs="Arial"/>
                          <w:bCs/>
                          <w:sz w:val="20"/>
                          <w:szCs w:val="20"/>
                          <w:lang w:val="en-GB"/>
                        </w:rPr>
                        <w:t xml:space="preserve">, and </w:t>
                      </w:r>
                    </w:p>
                    <w:p w14:paraId="6D16CA6E" w14:textId="25106DEE" w:rsidR="005276A4" w:rsidRPr="003D494F"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t</w:t>
                      </w:r>
                      <w:r w:rsidRPr="00DE37F7">
                        <w:rPr>
                          <w:rFonts w:ascii="Arial" w:hAnsi="Arial" w:cs="Arial"/>
                          <w:bCs/>
                          <w:sz w:val="20"/>
                          <w:szCs w:val="20"/>
                          <w:lang w:val="en-GB"/>
                        </w:rPr>
                        <w:t xml:space="preserve">o use these values as part of the </w:t>
                      </w:r>
                      <w:r>
                        <w:rPr>
                          <w:rFonts w:ascii="Arial" w:hAnsi="Arial" w:cs="Arial"/>
                          <w:bCs/>
                          <w:sz w:val="20"/>
                          <w:szCs w:val="20"/>
                          <w:lang w:val="en-GB"/>
                        </w:rPr>
                        <w:t>e</w:t>
                      </w:r>
                      <w:r w:rsidRPr="00DE37F7">
                        <w:rPr>
                          <w:rFonts w:ascii="Arial" w:hAnsi="Arial" w:cs="Arial"/>
                          <w:bCs/>
                          <w:sz w:val="20"/>
                          <w:szCs w:val="20"/>
                          <w:lang w:val="en-GB"/>
                        </w:rPr>
                        <w:t xml:space="preserve">nergy </w:t>
                      </w:r>
                      <w:r>
                        <w:rPr>
                          <w:rFonts w:ascii="Arial" w:hAnsi="Arial" w:cs="Arial"/>
                          <w:bCs/>
                          <w:sz w:val="20"/>
                          <w:szCs w:val="20"/>
                          <w:lang w:val="en-GB"/>
                        </w:rPr>
                        <w:t>i</w:t>
                      </w:r>
                      <w:r w:rsidRPr="00DE37F7">
                        <w:rPr>
                          <w:rFonts w:ascii="Arial" w:hAnsi="Arial" w:cs="Arial"/>
                          <w:bCs/>
                          <w:sz w:val="20"/>
                          <w:szCs w:val="20"/>
                          <w:lang w:val="en-GB"/>
                        </w:rPr>
                        <w:t>mbalance calculations to manage this (=inadvertent energy).</w:t>
                      </w:r>
                      <w:r>
                        <w:rPr>
                          <w:rFonts w:ascii="Arial" w:hAnsi="Arial" w:cs="Arial"/>
                          <w:bCs/>
                          <w:sz w:val="20"/>
                          <w:szCs w:val="20"/>
                          <w:lang w:val="en-GB"/>
                        </w:rPr>
                        <w:t xml:space="preserve"> </w:t>
                      </w:r>
                    </w:p>
                  </w:txbxContent>
                </v:textbox>
                <w10:anchorlock/>
              </v:shape>
            </w:pict>
          </mc:Fallback>
        </mc:AlternateContent>
      </w:r>
    </w:p>
    <w:p w14:paraId="724CF746" w14:textId="1F80CE32" w:rsidR="00BA4CDB" w:rsidRPr="00654753" w:rsidRDefault="00DE37F7" w:rsidP="00483DE9">
      <w:pPr>
        <w:rPr>
          <w:rFonts w:eastAsia="Calibri"/>
          <w:szCs w:val="22"/>
        </w:rPr>
      </w:pPr>
      <w:r w:rsidRPr="006273BD">
        <w:rPr>
          <w:rFonts w:eastAsia="Calibri"/>
          <w:noProof/>
          <w:lang w:eastAsia="en-GB"/>
        </w:rPr>
        <mc:AlternateContent>
          <mc:Choice Requires="wps">
            <w:drawing>
              <wp:inline distT="0" distB="0" distL="0" distR="0" wp14:anchorId="2B7313EE" wp14:editId="754ABB36">
                <wp:extent cx="6112800" cy="3212538"/>
                <wp:effectExtent l="0" t="0" r="21590" b="26035"/>
                <wp:docPr id="49" name="Text Box 49"/>
                <wp:cNvGraphicFramePr/>
                <a:graphic xmlns:a="http://schemas.openxmlformats.org/drawingml/2006/main">
                  <a:graphicData uri="http://schemas.microsoft.com/office/word/2010/wordprocessingShape">
                    <wps:wsp>
                      <wps:cNvSpPr txBox="1"/>
                      <wps:spPr>
                        <a:xfrm>
                          <a:off x="0" y="0"/>
                          <a:ext cx="6112800" cy="3212538"/>
                        </a:xfrm>
                        <a:prstGeom prst="rect">
                          <a:avLst/>
                        </a:prstGeom>
                        <a:solidFill>
                          <a:srgbClr val="9BBB59">
                            <a:lumMod val="20000"/>
                            <a:lumOff val="80000"/>
                          </a:srgbClr>
                        </a:solidFill>
                        <a:ln w="6350">
                          <a:solidFill>
                            <a:prstClr val="black"/>
                          </a:solidFill>
                        </a:ln>
                        <a:effectLst/>
                      </wps:spPr>
                      <wps:txbx>
                        <w:txbxContent>
                          <w:p w14:paraId="4FAA0DF2" w14:textId="2C8D40BA" w:rsidR="005276A4" w:rsidRPr="003D494F" w:rsidRDefault="005276A4" w:rsidP="00DE37F7">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.2:</w:t>
                            </w:r>
                            <w:r w:rsidRPr="003D494F">
                              <w:rPr>
                                <w:rFonts w:cs="Arial"/>
                                <w:bCs/>
                                <w:szCs w:val="20"/>
                              </w:rPr>
                              <w:t xml:space="preserve"> </w:t>
                            </w:r>
                            <w:r>
                              <w:rPr>
                                <w:rFonts w:cs="Arial"/>
                                <w:bCs/>
                                <w:szCs w:val="20"/>
                              </w:rPr>
                              <w:t xml:space="preserve">Market Compatibility for Trading – </w:t>
                            </w:r>
                            <w:r w:rsidRPr="00DE37F7">
                              <w:rPr>
                                <w:rFonts w:cs="Arial"/>
                                <w:bCs/>
                                <w:szCs w:val="20"/>
                              </w:rPr>
                              <w:t>Forward Physical Market</w:t>
                            </w:r>
                            <w:r>
                              <w:rPr>
                                <w:rFonts w:cs="Arial"/>
                                <w:bCs/>
                                <w:szCs w:val="20"/>
                              </w:rPr>
                              <w:t xml:space="preserve"> </w:t>
                            </w:r>
                          </w:p>
                          <w:p w14:paraId="1AF5F34A" w14:textId="2603DC62"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The Forward Physical Market will be designed to facilitate trading of longer-term physical contracts</w:t>
                            </w:r>
                            <w:r>
                              <w:rPr>
                                <w:rFonts w:ascii="Arial" w:hAnsi="Arial" w:cs="Arial"/>
                                <w:bCs/>
                                <w:sz w:val="20"/>
                                <w:szCs w:val="20"/>
                                <w:lang w:val="en-GB"/>
                              </w:rPr>
                              <w:t xml:space="preserve">, i.e. to enable </w:t>
                            </w:r>
                            <w:r w:rsidRPr="00DE37F7">
                              <w:rPr>
                                <w:rFonts w:ascii="Arial" w:hAnsi="Arial" w:cs="Arial"/>
                                <w:bCs/>
                                <w:sz w:val="20"/>
                                <w:szCs w:val="20"/>
                                <w:lang w:val="en-GB"/>
                              </w:rPr>
                              <w:t>market participants</w:t>
                            </w:r>
                            <w:r>
                              <w:rPr>
                                <w:rFonts w:ascii="Arial" w:hAnsi="Arial" w:cs="Arial"/>
                                <w:bCs/>
                                <w:sz w:val="20"/>
                                <w:szCs w:val="20"/>
                                <w:lang w:val="en-GB"/>
                              </w:rPr>
                              <w:t xml:space="preserve"> </w:t>
                            </w:r>
                            <w:r w:rsidRPr="00DE37F7">
                              <w:rPr>
                                <w:rFonts w:ascii="Arial" w:hAnsi="Arial" w:cs="Arial"/>
                                <w:bCs/>
                                <w:sz w:val="20"/>
                                <w:szCs w:val="20"/>
                                <w:lang w:val="en-GB"/>
                              </w:rPr>
                              <w:t xml:space="preserve">the trade of </w:t>
                            </w:r>
                            <w:r>
                              <w:rPr>
                                <w:rFonts w:ascii="Arial" w:hAnsi="Arial" w:cs="Arial"/>
                                <w:bCs/>
                                <w:sz w:val="20"/>
                                <w:szCs w:val="20"/>
                                <w:lang w:val="en-GB"/>
                              </w:rPr>
                              <w:t xml:space="preserve">yearly, quarterly, </w:t>
                            </w:r>
                            <w:r w:rsidRPr="00DE37F7">
                              <w:rPr>
                                <w:rFonts w:ascii="Arial" w:hAnsi="Arial" w:cs="Arial"/>
                                <w:bCs/>
                                <w:sz w:val="20"/>
                                <w:szCs w:val="20"/>
                                <w:lang w:val="en-GB"/>
                              </w:rPr>
                              <w:t xml:space="preserve">monthly and weekly products. </w:t>
                            </w:r>
                          </w:p>
                          <w:p w14:paraId="1256553F" w14:textId="562FC71E" w:rsidR="005276A4" w:rsidRPr="00DE37F7"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T</w:t>
                            </w:r>
                            <w:r w:rsidRPr="00DE37F7">
                              <w:rPr>
                                <w:rFonts w:ascii="Arial" w:hAnsi="Arial" w:cs="Arial"/>
                                <w:bCs/>
                                <w:sz w:val="20"/>
                                <w:szCs w:val="20"/>
                                <w:lang w:val="en-GB"/>
                              </w:rPr>
                              <w:t xml:space="preserve">he traded volume in the Forward Physical Market </w:t>
                            </w:r>
                            <w:r>
                              <w:rPr>
                                <w:rFonts w:ascii="Arial" w:hAnsi="Arial" w:cs="Arial"/>
                                <w:bCs/>
                                <w:sz w:val="20"/>
                                <w:szCs w:val="20"/>
                                <w:lang w:val="en-GB"/>
                              </w:rPr>
                              <w:t xml:space="preserve">will </w:t>
                            </w:r>
                            <w:r w:rsidRPr="00DE37F7">
                              <w:rPr>
                                <w:rFonts w:ascii="Arial" w:hAnsi="Arial" w:cs="Arial"/>
                                <w:bCs/>
                                <w:sz w:val="20"/>
                                <w:szCs w:val="20"/>
                                <w:lang w:val="en-GB"/>
                              </w:rPr>
                              <w:t>result in a traded contract based on physical delivery on an hourly basis.</w:t>
                            </w:r>
                            <w:r>
                              <w:rPr>
                                <w:rFonts w:ascii="Arial" w:hAnsi="Arial" w:cs="Arial"/>
                                <w:bCs/>
                                <w:sz w:val="20"/>
                                <w:szCs w:val="20"/>
                                <w:lang w:val="en-GB"/>
                              </w:rPr>
                              <w:t xml:space="preserve"> </w:t>
                            </w:r>
                          </w:p>
                          <w:p w14:paraId="058839B6" w14:textId="008E7656"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For the yearly, quarterly, and monthly trading, two time-of-use products will be defined</w:t>
                            </w:r>
                            <w:r>
                              <w:rPr>
                                <w:rFonts w:ascii="Arial" w:hAnsi="Arial" w:cs="Arial"/>
                                <w:bCs/>
                                <w:sz w:val="20"/>
                                <w:szCs w:val="20"/>
                                <w:lang w:val="en-GB"/>
                              </w:rPr>
                              <w:t xml:space="preserve"> (such as</w:t>
                            </w:r>
                            <w:r w:rsidRPr="00DE37F7">
                              <w:rPr>
                                <w:rFonts w:ascii="Arial" w:hAnsi="Arial" w:cs="Arial"/>
                                <w:bCs/>
                                <w:sz w:val="20"/>
                                <w:szCs w:val="20"/>
                                <w:lang w:val="en-GB"/>
                              </w:rPr>
                              <w:t xml:space="preserve"> off-peak hours and non</w:t>
                            </w:r>
                            <w:r>
                              <w:rPr>
                                <w:rFonts w:ascii="Arial" w:hAnsi="Arial" w:cs="Arial"/>
                                <w:bCs/>
                                <w:sz w:val="20"/>
                                <w:szCs w:val="20"/>
                                <w:lang w:val="en-GB"/>
                              </w:rPr>
                              <w:t>-</w:t>
                            </w:r>
                            <w:r w:rsidRPr="00DE37F7">
                              <w:rPr>
                                <w:rFonts w:ascii="Arial" w:hAnsi="Arial" w:cs="Arial"/>
                                <w:bCs/>
                                <w:sz w:val="20"/>
                                <w:szCs w:val="20"/>
                                <w:lang w:val="en-GB"/>
                              </w:rPr>
                              <w:t>off-peak hours</w:t>
                            </w:r>
                            <w:r>
                              <w:rPr>
                                <w:rFonts w:ascii="Arial" w:hAnsi="Arial" w:cs="Arial"/>
                                <w:bCs/>
                                <w:sz w:val="20"/>
                                <w:szCs w:val="20"/>
                                <w:lang w:val="en-GB"/>
                              </w:rPr>
                              <w:t>)</w:t>
                            </w:r>
                            <w:r w:rsidRPr="00DE37F7">
                              <w:rPr>
                                <w:rFonts w:ascii="Arial" w:hAnsi="Arial" w:cs="Arial"/>
                                <w:bCs/>
                                <w:sz w:val="20"/>
                                <w:szCs w:val="20"/>
                                <w:lang w:val="en-GB"/>
                              </w:rPr>
                              <w:t xml:space="preserve">. The target is to create one common base load contract for all hours of the </w:t>
                            </w:r>
                            <w:r>
                              <w:rPr>
                                <w:rFonts w:ascii="Arial" w:hAnsi="Arial" w:cs="Arial"/>
                                <w:bCs/>
                                <w:sz w:val="20"/>
                                <w:szCs w:val="20"/>
                                <w:lang w:val="en-GB"/>
                              </w:rPr>
                              <w:t xml:space="preserve">year, quarter, and </w:t>
                            </w:r>
                            <w:r w:rsidRPr="00DE37F7">
                              <w:rPr>
                                <w:rFonts w:ascii="Arial" w:hAnsi="Arial" w:cs="Arial"/>
                                <w:bCs/>
                                <w:sz w:val="20"/>
                                <w:szCs w:val="20"/>
                                <w:lang w:val="en-GB"/>
                              </w:rPr>
                              <w:t>month.</w:t>
                            </w:r>
                            <w:r>
                              <w:rPr>
                                <w:rFonts w:ascii="Arial" w:hAnsi="Arial" w:cs="Arial"/>
                                <w:bCs/>
                                <w:sz w:val="20"/>
                                <w:szCs w:val="20"/>
                                <w:lang w:val="en-GB"/>
                              </w:rPr>
                              <w:t xml:space="preserve"> </w:t>
                            </w:r>
                          </w:p>
                          <w:p w14:paraId="24664B5B" w14:textId="6FCB0F9E"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For the weekly </w:t>
                            </w:r>
                            <w:r>
                              <w:rPr>
                                <w:rFonts w:ascii="Arial" w:hAnsi="Arial" w:cs="Arial"/>
                                <w:bCs/>
                                <w:sz w:val="20"/>
                                <w:szCs w:val="20"/>
                                <w:lang w:val="en-GB"/>
                              </w:rPr>
                              <w:t>trading</w:t>
                            </w:r>
                            <w:r w:rsidRPr="00DE37F7">
                              <w:rPr>
                                <w:rFonts w:ascii="Arial" w:hAnsi="Arial" w:cs="Arial"/>
                                <w:bCs/>
                                <w:sz w:val="20"/>
                                <w:szCs w:val="20"/>
                                <w:lang w:val="en-GB"/>
                              </w:rPr>
                              <w:t xml:space="preserve">, the products </w:t>
                            </w:r>
                            <w:r>
                              <w:rPr>
                                <w:rFonts w:ascii="Arial" w:hAnsi="Arial" w:cs="Arial"/>
                                <w:bCs/>
                                <w:sz w:val="20"/>
                                <w:szCs w:val="20"/>
                                <w:lang w:val="en-GB"/>
                              </w:rPr>
                              <w:t>will be</w:t>
                            </w:r>
                            <w:r w:rsidRPr="00DE37F7">
                              <w:rPr>
                                <w:rFonts w:ascii="Arial" w:hAnsi="Arial" w:cs="Arial"/>
                                <w:bCs/>
                                <w:sz w:val="20"/>
                                <w:szCs w:val="20"/>
                                <w:lang w:val="en-GB"/>
                              </w:rPr>
                              <w:t xml:space="preserve"> specifically designed to cover the </w:t>
                            </w:r>
                            <w:r>
                              <w:rPr>
                                <w:rFonts w:ascii="Arial" w:hAnsi="Arial" w:cs="Arial"/>
                                <w:bCs/>
                                <w:sz w:val="20"/>
                                <w:szCs w:val="20"/>
                                <w:lang w:val="en-GB"/>
                              </w:rPr>
                              <w:t xml:space="preserve">market </w:t>
                            </w:r>
                            <w:r w:rsidRPr="00DE37F7">
                              <w:rPr>
                                <w:rFonts w:ascii="Arial" w:hAnsi="Arial" w:cs="Arial"/>
                                <w:bCs/>
                                <w:sz w:val="20"/>
                                <w:szCs w:val="20"/>
                                <w:lang w:val="en-GB"/>
                              </w:rPr>
                              <w:t xml:space="preserve">participants’ weekly profiles, with predefined time-of-use products </w:t>
                            </w:r>
                            <w:r>
                              <w:rPr>
                                <w:rFonts w:ascii="Arial" w:hAnsi="Arial" w:cs="Arial"/>
                                <w:bCs/>
                                <w:sz w:val="20"/>
                                <w:szCs w:val="20"/>
                                <w:lang w:val="en-GB"/>
                              </w:rPr>
                              <w:t>(</w:t>
                            </w:r>
                            <w:r w:rsidRPr="00DE37F7">
                              <w:rPr>
                                <w:rFonts w:ascii="Arial" w:hAnsi="Arial" w:cs="Arial"/>
                                <w:bCs/>
                                <w:sz w:val="20"/>
                                <w:szCs w:val="20"/>
                                <w:lang w:val="en-GB"/>
                              </w:rPr>
                              <w:t xml:space="preserve">such as </w:t>
                            </w:r>
                            <w:r>
                              <w:rPr>
                                <w:rFonts w:ascii="Arial" w:hAnsi="Arial" w:cs="Arial"/>
                                <w:bCs/>
                                <w:sz w:val="20"/>
                                <w:szCs w:val="20"/>
                                <w:lang w:val="en-GB"/>
                              </w:rPr>
                              <w:t>o</w:t>
                            </w:r>
                            <w:r w:rsidRPr="00DE37F7">
                              <w:rPr>
                                <w:rFonts w:ascii="Arial" w:hAnsi="Arial" w:cs="Arial"/>
                                <w:bCs/>
                                <w:sz w:val="20"/>
                                <w:szCs w:val="20"/>
                                <w:lang w:val="en-GB"/>
                              </w:rPr>
                              <w:t xml:space="preserve">ff-Peak, </w:t>
                            </w:r>
                            <w:r>
                              <w:rPr>
                                <w:rFonts w:ascii="Arial" w:hAnsi="Arial" w:cs="Arial"/>
                                <w:bCs/>
                                <w:sz w:val="20"/>
                                <w:szCs w:val="20"/>
                                <w:lang w:val="en-GB"/>
                              </w:rPr>
                              <w:t>p</w:t>
                            </w:r>
                            <w:r w:rsidRPr="00DE37F7">
                              <w:rPr>
                                <w:rFonts w:ascii="Arial" w:hAnsi="Arial" w:cs="Arial"/>
                                <w:bCs/>
                                <w:sz w:val="20"/>
                                <w:szCs w:val="20"/>
                                <w:lang w:val="en-GB"/>
                              </w:rPr>
                              <w:t xml:space="preserve">eak and </w:t>
                            </w:r>
                            <w:r>
                              <w:rPr>
                                <w:rFonts w:ascii="Arial" w:hAnsi="Arial" w:cs="Arial"/>
                                <w:bCs/>
                                <w:sz w:val="20"/>
                                <w:szCs w:val="20"/>
                                <w:lang w:val="en-GB"/>
                              </w:rPr>
                              <w:t>s</w:t>
                            </w:r>
                            <w:r w:rsidRPr="00DE37F7">
                              <w:rPr>
                                <w:rFonts w:ascii="Arial" w:hAnsi="Arial" w:cs="Arial"/>
                                <w:bCs/>
                                <w:sz w:val="20"/>
                                <w:szCs w:val="20"/>
                                <w:lang w:val="en-GB"/>
                              </w:rPr>
                              <w:t>tandard</w:t>
                            </w:r>
                            <w:r>
                              <w:rPr>
                                <w:rFonts w:ascii="Arial" w:hAnsi="Arial" w:cs="Arial"/>
                                <w:bCs/>
                                <w:sz w:val="20"/>
                                <w:szCs w:val="20"/>
                                <w:lang w:val="en-GB"/>
                              </w:rPr>
                              <w:t>)</w:t>
                            </w:r>
                            <w:r w:rsidRPr="00DE37F7">
                              <w:rPr>
                                <w:rFonts w:ascii="Arial" w:hAnsi="Arial" w:cs="Arial"/>
                                <w:bCs/>
                                <w:sz w:val="20"/>
                                <w:szCs w:val="20"/>
                                <w:lang w:val="en-GB"/>
                              </w:rPr>
                              <w:t>.</w:t>
                            </w:r>
                            <w:r>
                              <w:rPr>
                                <w:rFonts w:ascii="Arial" w:hAnsi="Arial" w:cs="Arial"/>
                                <w:bCs/>
                                <w:sz w:val="20"/>
                                <w:szCs w:val="20"/>
                                <w:lang w:val="en-GB"/>
                              </w:rPr>
                              <w:t xml:space="preserve"> </w:t>
                            </w:r>
                          </w:p>
                          <w:p w14:paraId="1BE8D19F" w14:textId="4A6D0CC1" w:rsidR="005276A4" w:rsidRPr="00DE37F7"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Bilateral contracts </w:t>
                            </w:r>
                            <w:r>
                              <w:rPr>
                                <w:rFonts w:ascii="Arial" w:hAnsi="Arial" w:cs="Arial"/>
                                <w:bCs/>
                                <w:sz w:val="20"/>
                                <w:szCs w:val="20"/>
                                <w:lang w:val="en-GB"/>
                              </w:rPr>
                              <w:t xml:space="preserve">will be allowed to </w:t>
                            </w:r>
                            <w:r w:rsidRPr="00DE37F7">
                              <w:rPr>
                                <w:rFonts w:ascii="Arial" w:hAnsi="Arial" w:cs="Arial"/>
                                <w:bCs/>
                                <w:sz w:val="20"/>
                                <w:szCs w:val="20"/>
                                <w:lang w:val="en-GB"/>
                              </w:rPr>
                              <w:t xml:space="preserve">constitute a portion of the </w:t>
                            </w:r>
                            <w:r>
                              <w:rPr>
                                <w:rFonts w:ascii="Arial" w:hAnsi="Arial" w:cs="Arial"/>
                                <w:bCs/>
                                <w:sz w:val="20"/>
                                <w:szCs w:val="20"/>
                                <w:lang w:val="en-GB"/>
                              </w:rPr>
                              <w:t xml:space="preserve">market </w:t>
                            </w:r>
                            <w:r w:rsidRPr="00DE37F7">
                              <w:rPr>
                                <w:rFonts w:ascii="Arial" w:hAnsi="Arial" w:cs="Arial"/>
                                <w:bCs/>
                                <w:sz w:val="20"/>
                                <w:szCs w:val="20"/>
                                <w:lang w:val="en-GB"/>
                              </w:rPr>
                              <w:t xml:space="preserve">participant’s total </w:t>
                            </w:r>
                            <w:r>
                              <w:rPr>
                                <w:rFonts w:ascii="Arial" w:hAnsi="Arial" w:cs="Arial"/>
                                <w:bCs/>
                                <w:sz w:val="20"/>
                                <w:szCs w:val="20"/>
                                <w:lang w:val="en-GB"/>
                              </w:rPr>
                              <w:t>electricity</w:t>
                            </w:r>
                            <w:r w:rsidRPr="00DE37F7">
                              <w:rPr>
                                <w:rFonts w:ascii="Arial" w:hAnsi="Arial" w:cs="Arial"/>
                                <w:bCs/>
                                <w:sz w:val="20"/>
                                <w:szCs w:val="20"/>
                                <w:lang w:val="en-GB"/>
                              </w:rPr>
                              <w:t xml:space="preserve"> commitments</w:t>
                            </w:r>
                            <w:r>
                              <w:rPr>
                                <w:rFonts w:ascii="Arial" w:hAnsi="Arial" w:cs="Arial"/>
                                <w:bCs/>
                                <w:sz w:val="20"/>
                                <w:szCs w:val="20"/>
                                <w:lang w:val="en-GB"/>
                              </w:rPr>
                              <w:t>. In order</w:t>
                            </w:r>
                            <w:r w:rsidRPr="00DE37F7">
                              <w:rPr>
                                <w:rFonts w:ascii="Arial" w:hAnsi="Arial" w:cs="Arial"/>
                                <w:bCs/>
                                <w:sz w:val="20"/>
                                <w:szCs w:val="20"/>
                                <w:lang w:val="en-GB"/>
                              </w:rPr>
                              <w:t xml:space="preserve"> to fulfil such commitments</w:t>
                            </w:r>
                            <w:r>
                              <w:rPr>
                                <w:rFonts w:ascii="Arial" w:hAnsi="Arial" w:cs="Arial"/>
                                <w:bCs/>
                                <w:sz w:val="20"/>
                                <w:szCs w:val="20"/>
                                <w:lang w:val="en-GB"/>
                              </w:rPr>
                              <w:t>, the</w:t>
                            </w:r>
                            <w:r w:rsidRPr="00DE37F7">
                              <w:rPr>
                                <w:rFonts w:ascii="Arial" w:hAnsi="Arial" w:cs="Arial"/>
                                <w:bCs/>
                                <w:sz w:val="20"/>
                                <w:szCs w:val="20"/>
                                <w:lang w:val="en-GB"/>
                              </w:rPr>
                              <w:t xml:space="preserve"> F</w:t>
                            </w:r>
                            <w:r>
                              <w:rPr>
                                <w:rFonts w:ascii="Arial" w:hAnsi="Arial" w:cs="Arial"/>
                                <w:bCs/>
                                <w:sz w:val="20"/>
                                <w:szCs w:val="20"/>
                                <w:lang w:val="en-GB"/>
                              </w:rPr>
                              <w:t xml:space="preserve">orward </w:t>
                            </w:r>
                            <w:r w:rsidRPr="00DE37F7">
                              <w:rPr>
                                <w:rFonts w:ascii="Arial" w:hAnsi="Arial" w:cs="Arial"/>
                                <w:bCs/>
                                <w:sz w:val="20"/>
                                <w:szCs w:val="20"/>
                                <w:lang w:val="en-GB"/>
                              </w:rPr>
                              <w:t>P</w:t>
                            </w:r>
                            <w:r>
                              <w:rPr>
                                <w:rFonts w:ascii="Arial" w:hAnsi="Arial" w:cs="Arial"/>
                                <w:bCs/>
                                <w:sz w:val="20"/>
                                <w:szCs w:val="20"/>
                                <w:lang w:val="en-GB"/>
                              </w:rPr>
                              <w:t xml:space="preserve">hysical </w:t>
                            </w:r>
                            <w:r w:rsidRPr="00DE37F7">
                              <w:rPr>
                                <w:rFonts w:ascii="Arial" w:hAnsi="Arial" w:cs="Arial"/>
                                <w:bCs/>
                                <w:sz w:val="20"/>
                                <w:szCs w:val="20"/>
                                <w:lang w:val="en-GB"/>
                              </w:rPr>
                              <w:t>M</w:t>
                            </w:r>
                            <w:r>
                              <w:rPr>
                                <w:rFonts w:ascii="Arial" w:hAnsi="Arial" w:cs="Arial"/>
                                <w:bCs/>
                                <w:sz w:val="20"/>
                                <w:szCs w:val="20"/>
                                <w:lang w:val="en-GB"/>
                              </w:rPr>
                              <w:t>arket</w:t>
                            </w:r>
                            <w:r w:rsidRPr="00DE37F7">
                              <w:rPr>
                                <w:rFonts w:ascii="Arial" w:hAnsi="Arial" w:cs="Arial"/>
                                <w:bCs/>
                                <w:sz w:val="20"/>
                                <w:szCs w:val="20"/>
                                <w:lang w:val="en-GB"/>
                              </w:rPr>
                              <w:t xml:space="preserve"> can be used as an alternative to give </w:t>
                            </w:r>
                            <w:r>
                              <w:rPr>
                                <w:rFonts w:ascii="Arial" w:hAnsi="Arial" w:cs="Arial"/>
                                <w:bCs/>
                                <w:sz w:val="20"/>
                                <w:szCs w:val="20"/>
                                <w:lang w:val="en-GB"/>
                              </w:rPr>
                              <w:t>market</w:t>
                            </w:r>
                            <w:r w:rsidRPr="00DE37F7">
                              <w:rPr>
                                <w:rFonts w:ascii="Arial" w:hAnsi="Arial" w:cs="Arial"/>
                                <w:bCs/>
                                <w:sz w:val="20"/>
                                <w:szCs w:val="20"/>
                                <w:lang w:val="en-GB"/>
                              </w:rPr>
                              <w:t xml:space="preserve"> participants more flexibility in the planning phase. </w:t>
                            </w:r>
                            <w:r>
                              <w:rPr>
                                <w:rFonts w:ascii="Arial" w:hAnsi="Arial" w:cs="Arial"/>
                                <w:bCs/>
                                <w:sz w:val="20"/>
                                <w:szCs w:val="20"/>
                                <w:lang w:val="en-GB"/>
                              </w:rPr>
                              <w:t>This</w:t>
                            </w:r>
                            <w:r w:rsidRPr="00DE37F7">
                              <w:rPr>
                                <w:rFonts w:ascii="Arial" w:hAnsi="Arial" w:cs="Arial"/>
                                <w:bCs/>
                                <w:sz w:val="20"/>
                                <w:szCs w:val="20"/>
                                <w:lang w:val="en-GB"/>
                              </w:rPr>
                              <w:t xml:space="preserve"> </w:t>
                            </w:r>
                            <w:r>
                              <w:rPr>
                                <w:rFonts w:ascii="Arial" w:hAnsi="Arial" w:cs="Arial"/>
                                <w:bCs/>
                                <w:sz w:val="20"/>
                                <w:szCs w:val="20"/>
                                <w:lang w:val="en-GB"/>
                              </w:rPr>
                              <w:t>will</w:t>
                            </w:r>
                            <w:r w:rsidRPr="00DE37F7">
                              <w:rPr>
                                <w:rFonts w:ascii="Arial" w:hAnsi="Arial" w:cs="Arial"/>
                                <w:bCs/>
                                <w:sz w:val="20"/>
                                <w:szCs w:val="20"/>
                                <w:lang w:val="en-GB"/>
                              </w:rPr>
                              <w:t xml:space="preserve"> also secure prices for </w:t>
                            </w:r>
                            <w:r>
                              <w:rPr>
                                <w:rFonts w:ascii="Arial" w:hAnsi="Arial" w:cs="Arial"/>
                                <w:bCs/>
                                <w:sz w:val="20"/>
                                <w:szCs w:val="20"/>
                                <w:lang w:val="en-GB"/>
                              </w:rPr>
                              <w:t>electricity</w:t>
                            </w:r>
                            <w:r w:rsidRPr="00DE37F7">
                              <w:rPr>
                                <w:rFonts w:ascii="Arial" w:hAnsi="Arial" w:cs="Arial"/>
                                <w:bCs/>
                                <w:sz w:val="20"/>
                                <w:szCs w:val="20"/>
                                <w:lang w:val="en-GB"/>
                              </w:rPr>
                              <w:t xml:space="preserve"> deliveries to follow the price level in the market in the medium</w:t>
                            </w:r>
                            <w:r>
                              <w:rPr>
                                <w:rFonts w:ascii="Arial" w:hAnsi="Arial" w:cs="Arial"/>
                                <w:bCs/>
                                <w:sz w:val="20"/>
                                <w:szCs w:val="20"/>
                                <w:lang w:val="en-GB"/>
                              </w:rPr>
                              <w:t>-</w:t>
                            </w:r>
                            <w:r w:rsidRPr="00DE37F7">
                              <w:rPr>
                                <w:rFonts w:ascii="Arial" w:hAnsi="Arial" w:cs="Arial"/>
                                <w:bCs/>
                                <w:sz w:val="20"/>
                                <w:szCs w:val="20"/>
                                <w:lang w:val="en-GB"/>
                              </w:rPr>
                              <w:t>term.</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7313EE" id="Text Box 49" o:spid="_x0000_s1041" type="#_x0000_t202" style="width:481.3pt;height:2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" fillcolor="#ebf1de" strokeweight=".5pt">
                <v:textbox>
                  <w:txbxContent>
                    <w:p w14:paraId="4FAA0DF2" w14:textId="2C8D40BA" w:rsidR="005276A4" w:rsidRPr="003D494F" w:rsidRDefault="005276A4" w:rsidP="00DE37F7">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.2:</w:t>
                      </w:r>
                      <w:r w:rsidRPr="003D494F">
                        <w:rPr>
                          <w:rFonts w:cs="Arial"/>
                          <w:bCs/>
                          <w:szCs w:val="20"/>
                        </w:rPr>
                        <w:t xml:space="preserve"> </w:t>
                      </w:r>
                      <w:r>
                        <w:rPr>
                          <w:rFonts w:cs="Arial"/>
                          <w:bCs/>
                          <w:szCs w:val="20"/>
                        </w:rPr>
                        <w:t xml:space="preserve">Market Compatibility for Trading – </w:t>
                      </w:r>
                      <w:r w:rsidRPr="00DE37F7">
                        <w:rPr>
                          <w:rFonts w:cs="Arial"/>
                          <w:bCs/>
                          <w:szCs w:val="20"/>
                        </w:rPr>
                        <w:t>Forward Physical Market</w:t>
                      </w:r>
                      <w:r>
                        <w:rPr>
                          <w:rFonts w:cs="Arial"/>
                          <w:bCs/>
                          <w:szCs w:val="20"/>
                        </w:rPr>
                        <w:t xml:space="preserve"> </w:t>
                      </w:r>
                    </w:p>
                    <w:p w14:paraId="1AF5F34A" w14:textId="2603DC62"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The Forward Physical Market will be designed to facilitate trading of longer-term physical contracts</w:t>
                      </w:r>
                      <w:r>
                        <w:rPr>
                          <w:rFonts w:ascii="Arial" w:hAnsi="Arial" w:cs="Arial"/>
                          <w:bCs/>
                          <w:sz w:val="20"/>
                          <w:szCs w:val="20"/>
                          <w:lang w:val="en-GB"/>
                        </w:rPr>
                        <w:t xml:space="preserve">, i.e. to enable </w:t>
                      </w:r>
                      <w:r w:rsidRPr="00DE37F7">
                        <w:rPr>
                          <w:rFonts w:ascii="Arial" w:hAnsi="Arial" w:cs="Arial"/>
                          <w:bCs/>
                          <w:sz w:val="20"/>
                          <w:szCs w:val="20"/>
                          <w:lang w:val="en-GB"/>
                        </w:rPr>
                        <w:t>market participants</w:t>
                      </w:r>
                      <w:r>
                        <w:rPr>
                          <w:rFonts w:ascii="Arial" w:hAnsi="Arial" w:cs="Arial"/>
                          <w:bCs/>
                          <w:sz w:val="20"/>
                          <w:szCs w:val="20"/>
                          <w:lang w:val="en-GB"/>
                        </w:rPr>
                        <w:t xml:space="preserve"> </w:t>
                      </w:r>
                      <w:r w:rsidRPr="00DE37F7">
                        <w:rPr>
                          <w:rFonts w:ascii="Arial" w:hAnsi="Arial" w:cs="Arial"/>
                          <w:bCs/>
                          <w:sz w:val="20"/>
                          <w:szCs w:val="20"/>
                          <w:lang w:val="en-GB"/>
                        </w:rPr>
                        <w:t xml:space="preserve">the trade of </w:t>
                      </w:r>
                      <w:r>
                        <w:rPr>
                          <w:rFonts w:ascii="Arial" w:hAnsi="Arial" w:cs="Arial"/>
                          <w:bCs/>
                          <w:sz w:val="20"/>
                          <w:szCs w:val="20"/>
                          <w:lang w:val="en-GB"/>
                        </w:rPr>
                        <w:t xml:space="preserve">yearly, quarterly, </w:t>
                      </w:r>
                      <w:r w:rsidRPr="00DE37F7">
                        <w:rPr>
                          <w:rFonts w:ascii="Arial" w:hAnsi="Arial" w:cs="Arial"/>
                          <w:bCs/>
                          <w:sz w:val="20"/>
                          <w:szCs w:val="20"/>
                          <w:lang w:val="en-GB"/>
                        </w:rPr>
                        <w:t xml:space="preserve">monthly and weekly products. </w:t>
                      </w:r>
                    </w:p>
                    <w:p w14:paraId="1256553F" w14:textId="562FC71E" w:rsidR="005276A4" w:rsidRPr="00DE37F7"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T</w:t>
                      </w:r>
                      <w:r w:rsidRPr="00DE37F7">
                        <w:rPr>
                          <w:rFonts w:ascii="Arial" w:hAnsi="Arial" w:cs="Arial"/>
                          <w:bCs/>
                          <w:sz w:val="20"/>
                          <w:szCs w:val="20"/>
                          <w:lang w:val="en-GB"/>
                        </w:rPr>
                        <w:t xml:space="preserve">he traded volume in the Forward Physical Market </w:t>
                      </w:r>
                      <w:r>
                        <w:rPr>
                          <w:rFonts w:ascii="Arial" w:hAnsi="Arial" w:cs="Arial"/>
                          <w:bCs/>
                          <w:sz w:val="20"/>
                          <w:szCs w:val="20"/>
                          <w:lang w:val="en-GB"/>
                        </w:rPr>
                        <w:t xml:space="preserve">will </w:t>
                      </w:r>
                      <w:r w:rsidRPr="00DE37F7">
                        <w:rPr>
                          <w:rFonts w:ascii="Arial" w:hAnsi="Arial" w:cs="Arial"/>
                          <w:bCs/>
                          <w:sz w:val="20"/>
                          <w:szCs w:val="20"/>
                          <w:lang w:val="en-GB"/>
                        </w:rPr>
                        <w:t>result in a traded contract based on physical delivery on an hourly basis.</w:t>
                      </w:r>
                      <w:r>
                        <w:rPr>
                          <w:rFonts w:ascii="Arial" w:hAnsi="Arial" w:cs="Arial"/>
                          <w:bCs/>
                          <w:sz w:val="20"/>
                          <w:szCs w:val="20"/>
                          <w:lang w:val="en-GB"/>
                        </w:rPr>
                        <w:t xml:space="preserve"> </w:t>
                      </w:r>
                    </w:p>
                    <w:p w14:paraId="058839B6" w14:textId="008E7656"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For the yearly, quarterly, and monthly trading, two time-of-use products will be defined</w:t>
                      </w:r>
                      <w:r>
                        <w:rPr>
                          <w:rFonts w:ascii="Arial" w:hAnsi="Arial" w:cs="Arial"/>
                          <w:bCs/>
                          <w:sz w:val="20"/>
                          <w:szCs w:val="20"/>
                          <w:lang w:val="en-GB"/>
                        </w:rPr>
                        <w:t xml:space="preserve"> (such as</w:t>
                      </w:r>
                      <w:r w:rsidRPr="00DE37F7">
                        <w:rPr>
                          <w:rFonts w:ascii="Arial" w:hAnsi="Arial" w:cs="Arial"/>
                          <w:bCs/>
                          <w:sz w:val="20"/>
                          <w:szCs w:val="20"/>
                          <w:lang w:val="en-GB"/>
                        </w:rPr>
                        <w:t xml:space="preserve"> off-peak hours and non</w:t>
                      </w:r>
                      <w:r>
                        <w:rPr>
                          <w:rFonts w:ascii="Arial" w:hAnsi="Arial" w:cs="Arial"/>
                          <w:bCs/>
                          <w:sz w:val="20"/>
                          <w:szCs w:val="20"/>
                          <w:lang w:val="en-GB"/>
                        </w:rPr>
                        <w:t>-</w:t>
                      </w:r>
                      <w:r w:rsidRPr="00DE37F7">
                        <w:rPr>
                          <w:rFonts w:ascii="Arial" w:hAnsi="Arial" w:cs="Arial"/>
                          <w:bCs/>
                          <w:sz w:val="20"/>
                          <w:szCs w:val="20"/>
                          <w:lang w:val="en-GB"/>
                        </w:rPr>
                        <w:t>off-peak hours</w:t>
                      </w:r>
                      <w:r>
                        <w:rPr>
                          <w:rFonts w:ascii="Arial" w:hAnsi="Arial" w:cs="Arial"/>
                          <w:bCs/>
                          <w:sz w:val="20"/>
                          <w:szCs w:val="20"/>
                          <w:lang w:val="en-GB"/>
                        </w:rPr>
                        <w:t>)</w:t>
                      </w:r>
                      <w:r w:rsidRPr="00DE37F7">
                        <w:rPr>
                          <w:rFonts w:ascii="Arial" w:hAnsi="Arial" w:cs="Arial"/>
                          <w:bCs/>
                          <w:sz w:val="20"/>
                          <w:szCs w:val="20"/>
                          <w:lang w:val="en-GB"/>
                        </w:rPr>
                        <w:t xml:space="preserve">. The target is to create one common base load contract for all hours of the </w:t>
                      </w:r>
                      <w:r>
                        <w:rPr>
                          <w:rFonts w:ascii="Arial" w:hAnsi="Arial" w:cs="Arial"/>
                          <w:bCs/>
                          <w:sz w:val="20"/>
                          <w:szCs w:val="20"/>
                          <w:lang w:val="en-GB"/>
                        </w:rPr>
                        <w:t xml:space="preserve">year, quarter, and </w:t>
                      </w:r>
                      <w:r w:rsidRPr="00DE37F7">
                        <w:rPr>
                          <w:rFonts w:ascii="Arial" w:hAnsi="Arial" w:cs="Arial"/>
                          <w:bCs/>
                          <w:sz w:val="20"/>
                          <w:szCs w:val="20"/>
                          <w:lang w:val="en-GB"/>
                        </w:rPr>
                        <w:t>month.</w:t>
                      </w:r>
                      <w:r>
                        <w:rPr>
                          <w:rFonts w:ascii="Arial" w:hAnsi="Arial" w:cs="Arial"/>
                          <w:bCs/>
                          <w:sz w:val="20"/>
                          <w:szCs w:val="20"/>
                          <w:lang w:val="en-GB"/>
                        </w:rPr>
                        <w:t xml:space="preserve"> </w:t>
                      </w:r>
                    </w:p>
                    <w:p w14:paraId="24664B5B" w14:textId="6FCB0F9E"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For the weekly </w:t>
                      </w:r>
                      <w:r>
                        <w:rPr>
                          <w:rFonts w:ascii="Arial" w:hAnsi="Arial" w:cs="Arial"/>
                          <w:bCs/>
                          <w:sz w:val="20"/>
                          <w:szCs w:val="20"/>
                          <w:lang w:val="en-GB"/>
                        </w:rPr>
                        <w:t>trading</w:t>
                      </w:r>
                      <w:r w:rsidRPr="00DE37F7">
                        <w:rPr>
                          <w:rFonts w:ascii="Arial" w:hAnsi="Arial" w:cs="Arial"/>
                          <w:bCs/>
                          <w:sz w:val="20"/>
                          <w:szCs w:val="20"/>
                          <w:lang w:val="en-GB"/>
                        </w:rPr>
                        <w:t xml:space="preserve">, the products </w:t>
                      </w:r>
                      <w:r>
                        <w:rPr>
                          <w:rFonts w:ascii="Arial" w:hAnsi="Arial" w:cs="Arial"/>
                          <w:bCs/>
                          <w:sz w:val="20"/>
                          <w:szCs w:val="20"/>
                          <w:lang w:val="en-GB"/>
                        </w:rPr>
                        <w:t>will be</w:t>
                      </w:r>
                      <w:r w:rsidRPr="00DE37F7">
                        <w:rPr>
                          <w:rFonts w:ascii="Arial" w:hAnsi="Arial" w:cs="Arial"/>
                          <w:bCs/>
                          <w:sz w:val="20"/>
                          <w:szCs w:val="20"/>
                          <w:lang w:val="en-GB"/>
                        </w:rPr>
                        <w:t xml:space="preserve"> specifically designed to cover the </w:t>
                      </w:r>
                      <w:r>
                        <w:rPr>
                          <w:rFonts w:ascii="Arial" w:hAnsi="Arial" w:cs="Arial"/>
                          <w:bCs/>
                          <w:sz w:val="20"/>
                          <w:szCs w:val="20"/>
                          <w:lang w:val="en-GB"/>
                        </w:rPr>
                        <w:t xml:space="preserve">market </w:t>
                      </w:r>
                      <w:r w:rsidRPr="00DE37F7">
                        <w:rPr>
                          <w:rFonts w:ascii="Arial" w:hAnsi="Arial" w:cs="Arial"/>
                          <w:bCs/>
                          <w:sz w:val="20"/>
                          <w:szCs w:val="20"/>
                          <w:lang w:val="en-GB"/>
                        </w:rPr>
                        <w:t xml:space="preserve">participants’ weekly profiles, with predefined time-of-use products </w:t>
                      </w:r>
                      <w:r>
                        <w:rPr>
                          <w:rFonts w:ascii="Arial" w:hAnsi="Arial" w:cs="Arial"/>
                          <w:bCs/>
                          <w:sz w:val="20"/>
                          <w:szCs w:val="20"/>
                          <w:lang w:val="en-GB"/>
                        </w:rPr>
                        <w:t>(</w:t>
                      </w:r>
                      <w:r w:rsidRPr="00DE37F7">
                        <w:rPr>
                          <w:rFonts w:ascii="Arial" w:hAnsi="Arial" w:cs="Arial"/>
                          <w:bCs/>
                          <w:sz w:val="20"/>
                          <w:szCs w:val="20"/>
                          <w:lang w:val="en-GB"/>
                        </w:rPr>
                        <w:t xml:space="preserve">such as </w:t>
                      </w:r>
                      <w:r>
                        <w:rPr>
                          <w:rFonts w:ascii="Arial" w:hAnsi="Arial" w:cs="Arial"/>
                          <w:bCs/>
                          <w:sz w:val="20"/>
                          <w:szCs w:val="20"/>
                          <w:lang w:val="en-GB"/>
                        </w:rPr>
                        <w:t>o</w:t>
                      </w:r>
                      <w:r w:rsidRPr="00DE37F7">
                        <w:rPr>
                          <w:rFonts w:ascii="Arial" w:hAnsi="Arial" w:cs="Arial"/>
                          <w:bCs/>
                          <w:sz w:val="20"/>
                          <w:szCs w:val="20"/>
                          <w:lang w:val="en-GB"/>
                        </w:rPr>
                        <w:t xml:space="preserve">ff-Peak, </w:t>
                      </w:r>
                      <w:r>
                        <w:rPr>
                          <w:rFonts w:ascii="Arial" w:hAnsi="Arial" w:cs="Arial"/>
                          <w:bCs/>
                          <w:sz w:val="20"/>
                          <w:szCs w:val="20"/>
                          <w:lang w:val="en-GB"/>
                        </w:rPr>
                        <w:t>p</w:t>
                      </w:r>
                      <w:r w:rsidRPr="00DE37F7">
                        <w:rPr>
                          <w:rFonts w:ascii="Arial" w:hAnsi="Arial" w:cs="Arial"/>
                          <w:bCs/>
                          <w:sz w:val="20"/>
                          <w:szCs w:val="20"/>
                          <w:lang w:val="en-GB"/>
                        </w:rPr>
                        <w:t xml:space="preserve">eak and </w:t>
                      </w:r>
                      <w:r>
                        <w:rPr>
                          <w:rFonts w:ascii="Arial" w:hAnsi="Arial" w:cs="Arial"/>
                          <w:bCs/>
                          <w:sz w:val="20"/>
                          <w:szCs w:val="20"/>
                          <w:lang w:val="en-GB"/>
                        </w:rPr>
                        <w:t>s</w:t>
                      </w:r>
                      <w:r w:rsidRPr="00DE37F7">
                        <w:rPr>
                          <w:rFonts w:ascii="Arial" w:hAnsi="Arial" w:cs="Arial"/>
                          <w:bCs/>
                          <w:sz w:val="20"/>
                          <w:szCs w:val="20"/>
                          <w:lang w:val="en-GB"/>
                        </w:rPr>
                        <w:t>tandard</w:t>
                      </w:r>
                      <w:r>
                        <w:rPr>
                          <w:rFonts w:ascii="Arial" w:hAnsi="Arial" w:cs="Arial"/>
                          <w:bCs/>
                          <w:sz w:val="20"/>
                          <w:szCs w:val="20"/>
                          <w:lang w:val="en-GB"/>
                        </w:rPr>
                        <w:t>)</w:t>
                      </w:r>
                      <w:r w:rsidRPr="00DE37F7">
                        <w:rPr>
                          <w:rFonts w:ascii="Arial" w:hAnsi="Arial" w:cs="Arial"/>
                          <w:bCs/>
                          <w:sz w:val="20"/>
                          <w:szCs w:val="20"/>
                          <w:lang w:val="en-GB"/>
                        </w:rPr>
                        <w:t>.</w:t>
                      </w:r>
                      <w:r>
                        <w:rPr>
                          <w:rFonts w:ascii="Arial" w:hAnsi="Arial" w:cs="Arial"/>
                          <w:bCs/>
                          <w:sz w:val="20"/>
                          <w:szCs w:val="20"/>
                          <w:lang w:val="en-GB"/>
                        </w:rPr>
                        <w:t xml:space="preserve"> </w:t>
                      </w:r>
                    </w:p>
                    <w:p w14:paraId="1BE8D19F" w14:textId="4A6D0CC1" w:rsidR="005276A4" w:rsidRPr="00DE37F7"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Bilateral contracts </w:t>
                      </w:r>
                      <w:r>
                        <w:rPr>
                          <w:rFonts w:ascii="Arial" w:hAnsi="Arial" w:cs="Arial"/>
                          <w:bCs/>
                          <w:sz w:val="20"/>
                          <w:szCs w:val="20"/>
                          <w:lang w:val="en-GB"/>
                        </w:rPr>
                        <w:t xml:space="preserve">will be allowed to </w:t>
                      </w:r>
                      <w:r w:rsidRPr="00DE37F7">
                        <w:rPr>
                          <w:rFonts w:ascii="Arial" w:hAnsi="Arial" w:cs="Arial"/>
                          <w:bCs/>
                          <w:sz w:val="20"/>
                          <w:szCs w:val="20"/>
                          <w:lang w:val="en-GB"/>
                        </w:rPr>
                        <w:t xml:space="preserve">constitute a portion of the </w:t>
                      </w:r>
                      <w:r>
                        <w:rPr>
                          <w:rFonts w:ascii="Arial" w:hAnsi="Arial" w:cs="Arial"/>
                          <w:bCs/>
                          <w:sz w:val="20"/>
                          <w:szCs w:val="20"/>
                          <w:lang w:val="en-GB"/>
                        </w:rPr>
                        <w:t xml:space="preserve">market </w:t>
                      </w:r>
                      <w:r w:rsidRPr="00DE37F7">
                        <w:rPr>
                          <w:rFonts w:ascii="Arial" w:hAnsi="Arial" w:cs="Arial"/>
                          <w:bCs/>
                          <w:sz w:val="20"/>
                          <w:szCs w:val="20"/>
                          <w:lang w:val="en-GB"/>
                        </w:rPr>
                        <w:t xml:space="preserve">participant’s total </w:t>
                      </w:r>
                      <w:r>
                        <w:rPr>
                          <w:rFonts w:ascii="Arial" w:hAnsi="Arial" w:cs="Arial"/>
                          <w:bCs/>
                          <w:sz w:val="20"/>
                          <w:szCs w:val="20"/>
                          <w:lang w:val="en-GB"/>
                        </w:rPr>
                        <w:t>electricity</w:t>
                      </w:r>
                      <w:r w:rsidRPr="00DE37F7">
                        <w:rPr>
                          <w:rFonts w:ascii="Arial" w:hAnsi="Arial" w:cs="Arial"/>
                          <w:bCs/>
                          <w:sz w:val="20"/>
                          <w:szCs w:val="20"/>
                          <w:lang w:val="en-GB"/>
                        </w:rPr>
                        <w:t xml:space="preserve"> commitments</w:t>
                      </w:r>
                      <w:r>
                        <w:rPr>
                          <w:rFonts w:ascii="Arial" w:hAnsi="Arial" w:cs="Arial"/>
                          <w:bCs/>
                          <w:sz w:val="20"/>
                          <w:szCs w:val="20"/>
                          <w:lang w:val="en-GB"/>
                        </w:rPr>
                        <w:t>. In order</w:t>
                      </w:r>
                      <w:r w:rsidRPr="00DE37F7">
                        <w:rPr>
                          <w:rFonts w:ascii="Arial" w:hAnsi="Arial" w:cs="Arial"/>
                          <w:bCs/>
                          <w:sz w:val="20"/>
                          <w:szCs w:val="20"/>
                          <w:lang w:val="en-GB"/>
                        </w:rPr>
                        <w:t xml:space="preserve"> to fulfil such commitments</w:t>
                      </w:r>
                      <w:r>
                        <w:rPr>
                          <w:rFonts w:ascii="Arial" w:hAnsi="Arial" w:cs="Arial"/>
                          <w:bCs/>
                          <w:sz w:val="20"/>
                          <w:szCs w:val="20"/>
                          <w:lang w:val="en-GB"/>
                        </w:rPr>
                        <w:t>, the</w:t>
                      </w:r>
                      <w:r w:rsidRPr="00DE37F7">
                        <w:rPr>
                          <w:rFonts w:ascii="Arial" w:hAnsi="Arial" w:cs="Arial"/>
                          <w:bCs/>
                          <w:sz w:val="20"/>
                          <w:szCs w:val="20"/>
                          <w:lang w:val="en-GB"/>
                        </w:rPr>
                        <w:t xml:space="preserve"> F</w:t>
                      </w:r>
                      <w:r>
                        <w:rPr>
                          <w:rFonts w:ascii="Arial" w:hAnsi="Arial" w:cs="Arial"/>
                          <w:bCs/>
                          <w:sz w:val="20"/>
                          <w:szCs w:val="20"/>
                          <w:lang w:val="en-GB"/>
                        </w:rPr>
                        <w:t xml:space="preserve">orward </w:t>
                      </w:r>
                      <w:r w:rsidRPr="00DE37F7">
                        <w:rPr>
                          <w:rFonts w:ascii="Arial" w:hAnsi="Arial" w:cs="Arial"/>
                          <w:bCs/>
                          <w:sz w:val="20"/>
                          <w:szCs w:val="20"/>
                          <w:lang w:val="en-GB"/>
                        </w:rPr>
                        <w:t>P</w:t>
                      </w:r>
                      <w:r>
                        <w:rPr>
                          <w:rFonts w:ascii="Arial" w:hAnsi="Arial" w:cs="Arial"/>
                          <w:bCs/>
                          <w:sz w:val="20"/>
                          <w:szCs w:val="20"/>
                          <w:lang w:val="en-GB"/>
                        </w:rPr>
                        <w:t xml:space="preserve">hysical </w:t>
                      </w:r>
                      <w:r w:rsidRPr="00DE37F7">
                        <w:rPr>
                          <w:rFonts w:ascii="Arial" w:hAnsi="Arial" w:cs="Arial"/>
                          <w:bCs/>
                          <w:sz w:val="20"/>
                          <w:szCs w:val="20"/>
                          <w:lang w:val="en-GB"/>
                        </w:rPr>
                        <w:t>M</w:t>
                      </w:r>
                      <w:r>
                        <w:rPr>
                          <w:rFonts w:ascii="Arial" w:hAnsi="Arial" w:cs="Arial"/>
                          <w:bCs/>
                          <w:sz w:val="20"/>
                          <w:szCs w:val="20"/>
                          <w:lang w:val="en-GB"/>
                        </w:rPr>
                        <w:t>arket</w:t>
                      </w:r>
                      <w:r w:rsidRPr="00DE37F7">
                        <w:rPr>
                          <w:rFonts w:ascii="Arial" w:hAnsi="Arial" w:cs="Arial"/>
                          <w:bCs/>
                          <w:sz w:val="20"/>
                          <w:szCs w:val="20"/>
                          <w:lang w:val="en-GB"/>
                        </w:rPr>
                        <w:t xml:space="preserve"> can be used as an alternative to give </w:t>
                      </w:r>
                      <w:r>
                        <w:rPr>
                          <w:rFonts w:ascii="Arial" w:hAnsi="Arial" w:cs="Arial"/>
                          <w:bCs/>
                          <w:sz w:val="20"/>
                          <w:szCs w:val="20"/>
                          <w:lang w:val="en-GB"/>
                        </w:rPr>
                        <w:t>market</w:t>
                      </w:r>
                      <w:r w:rsidRPr="00DE37F7">
                        <w:rPr>
                          <w:rFonts w:ascii="Arial" w:hAnsi="Arial" w:cs="Arial"/>
                          <w:bCs/>
                          <w:sz w:val="20"/>
                          <w:szCs w:val="20"/>
                          <w:lang w:val="en-GB"/>
                        </w:rPr>
                        <w:t xml:space="preserve"> participants more flexibility in the planning phase. </w:t>
                      </w:r>
                      <w:r>
                        <w:rPr>
                          <w:rFonts w:ascii="Arial" w:hAnsi="Arial" w:cs="Arial"/>
                          <w:bCs/>
                          <w:sz w:val="20"/>
                          <w:szCs w:val="20"/>
                          <w:lang w:val="en-GB"/>
                        </w:rPr>
                        <w:t>This</w:t>
                      </w:r>
                      <w:r w:rsidRPr="00DE37F7">
                        <w:rPr>
                          <w:rFonts w:ascii="Arial" w:hAnsi="Arial" w:cs="Arial"/>
                          <w:bCs/>
                          <w:sz w:val="20"/>
                          <w:szCs w:val="20"/>
                          <w:lang w:val="en-GB"/>
                        </w:rPr>
                        <w:t xml:space="preserve"> </w:t>
                      </w:r>
                      <w:r>
                        <w:rPr>
                          <w:rFonts w:ascii="Arial" w:hAnsi="Arial" w:cs="Arial"/>
                          <w:bCs/>
                          <w:sz w:val="20"/>
                          <w:szCs w:val="20"/>
                          <w:lang w:val="en-GB"/>
                        </w:rPr>
                        <w:t>will</w:t>
                      </w:r>
                      <w:r w:rsidRPr="00DE37F7">
                        <w:rPr>
                          <w:rFonts w:ascii="Arial" w:hAnsi="Arial" w:cs="Arial"/>
                          <w:bCs/>
                          <w:sz w:val="20"/>
                          <w:szCs w:val="20"/>
                          <w:lang w:val="en-GB"/>
                        </w:rPr>
                        <w:t xml:space="preserve"> also secure prices for </w:t>
                      </w:r>
                      <w:r>
                        <w:rPr>
                          <w:rFonts w:ascii="Arial" w:hAnsi="Arial" w:cs="Arial"/>
                          <w:bCs/>
                          <w:sz w:val="20"/>
                          <w:szCs w:val="20"/>
                          <w:lang w:val="en-GB"/>
                        </w:rPr>
                        <w:t>electricity</w:t>
                      </w:r>
                      <w:r w:rsidRPr="00DE37F7">
                        <w:rPr>
                          <w:rFonts w:ascii="Arial" w:hAnsi="Arial" w:cs="Arial"/>
                          <w:bCs/>
                          <w:sz w:val="20"/>
                          <w:szCs w:val="20"/>
                          <w:lang w:val="en-GB"/>
                        </w:rPr>
                        <w:t xml:space="preserve"> deliveries to follow the price level in the market in the medium</w:t>
                      </w:r>
                      <w:r>
                        <w:rPr>
                          <w:rFonts w:ascii="Arial" w:hAnsi="Arial" w:cs="Arial"/>
                          <w:bCs/>
                          <w:sz w:val="20"/>
                          <w:szCs w:val="20"/>
                          <w:lang w:val="en-GB"/>
                        </w:rPr>
                        <w:t>-</w:t>
                      </w:r>
                      <w:r w:rsidRPr="00DE37F7">
                        <w:rPr>
                          <w:rFonts w:ascii="Arial" w:hAnsi="Arial" w:cs="Arial"/>
                          <w:bCs/>
                          <w:sz w:val="20"/>
                          <w:szCs w:val="20"/>
                          <w:lang w:val="en-GB"/>
                        </w:rPr>
                        <w:t>term.</w:t>
                      </w:r>
                      <w:r>
                        <w:rPr>
                          <w:rFonts w:ascii="Arial" w:hAnsi="Arial" w:cs="Arial"/>
                          <w:bCs/>
                          <w:sz w:val="20"/>
                          <w:szCs w:val="20"/>
                          <w:lang w:val="en-GB"/>
                        </w:rPr>
                        <w:t xml:space="preserve"> </w:t>
                      </w:r>
                    </w:p>
                  </w:txbxContent>
                </v:textbox>
                <w10:anchorlock/>
              </v:shape>
            </w:pict>
          </mc:Fallback>
        </mc:AlternateContent>
      </w:r>
    </w:p>
    <w:p w14:paraId="53680FC5" w14:textId="276085CF" w:rsidR="00BA4CDB" w:rsidRPr="00654753" w:rsidRDefault="00DE37F7" w:rsidP="00483DE9">
      <w:pPr>
        <w:rPr>
          <w:rFonts w:eastAsia="Calibri"/>
          <w:szCs w:val="22"/>
        </w:rPr>
      </w:pPr>
      <w:r w:rsidRPr="006273BD">
        <w:rPr>
          <w:rFonts w:eastAsia="Calibri"/>
          <w:noProof/>
          <w:lang w:eastAsia="en-GB"/>
        </w:rPr>
        <w:lastRenderedPageBreak/>
        <mc:AlternateContent>
          <mc:Choice Requires="wps">
            <w:drawing>
              <wp:inline distT="0" distB="0" distL="0" distR="0" wp14:anchorId="3CFA2240" wp14:editId="54E80152">
                <wp:extent cx="6112800" cy="2615609"/>
                <wp:effectExtent l="0" t="0" r="21590" b="13335"/>
                <wp:docPr id="50" name="Text Box 50"/>
                <wp:cNvGraphicFramePr/>
                <a:graphic xmlns:a="http://schemas.openxmlformats.org/drawingml/2006/main">
                  <a:graphicData uri="http://schemas.microsoft.com/office/word/2010/wordprocessingShape">
                    <wps:wsp>
                      <wps:cNvSpPr txBox="1"/>
                      <wps:spPr>
                        <a:xfrm>
                          <a:off x="0" y="0"/>
                          <a:ext cx="6112800" cy="2615609"/>
                        </a:xfrm>
                        <a:prstGeom prst="rect">
                          <a:avLst/>
                        </a:prstGeom>
                        <a:solidFill>
                          <a:srgbClr val="9BBB59">
                            <a:lumMod val="20000"/>
                            <a:lumOff val="80000"/>
                          </a:srgbClr>
                        </a:solidFill>
                        <a:ln w="6350">
                          <a:solidFill>
                            <a:prstClr val="black"/>
                          </a:solidFill>
                        </a:ln>
                        <a:effectLst/>
                      </wps:spPr>
                      <wps:txbx>
                        <w:txbxContent>
                          <w:p w14:paraId="519CE4B7" w14:textId="6D04CF0F" w:rsidR="005276A4" w:rsidRPr="003D494F" w:rsidRDefault="005276A4" w:rsidP="00DE37F7">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.3:</w:t>
                            </w:r>
                            <w:r w:rsidRPr="003D494F">
                              <w:rPr>
                                <w:rFonts w:cs="Arial"/>
                                <w:bCs/>
                                <w:szCs w:val="20"/>
                              </w:rPr>
                              <w:t xml:space="preserve"> </w:t>
                            </w:r>
                            <w:r>
                              <w:rPr>
                                <w:rFonts w:cs="Arial"/>
                                <w:bCs/>
                                <w:szCs w:val="20"/>
                              </w:rPr>
                              <w:t xml:space="preserve">Market Compatibility for Trading – </w:t>
                            </w:r>
                            <w:r w:rsidRPr="00DE37F7">
                              <w:rPr>
                                <w:rFonts w:cs="Arial"/>
                                <w:bCs/>
                                <w:szCs w:val="20"/>
                              </w:rPr>
                              <w:t>Day-Ahead Market</w:t>
                            </w:r>
                            <w:r>
                              <w:rPr>
                                <w:rFonts w:cs="Arial"/>
                                <w:bCs/>
                                <w:szCs w:val="20"/>
                              </w:rPr>
                              <w:t xml:space="preserve"> </w:t>
                            </w:r>
                          </w:p>
                          <w:p w14:paraId="1A8E9D57"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The Day-Ahead Market will be designed to facilitate trading hour by hour to balance the </w:t>
                            </w:r>
                            <w:r>
                              <w:rPr>
                                <w:rFonts w:ascii="Arial" w:hAnsi="Arial" w:cs="Arial"/>
                                <w:bCs/>
                                <w:sz w:val="20"/>
                                <w:szCs w:val="20"/>
                                <w:lang w:val="en-GB"/>
                              </w:rPr>
                              <w:t xml:space="preserve">market </w:t>
                            </w:r>
                            <w:r w:rsidRPr="00DE37F7">
                              <w:rPr>
                                <w:rFonts w:ascii="Arial" w:hAnsi="Arial" w:cs="Arial"/>
                                <w:bCs/>
                                <w:sz w:val="20"/>
                                <w:szCs w:val="20"/>
                                <w:lang w:val="en-GB"/>
                              </w:rPr>
                              <w:t xml:space="preserve">participants’ internal portfolio for </w:t>
                            </w:r>
                            <w:r>
                              <w:rPr>
                                <w:rFonts w:ascii="Arial" w:hAnsi="Arial" w:cs="Arial"/>
                                <w:bCs/>
                                <w:sz w:val="20"/>
                                <w:szCs w:val="20"/>
                                <w:lang w:val="en-GB"/>
                              </w:rPr>
                              <w:t>generation</w:t>
                            </w:r>
                            <w:r w:rsidRPr="00DE37F7">
                              <w:rPr>
                                <w:rFonts w:ascii="Arial" w:hAnsi="Arial" w:cs="Arial"/>
                                <w:bCs/>
                                <w:sz w:val="20"/>
                                <w:szCs w:val="20"/>
                                <w:lang w:val="en-GB"/>
                              </w:rPr>
                              <w:t xml:space="preserve"> and consumption</w:t>
                            </w:r>
                            <w:r>
                              <w:rPr>
                                <w:rFonts w:ascii="Arial" w:hAnsi="Arial" w:cs="Arial"/>
                                <w:bCs/>
                                <w:sz w:val="20"/>
                                <w:szCs w:val="20"/>
                                <w:lang w:val="en-GB"/>
                              </w:rPr>
                              <w:t>, i.e. to enable</w:t>
                            </w:r>
                            <w:r w:rsidRPr="00DE37F7">
                              <w:rPr>
                                <w:rFonts w:ascii="Arial" w:hAnsi="Arial" w:cs="Arial"/>
                                <w:bCs/>
                                <w:sz w:val="20"/>
                                <w:szCs w:val="20"/>
                                <w:lang w:val="en-GB"/>
                              </w:rPr>
                              <w:t xml:space="preserve"> market participants the trade of hourly products for the next delivery day. </w:t>
                            </w:r>
                          </w:p>
                          <w:p w14:paraId="4492DCAA" w14:textId="319C2F6C"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The traded volume </w:t>
                            </w:r>
                            <w:r>
                              <w:rPr>
                                <w:rFonts w:ascii="Arial" w:hAnsi="Arial" w:cs="Arial"/>
                                <w:bCs/>
                                <w:sz w:val="20"/>
                                <w:szCs w:val="20"/>
                                <w:lang w:val="en-GB"/>
                              </w:rPr>
                              <w:t>in the Day-Ahead Market will</w:t>
                            </w:r>
                            <w:r w:rsidRPr="00DE37F7">
                              <w:rPr>
                                <w:rFonts w:ascii="Arial" w:hAnsi="Arial" w:cs="Arial"/>
                                <w:bCs/>
                                <w:sz w:val="20"/>
                                <w:szCs w:val="20"/>
                                <w:lang w:val="en-GB"/>
                              </w:rPr>
                              <w:t xml:space="preserve"> result in a contract based on physical delivery hour by hour.</w:t>
                            </w:r>
                            <w:r>
                              <w:rPr>
                                <w:rFonts w:ascii="Arial" w:hAnsi="Arial" w:cs="Arial"/>
                                <w:bCs/>
                                <w:sz w:val="20"/>
                                <w:szCs w:val="20"/>
                                <w:lang w:val="en-GB"/>
                              </w:rPr>
                              <w:t xml:space="preserve"> </w:t>
                            </w:r>
                          </w:p>
                          <w:p w14:paraId="4FD42331" w14:textId="6F2F53D3"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The D</w:t>
                            </w:r>
                            <w:r>
                              <w:rPr>
                                <w:rFonts w:ascii="Arial" w:hAnsi="Arial" w:cs="Arial"/>
                                <w:bCs/>
                                <w:sz w:val="20"/>
                                <w:szCs w:val="20"/>
                                <w:lang w:val="en-GB"/>
                              </w:rPr>
                              <w:t>ay-</w:t>
                            </w:r>
                            <w:r w:rsidRPr="00DE37F7">
                              <w:rPr>
                                <w:rFonts w:ascii="Arial" w:hAnsi="Arial" w:cs="Arial"/>
                                <w:bCs/>
                                <w:sz w:val="20"/>
                                <w:szCs w:val="20"/>
                                <w:lang w:val="en-GB"/>
                              </w:rPr>
                              <w:t>A</w:t>
                            </w:r>
                            <w:r>
                              <w:rPr>
                                <w:rFonts w:ascii="Arial" w:hAnsi="Arial" w:cs="Arial"/>
                                <w:bCs/>
                                <w:sz w:val="20"/>
                                <w:szCs w:val="20"/>
                                <w:lang w:val="en-GB"/>
                              </w:rPr>
                              <w:t xml:space="preserve">head </w:t>
                            </w:r>
                            <w:r w:rsidRPr="00DE37F7">
                              <w:rPr>
                                <w:rFonts w:ascii="Arial" w:hAnsi="Arial" w:cs="Arial"/>
                                <w:bCs/>
                                <w:sz w:val="20"/>
                                <w:szCs w:val="20"/>
                                <w:lang w:val="en-GB"/>
                              </w:rPr>
                              <w:t>M</w:t>
                            </w:r>
                            <w:r>
                              <w:rPr>
                                <w:rFonts w:ascii="Arial" w:hAnsi="Arial" w:cs="Arial"/>
                                <w:bCs/>
                                <w:sz w:val="20"/>
                                <w:szCs w:val="20"/>
                                <w:lang w:val="en-GB"/>
                              </w:rPr>
                              <w:t>arket</w:t>
                            </w:r>
                            <w:r w:rsidRPr="00DE37F7">
                              <w:rPr>
                                <w:rFonts w:ascii="Arial" w:hAnsi="Arial" w:cs="Arial"/>
                                <w:bCs/>
                                <w:sz w:val="20"/>
                                <w:szCs w:val="20"/>
                                <w:lang w:val="en-GB"/>
                              </w:rPr>
                              <w:t xml:space="preserve"> </w:t>
                            </w:r>
                            <w:r>
                              <w:rPr>
                                <w:rFonts w:ascii="Arial" w:hAnsi="Arial" w:cs="Arial"/>
                                <w:bCs/>
                                <w:sz w:val="20"/>
                                <w:szCs w:val="20"/>
                                <w:lang w:val="en-GB"/>
                              </w:rPr>
                              <w:t>will be</w:t>
                            </w:r>
                            <w:r w:rsidRPr="00DE37F7">
                              <w:rPr>
                                <w:rFonts w:ascii="Arial" w:hAnsi="Arial" w:cs="Arial"/>
                                <w:bCs/>
                                <w:sz w:val="20"/>
                                <w:szCs w:val="20"/>
                                <w:lang w:val="en-GB"/>
                              </w:rPr>
                              <w:t xml:space="preserve"> open for trade every hour, day by day, for the whole year and </w:t>
                            </w:r>
                            <w:r>
                              <w:rPr>
                                <w:rFonts w:ascii="Arial" w:hAnsi="Arial" w:cs="Arial"/>
                                <w:bCs/>
                                <w:sz w:val="20"/>
                                <w:szCs w:val="20"/>
                                <w:lang w:val="en-GB"/>
                              </w:rPr>
                              <w:t>will be</w:t>
                            </w:r>
                            <w:r w:rsidRPr="00DE37F7">
                              <w:rPr>
                                <w:rFonts w:ascii="Arial" w:hAnsi="Arial" w:cs="Arial"/>
                                <w:bCs/>
                                <w:sz w:val="20"/>
                                <w:szCs w:val="20"/>
                                <w:lang w:val="en-GB"/>
                              </w:rPr>
                              <w:t xml:space="preserve"> based on a single hour product.</w:t>
                            </w:r>
                            <w:r>
                              <w:rPr>
                                <w:rFonts w:ascii="Arial" w:hAnsi="Arial" w:cs="Arial"/>
                                <w:bCs/>
                                <w:sz w:val="20"/>
                                <w:szCs w:val="20"/>
                                <w:lang w:val="en-GB"/>
                              </w:rPr>
                              <w:t xml:space="preserve"> </w:t>
                            </w:r>
                          </w:p>
                          <w:p w14:paraId="05AFAAF6" w14:textId="3BA209E0" w:rsidR="005276A4" w:rsidRPr="00DE37F7"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The Day-Ahead </w:t>
                            </w:r>
                            <w:r>
                              <w:rPr>
                                <w:rFonts w:ascii="Arial" w:hAnsi="Arial" w:cs="Arial"/>
                                <w:bCs/>
                                <w:sz w:val="20"/>
                                <w:szCs w:val="20"/>
                                <w:lang w:val="en-GB"/>
                              </w:rPr>
                              <w:t>M</w:t>
                            </w:r>
                            <w:r w:rsidRPr="00DE37F7">
                              <w:rPr>
                                <w:rFonts w:ascii="Arial" w:hAnsi="Arial" w:cs="Arial"/>
                                <w:bCs/>
                                <w:sz w:val="20"/>
                                <w:szCs w:val="20"/>
                                <w:lang w:val="en-GB"/>
                              </w:rPr>
                              <w:t xml:space="preserve">arket </w:t>
                            </w:r>
                            <w:r>
                              <w:rPr>
                                <w:rFonts w:ascii="Arial" w:hAnsi="Arial" w:cs="Arial"/>
                                <w:bCs/>
                                <w:sz w:val="20"/>
                                <w:szCs w:val="20"/>
                                <w:lang w:val="en-GB"/>
                              </w:rPr>
                              <w:t xml:space="preserve">will be </w:t>
                            </w:r>
                            <w:r w:rsidRPr="00DE37F7">
                              <w:rPr>
                                <w:rFonts w:ascii="Arial" w:hAnsi="Arial" w:cs="Arial"/>
                                <w:bCs/>
                                <w:sz w:val="20"/>
                                <w:szCs w:val="20"/>
                                <w:lang w:val="en-GB"/>
                              </w:rPr>
                              <w:t>referred to as the cornerstone of the total market concept</w:t>
                            </w:r>
                            <w:r>
                              <w:rPr>
                                <w:rFonts w:ascii="Arial" w:hAnsi="Arial" w:cs="Arial"/>
                                <w:bCs/>
                                <w:sz w:val="20"/>
                                <w:szCs w:val="20"/>
                                <w:lang w:val="en-GB"/>
                              </w:rPr>
                              <w:t>. Its</w:t>
                            </w:r>
                            <w:r w:rsidRPr="00DE37F7">
                              <w:rPr>
                                <w:rFonts w:ascii="Arial" w:hAnsi="Arial" w:cs="Arial"/>
                                <w:bCs/>
                                <w:sz w:val="20"/>
                                <w:szCs w:val="20"/>
                                <w:lang w:val="en-GB"/>
                              </w:rPr>
                              <w:t xml:space="preserve"> market price </w:t>
                            </w:r>
                            <w:r>
                              <w:rPr>
                                <w:rFonts w:ascii="Arial" w:hAnsi="Arial" w:cs="Arial"/>
                                <w:bCs/>
                                <w:sz w:val="20"/>
                                <w:szCs w:val="20"/>
                                <w:lang w:val="en-GB"/>
                              </w:rPr>
                              <w:t xml:space="preserve">will </w:t>
                            </w:r>
                            <w:r w:rsidRPr="00DE37F7">
                              <w:rPr>
                                <w:rFonts w:ascii="Arial" w:hAnsi="Arial" w:cs="Arial"/>
                                <w:bCs/>
                                <w:sz w:val="20"/>
                                <w:szCs w:val="20"/>
                                <w:lang w:val="en-GB"/>
                              </w:rPr>
                              <w:t xml:space="preserve">serve as a reference for other markets such as the Intraday Market and </w:t>
                            </w:r>
                            <w:r>
                              <w:rPr>
                                <w:rFonts w:ascii="Arial" w:hAnsi="Arial" w:cs="Arial"/>
                                <w:bCs/>
                                <w:sz w:val="20"/>
                                <w:szCs w:val="20"/>
                                <w:lang w:val="en-GB"/>
                              </w:rPr>
                              <w:t xml:space="preserve">eventually </w:t>
                            </w:r>
                            <w:r w:rsidRPr="00DE37F7">
                              <w:rPr>
                                <w:rFonts w:ascii="Arial" w:hAnsi="Arial" w:cs="Arial"/>
                                <w:bCs/>
                                <w:sz w:val="20"/>
                                <w:szCs w:val="20"/>
                                <w:lang w:val="en-GB"/>
                              </w:rPr>
                              <w:t>the financial derivative market.</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FA2240" id="Text Box 50" o:spid="_x0000_s1042" type="#_x0000_t202" style="width:481.3pt;height:2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" fillcolor="#ebf1de" strokeweight=".5pt">
                <v:textbox>
                  <w:txbxContent>
                    <w:p w14:paraId="519CE4B7" w14:textId="6D04CF0F" w:rsidR="005276A4" w:rsidRPr="003D494F" w:rsidRDefault="005276A4" w:rsidP="00DE37F7">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.3:</w:t>
                      </w:r>
                      <w:r w:rsidRPr="003D494F">
                        <w:rPr>
                          <w:rFonts w:cs="Arial"/>
                          <w:bCs/>
                          <w:szCs w:val="20"/>
                        </w:rPr>
                        <w:t xml:space="preserve"> </w:t>
                      </w:r>
                      <w:r>
                        <w:rPr>
                          <w:rFonts w:cs="Arial"/>
                          <w:bCs/>
                          <w:szCs w:val="20"/>
                        </w:rPr>
                        <w:t xml:space="preserve">Market Compatibility for Trading – </w:t>
                      </w:r>
                      <w:r w:rsidRPr="00DE37F7">
                        <w:rPr>
                          <w:rFonts w:cs="Arial"/>
                          <w:bCs/>
                          <w:szCs w:val="20"/>
                        </w:rPr>
                        <w:t>Day-Ahead Market</w:t>
                      </w:r>
                      <w:r>
                        <w:rPr>
                          <w:rFonts w:cs="Arial"/>
                          <w:bCs/>
                          <w:szCs w:val="20"/>
                        </w:rPr>
                        <w:t xml:space="preserve"> </w:t>
                      </w:r>
                    </w:p>
                    <w:p w14:paraId="1A8E9D57"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The Day-Ahead Market will be designed to facilitate trading hour by hour to balance the </w:t>
                      </w:r>
                      <w:r>
                        <w:rPr>
                          <w:rFonts w:ascii="Arial" w:hAnsi="Arial" w:cs="Arial"/>
                          <w:bCs/>
                          <w:sz w:val="20"/>
                          <w:szCs w:val="20"/>
                          <w:lang w:val="en-GB"/>
                        </w:rPr>
                        <w:t xml:space="preserve">market </w:t>
                      </w:r>
                      <w:r w:rsidRPr="00DE37F7">
                        <w:rPr>
                          <w:rFonts w:ascii="Arial" w:hAnsi="Arial" w:cs="Arial"/>
                          <w:bCs/>
                          <w:sz w:val="20"/>
                          <w:szCs w:val="20"/>
                          <w:lang w:val="en-GB"/>
                        </w:rPr>
                        <w:t xml:space="preserve">participants’ internal portfolio for </w:t>
                      </w:r>
                      <w:r>
                        <w:rPr>
                          <w:rFonts w:ascii="Arial" w:hAnsi="Arial" w:cs="Arial"/>
                          <w:bCs/>
                          <w:sz w:val="20"/>
                          <w:szCs w:val="20"/>
                          <w:lang w:val="en-GB"/>
                        </w:rPr>
                        <w:t>generation</w:t>
                      </w:r>
                      <w:r w:rsidRPr="00DE37F7">
                        <w:rPr>
                          <w:rFonts w:ascii="Arial" w:hAnsi="Arial" w:cs="Arial"/>
                          <w:bCs/>
                          <w:sz w:val="20"/>
                          <w:szCs w:val="20"/>
                          <w:lang w:val="en-GB"/>
                        </w:rPr>
                        <w:t xml:space="preserve"> and consumption</w:t>
                      </w:r>
                      <w:r>
                        <w:rPr>
                          <w:rFonts w:ascii="Arial" w:hAnsi="Arial" w:cs="Arial"/>
                          <w:bCs/>
                          <w:sz w:val="20"/>
                          <w:szCs w:val="20"/>
                          <w:lang w:val="en-GB"/>
                        </w:rPr>
                        <w:t>, i.e. to enable</w:t>
                      </w:r>
                      <w:r w:rsidRPr="00DE37F7">
                        <w:rPr>
                          <w:rFonts w:ascii="Arial" w:hAnsi="Arial" w:cs="Arial"/>
                          <w:bCs/>
                          <w:sz w:val="20"/>
                          <w:szCs w:val="20"/>
                          <w:lang w:val="en-GB"/>
                        </w:rPr>
                        <w:t xml:space="preserve"> market participants the trade of hourly products for the next delivery day. </w:t>
                      </w:r>
                    </w:p>
                    <w:p w14:paraId="4492DCAA" w14:textId="319C2F6C"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The traded volume </w:t>
                      </w:r>
                      <w:r>
                        <w:rPr>
                          <w:rFonts w:ascii="Arial" w:hAnsi="Arial" w:cs="Arial"/>
                          <w:bCs/>
                          <w:sz w:val="20"/>
                          <w:szCs w:val="20"/>
                          <w:lang w:val="en-GB"/>
                        </w:rPr>
                        <w:t>in the Day-Ahead Market will</w:t>
                      </w:r>
                      <w:r w:rsidRPr="00DE37F7">
                        <w:rPr>
                          <w:rFonts w:ascii="Arial" w:hAnsi="Arial" w:cs="Arial"/>
                          <w:bCs/>
                          <w:sz w:val="20"/>
                          <w:szCs w:val="20"/>
                          <w:lang w:val="en-GB"/>
                        </w:rPr>
                        <w:t xml:space="preserve"> result in a contract based on physical delivery hour by hour.</w:t>
                      </w:r>
                      <w:r>
                        <w:rPr>
                          <w:rFonts w:ascii="Arial" w:hAnsi="Arial" w:cs="Arial"/>
                          <w:bCs/>
                          <w:sz w:val="20"/>
                          <w:szCs w:val="20"/>
                          <w:lang w:val="en-GB"/>
                        </w:rPr>
                        <w:t xml:space="preserve"> </w:t>
                      </w:r>
                    </w:p>
                    <w:p w14:paraId="4FD42331" w14:textId="6F2F53D3"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The D</w:t>
                      </w:r>
                      <w:r>
                        <w:rPr>
                          <w:rFonts w:ascii="Arial" w:hAnsi="Arial" w:cs="Arial"/>
                          <w:bCs/>
                          <w:sz w:val="20"/>
                          <w:szCs w:val="20"/>
                          <w:lang w:val="en-GB"/>
                        </w:rPr>
                        <w:t>ay-</w:t>
                      </w:r>
                      <w:r w:rsidRPr="00DE37F7">
                        <w:rPr>
                          <w:rFonts w:ascii="Arial" w:hAnsi="Arial" w:cs="Arial"/>
                          <w:bCs/>
                          <w:sz w:val="20"/>
                          <w:szCs w:val="20"/>
                          <w:lang w:val="en-GB"/>
                        </w:rPr>
                        <w:t>A</w:t>
                      </w:r>
                      <w:r>
                        <w:rPr>
                          <w:rFonts w:ascii="Arial" w:hAnsi="Arial" w:cs="Arial"/>
                          <w:bCs/>
                          <w:sz w:val="20"/>
                          <w:szCs w:val="20"/>
                          <w:lang w:val="en-GB"/>
                        </w:rPr>
                        <w:t xml:space="preserve">head </w:t>
                      </w:r>
                      <w:r w:rsidRPr="00DE37F7">
                        <w:rPr>
                          <w:rFonts w:ascii="Arial" w:hAnsi="Arial" w:cs="Arial"/>
                          <w:bCs/>
                          <w:sz w:val="20"/>
                          <w:szCs w:val="20"/>
                          <w:lang w:val="en-GB"/>
                        </w:rPr>
                        <w:t>M</w:t>
                      </w:r>
                      <w:r>
                        <w:rPr>
                          <w:rFonts w:ascii="Arial" w:hAnsi="Arial" w:cs="Arial"/>
                          <w:bCs/>
                          <w:sz w:val="20"/>
                          <w:szCs w:val="20"/>
                          <w:lang w:val="en-GB"/>
                        </w:rPr>
                        <w:t>arket</w:t>
                      </w:r>
                      <w:r w:rsidRPr="00DE37F7">
                        <w:rPr>
                          <w:rFonts w:ascii="Arial" w:hAnsi="Arial" w:cs="Arial"/>
                          <w:bCs/>
                          <w:sz w:val="20"/>
                          <w:szCs w:val="20"/>
                          <w:lang w:val="en-GB"/>
                        </w:rPr>
                        <w:t xml:space="preserve"> </w:t>
                      </w:r>
                      <w:r>
                        <w:rPr>
                          <w:rFonts w:ascii="Arial" w:hAnsi="Arial" w:cs="Arial"/>
                          <w:bCs/>
                          <w:sz w:val="20"/>
                          <w:szCs w:val="20"/>
                          <w:lang w:val="en-GB"/>
                        </w:rPr>
                        <w:t>will be</w:t>
                      </w:r>
                      <w:r w:rsidRPr="00DE37F7">
                        <w:rPr>
                          <w:rFonts w:ascii="Arial" w:hAnsi="Arial" w:cs="Arial"/>
                          <w:bCs/>
                          <w:sz w:val="20"/>
                          <w:szCs w:val="20"/>
                          <w:lang w:val="en-GB"/>
                        </w:rPr>
                        <w:t xml:space="preserve"> open for trade every hour, day by day, for the whole year and </w:t>
                      </w:r>
                      <w:r>
                        <w:rPr>
                          <w:rFonts w:ascii="Arial" w:hAnsi="Arial" w:cs="Arial"/>
                          <w:bCs/>
                          <w:sz w:val="20"/>
                          <w:szCs w:val="20"/>
                          <w:lang w:val="en-GB"/>
                        </w:rPr>
                        <w:t>will be</w:t>
                      </w:r>
                      <w:r w:rsidRPr="00DE37F7">
                        <w:rPr>
                          <w:rFonts w:ascii="Arial" w:hAnsi="Arial" w:cs="Arial"/>
                          <w:bCs/>
                          <w:sz w:val="20"/>
                          <w:szCs w:val="20"/>
                          <w:lang w:val="en-GB"/>
                        </w:rPr>
                        <w:t xml:space="preserve"> based on a single hour product.</w:t>
                      </w:r>
                      <w:r>
                        <w:rPr>
                          <w:rFonts w:ascii="Arial" w:hAnsi="Arial" w:cs="Arial"/>
                          <w:bCs/>
                          <w:sz w:val="20"/>
                          <w:szCs w:val="20"/>
                          <w:lang w:val="en-GB"/>
                        </w:rPr>
                        <w:t xml:space="preserve"> </w:t>
                      </w:r>
                    </w:p>
                    <w:p w14:paraId="05AFAAF6" w14:textId="3BA209E0" w:rsidR="005276A4" w:rsidRPr="00DE37F7"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The Day-Ahead </w:t>
                      </w:r>
                      <w:r>
                        <w:rPr>
                          <w:rFonts w:ascii="Arial" w:hAnsi="Arial" w:cs="Arial"/>
                          <w:bCs/>
                          <w:sz w:val="20"/>
                          <w:szCs w:val="20"/>
                          <w:lang w:val="en-GB"/>
                        </w:rPr>
                        <w:t>M</w:t>
                      </w:r>
                      <w:r w:rsidRPr="00DE37F7">
                        <w:rPr>
                          <w:rFonts w:ascii="Arial" w:hAnsi="Arial" w:cs="Arial"/>
                          <w:bCs/>
                          <w:sz w:val="20"/>
                          <w:szCs w:val="20"/>
                          <w:lang w:val="en-GB"/>
                        </w:rPr>
                        <w:t xml:space="preserve">arket </w:t>
                      </w:r>
                      <w:r>
                        <w:rPr>
                          <w:rFonts w:ascii="Arial" w:hAnsi="Arial" w:cs="Arial"/>
                          <w:bCs/>
                          <w:sz w:val="20"/>
                          <w:szCs w:val="20"/>
                          <w:lang w:val="en-GB"/>
                        </w:rPr>
                        <w:t xml:space="preserve">will be </w:t>
                      </w:r>
                      <w:r w:rsidRPr="00DE37F7">
                        <w:rPr>
                          <w:rFonts w:ascii="Arial" w:hAnsi="Arial" w:cs="Arial"/>
                          <w:bCs/>
                          <w:sz w:val="20"/>
                          <w:szCs w:val="20"/>
                          <w:lang w:val="en-GB"/>
                        </w:rPr>
                        <w:t>referred to as the cornerstone of the total market concept</w:t>
                      </w:r>
                      <w:r>
                        <w:rPr>
                          <w:rFonts w:ascii="Arial" w:hAnsi="Arial" w:cs="Arial"/>
                          <w:bCs/>
                          <w:sz w:val="20"/>
                          <w:szCs w:val="20"/>
                          <w:lang w:val="en-GB"/>
                        </w:rPr>
                        <w:t>. Its</w:t>
                      </w:r>
                      <w:r w:rsidRPr="00DE37F7">
                        <w:rPr>
                          <w:rFonts w:ascii="Arial" w:hAnsi="Arial" w:cs="Arial"/>
                          <w:bCs/>
                          <w:sz w:val="20"/>
                          <w:szCs w:val="20"/>
                          <w:lang w:val="en-GB"/>
                        </w:rPr>
                        <w:t xml:space="preserve"> market price </w:t>
                      </w:r>
                      <w:r>
                        <w:rPr>
                          <w:rFonts w:ascii="Arial" w:hAnsi="Arial" w:cs="Arial"/>
                          <w:bCs/>
                          <w:sz w:val="20"/>
                          <w:szCs w:val="20"/>
                          <w:lang w:val="en-GB"/>
                        </w:rPr>
                        <w:t xml:space="preserve">will </w:t>
                      </w:r>
                      <w:r w:rsidRPr="00DE37F7">
                        <w:rPr>
                          <w:rFonts w:ascii="Arial" w:hAnsi="Arial" w:cs="Arial"/>
                          <w:bCs/>
                          <w:sz w:val="20"/>
                          <w:szCs w:val="20"/>
                          <w:lang w:val="en-GB"/>
                        </w:rPr>
                        <w:t xml:space="preserve">serve as a reference for other markets such as the Intraday Market and </w:t>
                      </w:r>
                      <w:r>
                        <w:rPr>
                          <w:rFonts w:ascii="Arial" w:hAnsi="Arial" w:cs="Arial"/>
                          <w:bCs/>
                          <w:sz w:val="20"/>
                          <w:szCs w:val="20"/>
                          <w:lang w:val="en-GB"/>
                        </w:rPr>
                        <w:t xml:space="preserve">eventually </w:t>
                      </w:r>
                      <w:r w:rsidRPr="00DE37F7">
                        <w:rPr>
                          <w:rFonts w:ascii="Arial" w:hAnsi="Arial" w:cs="Arial"/>
                          <w:bCs/>
                          <w:sz w:val="20"/>
                          <w:szCs w:val="20"/>
                          <w:lang w:val="en-GB"/>
                        </w:rPr>
                        <w:t>the financial derivative market.</w:t>
                      </w:r>
                      <w:r>
                        <w:rPr>
                          <w:rFonts w:ascii="Arial" w:hAnsi="Arial" w:cs="Arial"/>
                          <w:bCs/>
                          <w:sz w:val="20"/>
                          <w:szCs w:val="20"/>
                          <w:lang w:val="en-GB"/>
                        </w:rPr>
                        <w:t xml:space="preserve"> </w:t>
                      </w:r>
                    </w:p>
                  </w:txbxContent>
                </v:textbox>
                <w10:anchorlock/>
              </v:shape>
            </w:pict>
          </mc:Fallback>
        </mc:AlternateContent>
      </w:r>
    </w:p>
    <w:p w14:paraId="723AB9A8" w14:textId="79CD667E" w:rsidR="00BA4CDB" w:rsidRPr="00654753" w:rsidRDefault="00DE37F7" w:rsidP="00483DE9">
      <w:pPr>
        <w:rPr>
          <w:rFonts w:eastAsia="Calibri"/>
          <w:szCs w:val="22"/>
        </w:rPr>
      </w:pPr>
      <w:r w:rsidRPr="006273BD">
        <w:rPr>
          <w:rFonts w:eastAsia="Calibri"/>
          <w:noProof/>
          <w:lang w:eastAsia="en-GB"/>
        </w:rPr>
        <mc:AlternateContent>
          <mc:Choice Requires="wps">
            <w:drawing>
              <wp:inline distT="0" distB="0" distL="0" distR="0" wp14:anchorId="57E1DE97" wp14:editId="4AECD313">
                <wp:extent cx="6112800" cy="3358194"/>
                <wp:effectExtent l="0" t="0" r="21590" b="13970"/>
                <wp:docPr id="51" name="Text Box 51"/>
                <wp:cNvGraphicFramePr/>
                <a:graphic xmlns:a="http://schemas.openxmlformats.org/drawingml/2006/main">
                  <a:graphicData uri="http://schemas.microsoft.com/office/word/2010/wordprocessingShape">
                    <wps:wsp>
                      <wps:cNvSpPr txBox="1"/>
                      <wps:spPr>
                        <a:xfrm>
                          <a:off x="0" y="0"/>
                          <a:ext cx="6112800" cy="3358194"/>
                        </a:xfrm>
                        <a:prstGeom prst="rect">
                          <a:avLst/>
                        </a:prstGeom>
                        <a:solidFill>
                          <a:srgbClr val="9BBB59">
                            <a:lumMod val="20000"/>
                            <a:lumOff val="80000"/>
                          </a:srgbClr>
                        </a:solidFill>
                        <a:ln w="6350">
                          <a:solidFill>
                            <a:prstClr val="black"/>
                          </a:solidFill>
                        </a:ln>
                        <a:effectLst/>
                      </wps:spPr>
                      <wps:txbx>
                        <w:txbxContent>
                          <w:p w14:paraId="31E4FA2D" w14:textId="76674B1D" w:rsidR="005276A4" w:rsidRPr="003D494F" w:rsidRDefault="005276A4" w:rsidP="00DE37F7">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.4:</w:t>
                            </w:r>
                            <w:r w:rsidRPr="003D494F">
                              <w:rPr>
                                <w:rFonts w:cs="Arial"/>
                                <w:bCs/>
                                <w:szCs w:val="20"/>
                              </w:rPr>
                              <w:t xml:space="preserve"> </w:t>
                            </w:r>
                            <w:r>
                              <w:rPr>
                                <w:rFonts w:cs="Arial"/>
                                <w:bCs/>
                                <w:szCs w:val="20"/>
                              </w:rPr>
                              <w:t>Market Compatibility for Trading – Intraday</w:t>
                            </w:r>
                            <w:r w:rsidRPr="00DE37F7">
                              <w:rPr>
                                <w:rFonts w:cs="Arial"/>
                                <w:bCs/>
                                <w:szCs w:val="20"/>
                              </w:rPr>
                              <w:t xml:space="preserve"> Market</w:t>
                            </w:r>
                            <w:r>
                              <w:rPr>
                                <w:rFonts w:cs="Arial"/>
                                <w:bCs/>
                                <w:szCs w:val="20"/>
                              </w:rPr>
                              <w:t xml:space="preserve"> </w:t>
                            </w:r>
                          </w:p>
                          <w:p w14:paraId="21053BEF" w14:textId="5BFE5550"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Intraday Market will be a continuous market open for the whole market area. Trading of electricity for a new delivery day will be opened after the Day-Ahead Market is closed, and up to [one] hour ahead of real-time operation. The Intraday Market will be a supplement to the Day-Ahead Market and will help market participants to secure and adjust their balance between supply and demand on an hourly basis. </w:t>
                            </w:r>
                          </w:p>
                          <w:p w14:paraId="30417361" w14:textId="1DC4200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The traded volume </w:t>
                            </w:r>
                            <w:r>
                              <w:rPr>
                                <w:rFonts w:ascii="Arial" w:hAnsi="Arial" w:cs="Arial"/>
                                <w:bCs/>
                                <w:sz w:val="20"/>
                                <w:szCs w:val="20"/>
                                <w:lang w:val="en-GB"/>
                              </w:rPr>
                              <w:t xml:space="preserve">in the Intraday Market will </w:t>
                            </w:r>
                            <w:r w:rsidRPr="00DE37F7">
                              <w:rPr>
                                <w:rFonts w:ascii="Arial" w:hAnsi="Arial" w:cs="Arial"/>
                                <w:bCs/>
                                <w:sz w:val="20"/>
                                <w:szCs w:val="20"/>
                                <w:lang w:val="en-GB"/>
                              </w:rPr>
                              <w:t>result in a contract based on physical delivery hour by hour.</w:t>
                            </w:r>
                            <w:r>
                              <w:rPr>
                                <w:rFonts w:ascii="Arial" w:hAnsi="Arial" w:cs="Arial"/>
                                <w:bCs/>
                                <w:sz w:val="20"/>
                                <w:szCs w:val="20"/>
                                <w:lang w:val="en-GB"/>
                              </w:rPr>
                              <w:t xml:space="preserve"> </w:t>
                            </w:r>
                          </w:p>
                          <w:p w14:paraId="32A6FB6F" w14:textId="525A2CC4"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Intraday Market will allow each individual market participant to adjust the electricity balance, and will be a tool for them to manage incidents and failures in the power system between the closing of the Day-Ahead Market and delivery the next day. Market participants will be enabled to utilise their potential flexibility in generation/consumption to make use of trading opportunities in the Intraday Market, as well as trading small volumes to ensure their internal balance. </w:t>
                            </w:r>
                          </w:p>
                          <w:p w14:paraId="17D7DDA6" w14:textId="79E3E5D5" w:rsidR="005276A4" w:rsidRPr="00297993"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297993">
                              <w:rPr>
                                <w:rFonts w:ascii="Arial" w:hAnsi="Arial" w:cs="Arial"/>
                                <w:bCs/>
                                <w:sz w:val="20"/>
                                <w:szCs w:val="20"/>
                                <w:lang w:val="en-GB"/>
                              </w:rPr>
                              <w:t>For information purposes only</w:t>
                            </w:r>
                            <w:r>
                              <w:rPr>
                                <w:rFonts w:ascii="Arial" w:hAnsi="Arial" w:cs="Arial"/>
                                <w:bCs/>
                                <w:sz w:val="20"/>
                                <w:szCs w:val="20"/>
                                <w:lang w:val="en-GB"/>
                              </w:rPr>
                              <w:t>,</w:t>
                            </w:r>
                            <w:r w:rsidRPr="00297993">
                              <w:rPr>
                                <w:rFonts w:ascii="Arial" w:hAnsi="Arial" w:cs="Arial"/>
                                <w:bCs/>
                                <w:sz w:val="20"/>
                                <w:szCs w:val="20"/>
                                <w:lang w:val="en-GB"/>
                              </w:rPr>
                              <w:t xml:space="preserve"> a closing price for each hour </w:t>
                            </w:r>
                            <w:r>
                              <w:rPr>
                                <w:rFonts w:ascii="Arial" w:hAnsi="Arial" w:cs="Arial"/>
                                <w:bCs/>
                                <w:sz w:val="20"/>
                                <w:szCs w:val="20"/>
                                <w:lang w:val="en-GB"/>
                              </w:rPr>
                              <w:t>will be</w:t>
                            </w:r>
                            <w:r w:rsidRPr="00297993">
                              <w:rPr>
                                <w:rFonts w:ascii="Arial" w:hAnsi="Arial" w:cs="Arial"/>
                                <w:bCs/>
                                <w:sz w:val="20"/>
                                <w:szCs w:val="20"/>
                                <w:lang w:val="en-GB"/>
                              </w:rPr>
                              <w:t xml:space="preserve"> reported after </w:t>
                            </w:r>
                            <w:r>
                              <w:rPr>
                                <w:rFonts w:ascii="Arial" w:hAnsi="Arial" w:cs="Arial"/>
                                <w:bCs/>
                                <w:sz w:val="20"/>
                                <w:szCs w:val="20"/>
                                <w:lang w:val="en-GB"/>
                              </w:rPr>
                              <w:t xml:space="preserve">the </w:t>
                            </w:r>
                            <w:r w:rsidRPr="00297993">
                              <w:rPr>
                                <w:rFonts w:ascii="Arial" w:hAnsi="Arial" w:cs="Arial"/>
                                <w:bCs/>
                                <w:sz w:val="20"/>
                                <w:szCs w:val="20"/>
                                <w:lang w:val="en-GB"/>
                              </w:rPr>
                              <w:t>I</w:t>
                            </w:r>
                            <w:r>
                              <w:rPr>
                                <w:rFonts w:ascii="Arial" w:hAnsi="Arial" w:cs="Arial"/>
                                <w:bCs/>
                                <w:sz w:val="20"/>
                                <w:szCs w:val="20"/>
                                <w:lang w:val="en-GB"/>
                              </w:rPr>
                              <w:t xml:space="preserve">ntraday </w:t>
                            </w:r>
                            <w:r w:rsidRPr="00297993">
                              <w:rPr>
                                <w:rFonts w:ascii="Arial" w:hAnsi="Arial" w:cs="Arial"/>
                                <w:bCs/>
                                <w:sz w:val="20"/>
                                <w:szCs w:val="20"/>
                                <w:lang w:val="en-GB"/>
                              </w:rPr>
                              <w:t>M</w:t>
                            </w:r>
                            <w:r>
                              <w:rPr>
                                <w:rFonts w:ascii="Arial" w:hAnsi="Arial" w:cs="Arial"/>
                                <w:bCs/>
                                <w:sz w:val="20"/>
                                <w:szCs w:val="20"/>
                                <w:lang w:val="en-GB"/>
                              </w:rPr>
                              <w:t>arket</w:t>
                            </w:r>
                            <w:r w:rsidRPr="00297993">
                              <w:rPr>
                                <w:rFonts w:ascii="Arial" w:hAnsi="Arial" w:cs="Arial"/>
                                <w:bCs/>
                                <w:sz w:val="20"/>
                                <w:szCs w:val="20"/>
                                <w:lang w:val="en-GB"/>
                              </w:rPr>
                              <w:t xml:space="preserve"> is closed. This price </w:t>
                            </w:r>
                            <w:r>
                              <w:rPr>
                                <w:rFonts w:ascii="Arial" w:hAnsi="Arial" w:cs="Arial"/>
                                <w:bCs/>
                                <w:sz w:val="20"/>
                                <w:szCs w:val="20"/>
                                <w:lang w:val="en-GB"/>
                              </w:rPr>
                              <w:t xml:space="preserve">will be </w:t>
                            </w:r>
                            <w:r w:rsidRPr="00297993">
                              <w:rPr>
                                <w:rFonts w:ascii="Arial" w:hAnsi="Arial" w:cs="Arial"/>
                                <w:bCs/>
                                <w:sz w:val="20"/>
                                <w:szCs w:val="20"/>
                                <w:lang w:val="en-GB"/>
                              </w:rPr>
                              <w:t>a volume-weighted price for all trades in the given hour.</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E1DE97" id="Text Box 51" o:spid="_x0000_s1043" type="#_x0000_t202" style="width:481.3pt;height:2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" fillcolor="#ebf1de" strokeweight=".5pt">
                <v:textbox>
                  <w:txbxContent>
                    <w:p w14:paraId="31E4FA2D" w14:textId="76674B1D" w:rsidR="005276A4" w:rsidRPr="003D494F" w:rsidRDefault="005276A4" w:rsidP="00DE37F7">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.4:</w:t>
                      </w:r>
                      <w:r w:rsidRPr="003D494F">
                        <w:rPr>
                          <w:rFonts w:cs="Arial"/>
                          <w:bCs/>
                          <w:szCs w:val="20"/>
                        </w:rPr>
                        <w:t xml:space="preserve"> </w:t>
                      </w:r>
                      <w:r>
                        <w:rPr>
                          <w:rFonts w:cs="Arial"/>
                          <w:bCs/>
                          <w:szCs w:val="20"/>
                        </w:rPr>
                        <w:t>Market Compatibility for Trading – Intraday</w:t>
                      </w:r>
                      <w:r w:rsidRPr="00DE37F7">
                        <w:rPr>
                          <w:rFonts w:cs="Arial"/>
                          <w:bCs/>
                          <w:szCs w:val="20"/>
                        </w:rPr>
                        <w:t xml:space="preserve"> Market</w:t>
                      </w:r>
                      <w:r>
                        <w:rPr>
                          <w:rFonts w:cs="Arial"/>
                          <w:bCs/>
                          <w:szCs w:val="20"/>
                        </w:rPr>
                        <w:t xml:space="preserve"> </w:t>
                      </w:r>
                    </w:p>
                    <w:p w14:paraId="21053BEF" w14:textId="5BFE5550"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Intraday Market will be a continuous market open for the whole market area. Trading of electricity for a new delivery day will be opened after the Day-Ahead Market is closed, and up to [one] hour ahead of real-time operation. The Intraday Market will be a supplement to the Day-Ahead Market and will help market participants to secure and adjust their balance between supply and demand on an hourly basis. </w:t>
                      </w:r>
                    </w:p>
                    <w:p w14:paraId="30417361" w14:textId="1DC4200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E37F7">
                        <w:rPr>
                          <w:rFonts w:ascii="Arial" w:hAnsi="Arial" w:cs="Arial"/>
                          <w:bCs/>
                          <w:sz w:val="20"/>
                          <w:szCs w:val="20"/>
                          <w:lang w:val="en-GB"/>
                        </w:rPr>
                        <w:t xml:space="preserve">The traded volume </w:t>
                      </w:r>
                      <w:r>
                        <w:rPr>
                          <w:rFonts w:ascii="Arial" w:hAnsi="Arial" w:cs="Arial"/>
                          <w:bCs/>
                          <w:sz w:val="20"/>
                          <w:szCs w:val="20"/>
                          <w:lang w:val="en-GB"/>
                        </w:rPr>
                        <w:t xml:space="preserve">in the Intraday Market will </w:t>
                      </w:r>
                      <w:r w:rsidRPr="00DE37F7">
                        <w:rPr>
                          <w:rFonts w:ascii="Arial" w:hAnsi="Arial" w:cs="Arial"/>
                          <w:bCs/>
                          <w:sz w:val="20"/>
                          <w:szCs w:val="20"/>
                          <w:lang w:val="en-GB"/>
                        </w:rPr>
                        <w:t>result in a contract based on physical delivery hour by hour.</w:t>
                      </w:r>
                      <w:r>
                        <w:rPr>
                          <w:rFonts w:ascii="Arial" w:hAnsi="Arial" w:cs="Arial"/>
                          <w:bCs/>
                          <w:sz w:val="20"/>
                          <w:szCs w:val="20"/>
                          <w:lang w:val="en-GB"/>
                        </w:rPr>
                        <w:t xml:space="preserve"> </w:t>
                      </w:r>
                    </w:p>
                    <w:p w14:paraId="32A6FB6F" w14:textId="525A2CC4"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Intraday Market will allow each individual market participant to adjust the electricity balance, and will be a tool for them to manage incidents and failures in the power system between the closing of the Day-Ahead Market and delivery the next day. Market participants will be enabled to utilise their potential flexibility in generation/consumption to make use of trading opportunities in the Intraday Market, as well as trading small volumes to ensure their internal balance. </w:t>
                      </w:r>
                    </w:p>
                    <w:p w14:paraId="17D7DDA6" w14:textId="79E3E5D5" w:rsidR="005276A4" w:rsidRPr="00297993"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297993">
                        <w:rPr>
                          <w:rFonts w:ascii="Arial" w:hAnsi="Arial" w:cs="Arial"/>
                          <w:bCs/>
                          <w:sz w:val="20"/>
                          <w:szCs w:val="20"/>
                          <w:lang w:val="en-GB"/>
                        </w:rPr>
                        <w:t>For information purposes only</w:t>
                      </w:r>
                      <w:r>
                        <w:rPr>
                          <w:rFonts w:ascii="Arial" w:hAnsi="Arial" w:cs="Arial"/>
                          <w:bCs/>
                          <w:sz w:val="20"/>
                          <w:szCs w:val="20"/>
                          <w:lang w:val="en-GB"/>
                        </w:rPr>
                        <w:t>,</w:t>
                      </w:r>
                      <w:r w:rsidRPr="00297993">
                        <w:rPr>
                          <w:rFonts w:ascii="Arial" w:hAnsi="Arial" w:cs="Arial"/>
                          <w:bCs/>
                          <w:sz w:val="20"/>
                          <w:szCs w:val="20"/>
                          <w:lang w:val="en-GB"/>
                        </w:rPr>
                        <w:t xml:space="preserve"> a closing price for each hour </w:t>
                      </w:r>
                      <w:r>
                        <w:rPr>
                          <w:rFonts w:ascii="Arial" w:hAnsi="Arial" w:cs="Arial"/>
                          <w:bCs/>
                          <w:sz w:val="20"/>
                          <w:szCs w:val="20"/>
                          <w:lang w:val="en-GB"/>
                        </w:rPr>
                        <w:t>will be</w:t>
                      </w:r>
                      <w:r w:rsidRPr="00297993">
                        <w:rPr>
                          <w:rFonts w:ascii="Arial" w:hAnsi="Arial" w:cs="Arial"/>
                          <w:bCs/>
                          <w:sz w:val="20"/>
                          <w:szCs w:val="20"/>
                          <w:lang w:val="en-GB"/>
                        </w:rPr>
                        <w:t xml:space="preserve"> reported after </w:t>
                      </w:r>
                      <w:r>
                        <w:rPr>
                          <w:rFonts w:ascii="Arial" w:hAnsi="Arial" w:cs="Arial"/>
                          <w:bCs/>
                          <w:sz w:val="20"/>
                          <w:szCs w:val="20"/>
                          <w:lang w:val="en-GB"/>
                        </w:rPr>
                        <w:t xml:space="preserve">the </w:t>
                      </w:r>
                      <w:r w:rsidRPr="00297993">
                        <w:rPr>
                          <w:rFonts w:ascii="Arial" w:hAnsi="Arial" w:cs="Arial"/>
                          <w:bCs/>
                          <w:sz w:val="20"/>
                          <w:szCs w:val="20"/>
                          <w:lang w:val="en-GB"/>
                        </w:rPr>
                        <w:t>I</w:t>
                      </w:r>
                      <w:r>
                        <w:rPr>
                          <w:rFonts w:ascii="Arial" w:hAnsi="Arial" w:cs="Arial"/>
                          <w:bCs/>
                          <w:sz w:val="20"/>
                          <w:szCs w:val="20"/>
                          <w:lang w:val="en-GB"/>
                        </w:rPr>
                        <w:t xml:space="preserve">ntraday </w:t>
                      </w:r>
                      <w:r w:rsidRPr="00297993">
                        <w:rPr>
                          <w:rFonts w:ascii="Arial" w:hAnsi="Arial" w:cs="Arial"/>
                          <w:bCs/>
                          <w:sz w:val="20"/>
                          <w:szCs w:val="20"/>
                          <w:lang w:val="en-GB"/>
                        </w:rPr>
                        <w:t>M</w:t>
                      </w:r>
                      <w:r>
                        <w:rPr>
                          <w:rFonts w:ascii="Arial" w:hAnsi="Arial" w:cs="Arial"/>
                          <w:bCs/>
                          <w:sz w:val="20"/>
                          <w:szCs w:val="20"/>
                          <w:lang w:val="en-GB"/>
                        </w:rPr>
                        <w:t>arket</w:t>
                      </w:r>
                      <w:r w:rsidRPr="00297993">
                        <w:rPr>
                          <w:rFonts w:ascii="Arial" w:hAnsi="Arial" w:cs="Arial"/>
                          <w:bCs/>
                          <w:sz w:val="20"/>
                          <w:szCs w:val="20"/>
                          <w:lang w:val="en-GB"/>
                        </w:rPr>
                        <w:t xml:space="preserve"> is closed. This price </w:t>
                      </w:r>
                      <w:r>
                        <w:rPr>
                          <w:rFonts w:ascii="Arial" w:hAnsi="Arial" w:cs="Arial"/>
                          <w:bCs/>
                          <w:sz w:val="20"/>
                          <w:szCs w:val="20"/>
                          <w:lang w:val="en-GB"/>
                        </w:rPr>
                        <w:t xml:space="preserve">will be </w:t>
                      </w:r>
                      <w:r w:rsidRPr="00297993">
                        <w:rPr>
                          <w:rFonts w:ascii="Arial" w:hAnsi="Arial" w:cs="Arial"/>
                          <w:bCs/>
                          <w:sz w:val="20"/>
                          <w:szCs w:val="20"/>
                          <w:lang w:val="en-GB"/>
                        </w:rPr>
                        <w:t>a volume-weighted price for all trades in the given hour.</w:t>
                      </w:r>
                      <w:r>
                        <w:rPr>
                          <w:rFonts w:ascii="Arial" w:hAnsi="Arial" w:cs="Arial"/>
                          <w:bCs/>
                          <w:sz w:val="20"/>
                          <w:szCs w:val="20"/>
                          <w:lang w:val="en-GB"/>
                        </w:rPr>
                        <w:t xml:space="preserve"> </w:t>
                      </w:r>
                    </w:p>
                  </w:txbxContent>
                </v:textbox>
                <w10:anchorlock/>
              </v:shape>
            </w:pict>
          </mc:Fallback>
        </mc:AlternateContent>
      </w:r>
    </w:p>
    <w:p w14:paraId="58D7B30F" w14:textId="5F249D1D" w:rsidR="00BA4CDB" w:rsidRPr="00654753" w:rsidRDefault="00100BB9" w:rsidP="00483DE9">
      <w:pPr>
        <w:rPr>
          <w:rFonts w:eastAsia="Calibri"/>
          <w:szCs w:val="22"/>
        </w:rPr>
      </w:pPr>
      <w:r w:rsidRPr="006273BD">
        <w:rPr>
          <w:rFonts w:eastAsia="Calibri"/>
          <w:noProof/>
          <w:lang w:eastAsia="en-GB"/>
        </w:rPr>
        <w:lastRenderedPageBreak/>
        <mc:AlternateContent>
          <mc:Choice Requires="wps">
            <w:drawing>
              <wp:inline distT="0" distB="0" distL="0" distR="0" wp14:anchorId="1AAC53F4" wp14:editId="187790CC">
                <wp:extent cx="6112800" cy="5582093"/>
                <wp:effectExtent l="0" t="0" r="21590" b="19050"/>
                <wp:docPr id="52" name="Text Box 52"/>
                <wp:cNvGraphicFramePr/>
                <a:graphic xmlns:a="http://schemas.openxmlformats.org/drawingml/2006/main">
                  <a:graphicData uri="http://schemas.microsoft.com/office/word/2010/wordprocessingShape">
                    <wps:wsp>
                      <wps:cNvSpPr txBox="1"/>
                      <wps:spPr>
                        <a:xfrm>
                          <a:off x="0" y="0"/>
                          <a:ext cx="6112800" cy="5582093"/>
                        </a:xfrm>
                        <a:prstGeom prst="rect">
                          <a:avLst/>
                        </a:prstGeom>
                        <a:solidFill>
                          <a:srgbClr val="9BBB59">
                            <a:lumMod val="20000"/>
                            <a:lumOff val="80000"/>
                          </a:srgbClr>
                        </a:solidFill>
                        <a:ln w="6350">
                          <a:solidFill>
                            <a:prstClr val="black"/>
                          </a:solidFill>
                        </a:ln>
                        <a:effectLst/>
                      </wps:spPr>
                      <wps:txbx>
                        <w:txbxContent>
                          <w:p w14:paraId="0798F8C8" w14:textId="2A59B557" w:rsidR="005276A4" w:rsidRPr="003D494F" w:rsidRDefault="005276A4" w:rsidP="00100BB9">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.5:</w:t>
                            </w:r>
                            <w:r w:rsidRPr="003D494F">
                              <w:rPr>
                                <w:rFonts w:cs="Arial"/>
                                <w:bCs/>
                                <w:szCs w:val="20"/>
                              </w:rPr>
                              <w:t xml:space="preserve"> </w:t>
                            </w:r>
                            <w:r>
                              <w:rPr>
                                <w:rFonts w:cs="Arial"/>
                                <w:bCs/>
                                <w:szCs w:val="20"/>
                              </w:rPr>
                              <w:t>Market Compatibility for Trading – Market Principles for the Forward Physical</w:t>
                            </w:r>
                            <w:r w:rsidRPr="00DE37F7">
                              <w:rPr>
                                <w:rFonts w:cs="Arial"/>
                                <w:bCs/>
                                <w:szCs w:val="20"/>
                              </w:rPr>
                              <w:t xml:space="preserve"> Market</w:t>
                            </w:r>
                            <w:r>
                              <w:rPr>
                                <w:rFonts w:cs="Arial"/>
                                <w:bCs/>
                                <w:szCs w:val="20"/>
                              </w:rPr>
                              <w:t xml:space="preserve"> and the Day-Ahead Market </w:t>
                            </w:r>
                          </w:p>
                          <w:p w14:paraId="55B23A6C"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Both the Forward Physical Market and the Day-Ahead Market </w:t>
                            </w:r>
                            <w:r>
                              <w:rPr>
                                <w:rFonts w:ascii="Arial" w:hAnsi="Arial" w:cs="Arial"/>
                                <w:bCs/>
                                <w:sz w:val="20"/>
                                <w:szCs w:val="20"/>
                                <w:lang w:val="en-GB"/>
                              </w:rPr>
                              <w:t>will be</w:t>
                            </w:r>
                            <w:r w:rsidRPr="00100BB9">
                              <w:rPr>
                                <w:rFonts w:ascii="Arial" w:hAnsi="Arial" w:cs="Arial"/>
                                <w:bCs/>
                                <w:sz w:val="20"/>
                                <w:szCs w:val="20"/>
                                <w:lang w:val="en-GB"/>
                              </w:rPr>
                              <w:t xml:space="preserve"> based on an auction trading model, executing a single calculation, based on the collection of all orders and available transmission capacity, determining a balance price between </w:t>
                            </w:r>
                            <w:r>
                              <w:rPr>
                                <w:rFonts w:ascii="Arial" w:hAnsi="Arial" w:cs="Arial"/>
                                <w:bCs/>
                                <w:sz w:val="20"/>
                                <w:szCs w:val="20"/>
                                <w:lang w:val="en-GB"/>
                              </w:rPr>
                              <w:t>generation</w:t>
                            </w:r>
                            <w:r w:rsidRPr="00100BB9">
                              <w:rPr>
                                <w:rFonts w:ascii="Arial" w:hAnsi="Arial" w:cs="Arial"/>
                                <w:bCs/>
                                <w:sz w:val="20"/>
                                <w:szCs w:val="20"/>
                                <w:lang w:val="en-GB"/>
                              </w:rPr>
                              <w:t xml:space="preserve"> and consumption that is valid for all trades. </w:t>
                            </w:r>
                          </w:p>
                          <w:p w14:paraId="34034EC9"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auction model </w:t>
                            </w:r>
                            <w:r>
                              <w:rPr>
                                <w:rFonts w:ascii="Arial" w:hAnsi="Arial" w:cs="Arial"/>
                                <w:bCs/>
                                <w:sz w:val="20"/>
                                <w:szCs w:val="20"/>
                                <w:lang w:val="en-GB"/>
                              </w:rPr>
                              <w:t>will be</w:t>
                            </w:r>
                            <w:r w:rsidRPr="00100BB9">
                              <w:rPr>
                                <w:rFonts w:ascii="Arial" w:hAnsi="Arial" w:cs="Arial"/>
                                <w:bCs/>
                                <w:sz w:val="20"/>
                                <w:szCs w:val="20"/>
                                <w:lang w:val="en-GB"/>
                              </w:rPr>
                              <w:t xml:space="preserve"> executed every trading day for a physical delivery of the traded volume the next delivery period. </w:t>
                            </w:r>
                          </w:p>
                          <w:p w14:paraId="37FC71F7"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In the F</w:t>
                            </w:r>
                            <w:r>
                              <w:rPr>
                                <w:rFonts w:ascii="Arial" w:hAnsi="Arial" w:cs="Arial"/>
                                <w:bCs/>
                                <w:sz w:val="20"/>
                                <w:szCs w:val="20"/>
                                <w:lang w:val="en-GB"/>
                              </w:rPr>
                              <w:t xml:space="preserve">orward </w:t>
                            </w:r>
                            <w:r w:rsidRPr="00100BB9">
                              <w:rPr>
                                <w:rFonts w:ascii="Arial" w:hAnsi="Arial" w:cs="Arial"/>
                                <w:bCs/>
                                <w:sz w:val="20"/>
                                <w:szCs w:val="20"/>
                                <w:lang w:val="en-GB"/>
                              </w:rPr>
                              <w:t>P</w:t>
                            </w:r>
                            <w:r>
                              <w:rPr>
                                <w:rFonts w:ascii="Arial" w:hAnsi="Arial" w:cs="Arial"/>
                                <w:bCs/>
                                <w:sz w:val="20"/>
                                <w:szCs w:val="20"/>
                                <w:lang w:val="en-GB"/>
                              </w:rPr>
                              <w:t xml:space="preserve">hysical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the delivery period </w:t>
                            </w:r>
                            <w:r>
                              <w:rPr>
                                <w:rFonts w:ascii="Arial" w:hAnsi="Arial" w:cs="Arial"/>
                                <w:bCs/>
                                <w:sz w:val="20"/>
                                <w:szCs w:val="20"/>
                                <w:lang w:val="en-GB"/>
                              </w:rPr>
                              <w:t>will be</w:t>
                            </w:r>
                            <w:r w:rsidRPr="00100BB9">
                              <w:rPr>
                                <w:rFonts w:ascii="Arial" w:hAnsi="Arial" w:cs="Arial"/>
                                <w:bCs/>
                                <w:sz w:val="20"/>
                                <w:szCs w:val="20"/>
                                <w:lang w:val="en-GB"/>
                              </w:rPr>
                              <w:t xml:space="preserve"> </w:t>
                            </w:r>
                            <w:r>
                              <w:rPr>
                                <w:rFonts w:ascii="Arial" w:hAnsi="Arial" w:cs="Arial"/>
                                <w:bCs/>
                                <w:sz w:val="20"/>
                                <w:szCs w:val="20"/>
                                <w:lang w:val="en-GB"/>
                              </w:rPr>
                              <w:t xml:space="preserve">the next year, the next quarter, </w:t>
                            </w:r>
                            <w:r w:rsidRPr="00100BB9">
                              <w:rPr>
                                <w:rFonts w:ascii="Arial" w:hAnsi="Arial" w:cs="Arial"/>
                                <w:bCs/>
                                <w:sz w:val="20"/>
                                <w:szCs w:val="20"/>
                                <w:lang w:val="en-GB"/>
                              </w:rPr>
                              <w:t xml:space="preserve">the next month, or the next week, where the market result </w:t>
                            </w:r>
                            <w:r>
                              <w:rPr>
                                <w:rFonts w:ascii="Arial" w:hAnsi="Arial" w:cs="Arial"/>
                                <w:bCs/>
                                <w:sz w:val="20"/>
                                <w:szCs w:val="20"/>
                                <w:lang w:val="en-GB"/>
                              </w:rPr>
                              <w:t>will be</w:t>
                            </w:r>
                            <w:r w:rsidRPr="00100BB9">
                              <w:rPr>
                                <w:rFonts w:ascii="Arial" w:hAnsi="Arial" w:cs="Arial"/>
                                <w:bCs/>
                                <w:sz w:val="20"/>
                                <w:szCs w:val="20"/>
                                <w:lang w:val="en-GB"/>
                              </w:rPr>
                              <w:t xml:space="preserve"> calculated with one price and scheduled volume for all hours defined for the given F</w:t>
                            </w:r>
                            <w:r>
                              <w:rPr>
                                <w:rFonts w:ascii="Arial" w:hAnsi="Arial" w:cs="Arial"/>
                                <w:bCs/>
                                <w:sz w:val="20"/>
                                <w:szCs w:val="20"/>
                                <w:lang w:val="en-GB"/>
                              </w:rPr>
                              <w:t xml:space="preserve">orward </w:t>
                            </w:r>
                            <w:r w:rsidRPr="00100BB9">
                              <w:rPr>
                                <w:rFonts w:ascii="Arial" w:hAnsi="Arial" w:cs="Arial"/>
                                <w:bCs/>
                                <w:sz w:val="20"/>
                                <w:szCs w:val="20"/>
                                <w:lang w:val="en-GB"/>
                              </w:rPr>
                              <w:t>P</w:t>
                            </w:r>
                            <w:r>
                              <w:rPr>
                                <w:rFonts w:ascii="Arial" w:hAnsi="Arial" w:cs="Arial"/>
                                <w:bCs/>
                                <w:sz w:val="20"/>
                                <w:szCs w:val="20"/>
                                <w:lang w:val="en-GB"/>
                              </w:rPr>
                              <w:t xml:space="preserve">hysical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products</w:t>
                            </w:r>
                            <w:r>
                              <w:rPr>
                                <w:rFonts w:ascii="Arial" w:hAnsi="Arial" w:cs="Arial"/>
                                <w:bCs/>
                                <w:sz w:val="20"/>
                                <w:szCs w:val="20"/>
                                <w:lang w:val="en-GB"/>
                              </w:rPr>
                              <w:t xml:space="preserve">. </w:t>
                            </w:r>
                          </w:p>
                          <w:p w14:paraId="002BB63D" w14:textId="0393788A"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In the D</w:t>
                            </w:r>
                            <w:r>
                              <w:rPr>
                                <w:rFonts w:ascii="Arial" w:hAnsi="Arial" w:cs="Arial"/>
                                <w:bCs/>
                                <w:sz w:val="20"/>
                                <w:szCs w:val="20"/>
                                <w:lang w:val="en-GB"/>
                              </w:rPr>
                              <w:t>ay-</w:t>
                            </w:r>
                            <w:r w:rsidRPr="00100BB9">
                              <w:rPr>
                                <w:rFonts w:ascii="Arial" w:hAnsi="Arial" w:cs="Arial"/>
                                <w:bCs/>
                                <w:sz w:val="20"/>
                                <w:szCs w:val="20"/>
                                <w:lang w:val="en-GB"/>
                              </w:rPr>
                              <w:t>A</w:t>
                            </w:r>
                            <w:r>
                              <w:rPr>
                                <w:rFonts w:ascii="Arial" w:hAnsi="Arial" w:cs="Arial"/>
                                <w:bCs/>
                                <w:sz w:val="20"/>
                                <w:szCs w:val="20"/>
                                <w:lang w:val="en-GB"/>
                              </w:rPr>
                              <w:t xml:space="preserve">head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a price and a volume </w:t>
                            </w:r>
                            <w:r>
                              <w:rPr>
                                <w:rFonts w:ascii="Arial" w:hAnsi="Arial" w:cs="Arial"/>
                                <w:bCs/>
                                <w:sz w:val="20"/>
                                <w:szCs w:val="20"/>
                                <w:lang w:val="en-GB"/>
                              </w:rPr>
                              <w:t>will be</w:t>
                            </w:r>
                            <w:r w:rsidRPr="00100BB9">
                              <w:rPr>
                                <w:rFonts w:ascii="Arial" w:hAnsi="Arial" w:cs="Arial"/>
                                <w:bCs/>
                                <w:sz w:val="20"/>
                                <w:szCs w:val="20"/>
                                <w:lang w:val="en-GB"/>
                              </w:rPr>
                              <w:t xml:space="preserve"> calculated for each hour in the next delivery period.</w:t>
                            </w:r>
                            <w:r>
                              <w:rPr>
                                <w:rFonts w:ascii="Arial" w:hAnsi="Arial" w:cs="Arial"/>
                                <w:bCs/>
                                <w:sz w:val="20"/>
                                <w:szCs w:val="20"/>
                                <w:lang w:val="en-GB"/>
                              </w:rPr>
                              <w:t xml:space="preserve"> </w:t>
                            </w:r>
                          </w:p>
                          <w:p w14:paraId="2FB1D8A1"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principle of the auction </w:t>
                            </w:r>
                            <w:r>
                              <w:rPr>
                                <w:rFonts w:ascii="Arial" w:hAnsi="Arial" w:cs="Arial"/>
                                <w:bCs/>
                                <w:sz w:val="20"/>
                                <w:szCs w:val="20"/>
                                <w:lang w:val="en-GB"/>
                              </w:rPr>
                              <w:t xml:space="preserve">trading </w:t>
                            </w:r>
                            <w:r w:rsidRPr="00100BB9">
                              <w:rPr>
                                <w:rFonts w:ascii="Arial" w:hAnsi="Arial" w:cs="Arial"/>
                                <w:bCs/>
                                <w:sz w:val="20"/>
                                <w:szCs w:val="20"/>
                                <w:lang w:val="en-GB"/>
                              </w:rPr>
                              <w:t xml:space="preserve">model </w:t>
                            </w:r>
                            <w:r>
                              <w:rPr>
                                <w:rFonts w:ascii="Arial" w:hAnsi="Arial" w:cs="Arial"/>
                                <w:bCs/>
                                <w:sz w:val="20"/>
                                <w:szCs w:val="20"/>
                                <w:lang w:val="en-GB"/>
                              </w:rPr>
                              <w:t>will be</w:t>
                            </w:r>
                            <w:r w:rsidRPr="00100BB9">
                              <w:rPr>
                                <w:rFonts w:ascii="Arial" w:hAnsi="Arial" w:cs="Arial"/>
                                <w:bCs/>
                                <w:sz w:val="20"/>
                                <w:szCs w:val="20"/>
                                <w:lang w:val="en-GB"/>
                              </w:rPr>
                              <w:t xml:space="preserve"> that all </w:t>
                            </w:r>
                            <w:r>
                              <w:rPr>
                                <w:rFonts w:ascii="Arial" w:hAnsi="Arial" w:cs="Arial"/>
                                <w:bCs/>
                                <w:sz w:val="20"/>
                                <w:szCs w:val="20"/>
                                <w:lang w:val="en-GB"/>
                              </w:rPr>
                              <w:t xml:space="preserve">the market </w:t>
                            </w:r>
                            <w:r w:rsidRPr="00100BB9">
                              <w:rPr>
                                <w:rFonts w:ascii="Arial" w:hAnsi="Arial" w:cs="Arial"/>
                                <w:bCs/>
                                <w:sz w:val="20"/>
                                <w:szCs w:val="20"/>
                                <w:lang w:val="en-GB"/>
                              </w:rPr>
                              <w:t xml:space="preserve">participants trade on equal terms and that they have a physical grid point for delivery of </w:t>
                            </w:r>
                            <w:r>
                              <w:rPr>
                                <w:rFonts w:ascii="Arial" w:hAnsi="Arial" w:cs="Arial"/>
                                <w:bCs/>
                                <w:sz w:val="20"/>
                                <w:szCs w:val="20"/>
                                <w:lang w:val="en-GB"/>
                              </w:rPr>
                              <w:t>generation</w:t>
                            </w:r>
                            <w:r w:rsidRPr="00100BB9">
                              <w:rPr>
                                <w:rFonts w:ascii="Arial" w:hAnsi="Arial" w:cs="Arial"/>
                                <w:bCs/>
                                <w:sz w:val="20"/>
                                <w:szCs w:val="20"/>
                                <w:lang w:val="en-GB"/>
                              </w:rPr>
                              <w:t xml:space="preserve"> or withdrawal of consumption, in a given market area. This requires an agreement with the national </w:t>
                            </w:r>
                            <w:r>
                              <w:rPr>
                                <w:rFonts w:ascii="Arial" w:hAnsi="Arial" w:cs="Arial"/>
                                <w:bCs/>
                                <w:sz w:val="20"/>
                                <w:szCs w:val="20"/>
                                <w:lang w:val="en-GB"/>
                              </w:rPr>
                              <w:t>TSO</w:t>
                            </w:r>
                            <w:r w:rsidRPr="00100BB9">
                              <w:rPr>
                                <w:rFonts w:ascii="Arial" w:hAnsi="Arial" w:cs="Arial"/>
                                <w:bCs/>
                                <w:sz w:val="20"/>
                                <w:szCs w:val="20"/>
                                <w:lang w:val="en-GB"/>
                              </w:rPr>
                              <w:t xml:space="preserve"> and a Balance Responsible </w:t>
                            </w:r>
                            <w:r>
                              <w:rPr>
                                <w:rFonts w:ascii="Arial" w:hAnsi="Arial" w:cs="Arial"/>
                                <w:bCs/>
                                <w:sz w:val="20"/>
                                <w:szCs w:val="20"/>
                                <w:lang w:val="en-GB"/>
                              </w:rPr>
                              <w:t>P</w:t>
                            </w:r>
                            <w:r w:rsidRPr="00100BB9">
                              <w:rPr>
                                <w:rFonts w:ascii="Arial" w:hAnsi="Arial" w:cs="Arial"/>
                                <w:bCs/>
                                <w:sz w:val="20"/>
                                <w:szCs w:val="20"/>
                                <w:lang w:val="en-GB"/>
                              </w:rPr>
                              <w:t xml:space="preserve">arty, responsible for the </w:t>
                            </w:r>
                            <w:r>
                              <w:rPr>
                                <w:rFonts w:ascii="Arial" w:hAnsi="Arial" w:cs="Arial"/>
                                <w:bCs/>
                                <w:sz w:val="20"/>
                                <w:szCs w:val="20"/>
                                <w:lang w:val="en-GB"/>
                              </w:rPr>
                              <w:t xml:space="preserve">market </w:t>
                            </w:r>
                            <w:r w:rsidRPr="00100BB9">
                              <w:rPr>
                                <w:rFonts w:ascii="Arial" w:hAnsi="Arial" w:cs="Arial"/>
                                <w:bCs/>
                                <w:sz w:val="20"/>
                                <w:szCs w:val="20"/>
                                <w:lang w:val="en-GB"/>
                              </w:rPr>
                              <w:t xml:space="preserve">participants portfolio balance in the physical grid point (area). </w:t>
                            </w:r>
                          </w:p>
                          <w:p w14:paraId="4B83EFCB" w14:textId="02A3AE8F"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auction trading model </w:t>
                            </w:r>
                            <w:r>
                              <w:rPr>
                                <w:rFonts w:ascii="Arial" w:hAnsi="Arial" w:cs="Arial"/>
                                <w:bCs/>
                                <w:sz w:val="20"/>
                                <w:szCs w:val="20"/>
                                <w:lang w:val="en-GB"/>
                              </w:rPr>
                              <w:t xml:space="preserve">will </w:t>
                            </w:r>
                            <w:r w:rsidRPr="00100BB9">
                              <w:rPr>
                                <w:rFonts w:ascii="Arial" w:hAnsi="Arial" w:cs="Arial"/>
                                <w:bCs/>
                                <w:sz w:val="20"/>
                                <w:szCs w:val="20"/>
                                <w:lang w:val="en-GB"/>
                              </w:rPr>
                              <w:t xml:space="preserve">use the available transmission capacity on the </w:t>
                            </w:r>
                            <w:r>
                              <w:rPr>
                                <w:rFonts w:ascii="Arial" w:hAnsi="Arial" w:cs="Arial"/>
                                <w:bCs/>
                                <w:sz w:val="20"/>
                                <w:szCs w:val="20"/>
                                <w:lang w:val="en-GB"/>
                              </w:rPr>
                              <w:t xml:space="preserve">area </w:t>
                            </w:r>
                            <w:r w:rsidRPr="00100BB9">
                              <w:rPr>
                                <w:rFonts w:ascii="Arial" w:hAnsi="Arial" w:cs="Arial"/>
                                <w:bCs/>
                                <w:sz w:val="20"/>
                                <w:szCs w:val="20"/>
                                <w:lang w:val="en-GB"/>
                              </w:rPr>
                              <w:t xml:space="preserve">interconnections given by the </w:t>
                            </w:r>
                            <w:r>
                              <w:rPr>
                                <w:rFonts w:ascii="Arial" w:hAnsi="Arial" w:cs="Arial"/>
                                <w:bCs/>
                                <w:sz w:val="20"/>
                                <w:szCs w:val="20"/>
                                <w:lang w:val="en-GB"/>
                              </w:rPr>
                              <w:t xml:space="preserve">national </w:t>
                            </w:r>
                            <w:r w:rsidRPr="00100BB9">
                              <w:rPr>
                                <w:rFonts w:ascii="Arial" w:hAnsi="Arial" w:cs="Arial"/>
                                <w:bCs/>
                                <w:sz w:val="20"/>
                                <w:szCs w:val="20"/>
                                <w:lang w:val="en-GB"/>
                              </w:rPr>
                              <w:t xml:space="preserve">TSO, to run an implicit auction. This calculation </w:t>
                            </w:r>
                            <w:r>
                              <w:rPr>
                                <w:rFonts w:ascii="Arial" w:hAnsi="Arial" w:cs="Arial"/>
                                <w:bCs/>
                                <w:sz w:val="20"/>
                                <w:szCs w:val="20"/>
                                <w:lang w:val="en-GB"/>
                              </w:rPr>
                              <w:t xml:space="preserve">will </w:t>
                            </w:r>
                            <w:r w:rsidRPr="00100BB9">
                              <w:rPr>
                                <w:rFonts w:ascii="Arial" w:hAnsi="Arial" w:cs="Arial"/>
                                <w:bCs/>
                                <w:sz w:val="20"/>
                                <w:szCs w:val="20"/>
                                <w:lang w:val="en-GB"/>
                              </w:rPr>
                              <w:t xml:space="preserve">determine both a system price and an area price, if any congestion in the area model is detected. The system price </w:t>
                            </w:r>
                            <w:r>
                              <w:rPr>
                                <w:rFonts w:ascii="Arial" w:hAnsi="Arial" w:cs="Arial"/>
                                <w:bCs/>
                                <w:sz w:val="20"/>
                                <w:szCs w:val="20"/>
                                <w:lang w:val="en-GB"/>
                              </w:rPr>
                              <w:t>will be</w:t>
                            </w:r>
                            <w:r w:rsidRPr="00100BB9">
                              <w:rPr>
                                <w:rFonts w:ascii="Arial" w:hAnsi="Arial" w:cs="Arial"/>
                                <w:bCs/>
                                <w:sz w:val="20"/>
                                <w:szCs w:val="20"/>
                                <w:lang w:val="en-GB"/>
                              </w:rPr>
                              <w:t xml:space="preserve"> calculated assuming no grid congestion, and </w:t>
                            </w:r>
                            <w:r>
                              <w:rPr>
                                <w:rFonts w:ascii="Arial" w:hAnsi="Arial" w:cs="Arial"/>
                                <w:bCs/>
                                <w:sz w:val="20"/>
                                <w:szCs w:val="20"/>
                                <w:lang w:val="en-GB"/>
                              </w:rPr>
                              <w:t>will be</w:t>
                            </w:r>
                            <w:r w:rsidRPr="00100BB9">
                              <w:rPr>
                                <w:rFonts w:ascii="Arial" w:hAnsi="Arial" w:cs="Arial"/>
                                <w:bCs/>
                                <w:sz w:val="20"/>
                                <w:szCs w:val="20"/>
                                <w:lang w:val="en-GB"/>
                              </w:rPr>
                              <w:t xml:space="preserve"> the unconstrained price. If the contractual flow of power between the pre-defined areas exceeds the transmission capacity available for market trade, </w:t>
                            </w:r>
                            <w:r>
                              <w:rPr>
                                <w:rFonts w:ascii="Arial" w:hAnsi="Arial" w:cs="Arial"/>
                                <w:bCs/>
                                <w:sz w:val="20"/>
                                <w:szCs w:val="20"/>
                                <w:lang w:val="en-GB"/>
                              </w:rPr>
                              <w:t xml:space="preserve">then </w:t>
                            </w:r>
                            <w:r w:rsidRPr="00100BB9">
                              <w:rPr>
                                <w:rFonts w:ascii="Arial" w:hAnsi="Arial" w:cs="Arial"/>
                                <w:bCs/>
                                <w:sz w:val="20"/>
                                <w:szCs w:val="20"/>
                                <w:lang w:val="en-GB"/>
                              </w:rPr>
                              <w:t xml:space="preserve">grid congestion occurs and separate price areas </w:t>
                            </w:r>
                            <w:r>
                              <w:rPr>
                                <w:rFonts w:ascii="Arial" w:hAnsi="Arial" w:cs="Arial"/>
                                <w:bCs/>
                                <w:sz w:val="20"/>
                                <w:szCs w:val="20"/>
                                <w:lang w:val="en-GB"/>
                              </w:rPr>
                              <w:t>will be</w:t>
                            </w:r>
                            <w:r w:rsidRPr="00100BB9">
                              <w:rPr>
                                <w:rFonts w:ascii="Arial" w:hAnsi="Arial" w:cs="Arial"/>
                                <w:bCs/>
                                <w:sz w:val="20"/>
                                <w:szCs w:val="20"/>
                                <w:lang w:val="en-GB"/>
                              </w:rPr>
                              <w:t xml:space="preserve"> created (“market splitting”).</w:t>
                            </w:r>
                            <w:r>
                              <w:rPr>
                                <w:rFonts w:ascii="Arial" w:hAnsi="Arial" w:cs="Arial"/>
                                <w:bCs/>
                                <w:sz w:val="20"/>
                                <w:szCs w:val="20"/>
                                <w:lang w:val="en-GB"/>
                              </w:rPr>
                              <w:t xml:space="preserve"> </w:t>
                            </w:r>
                          </w:p>
                          <w:p w14:paraId="5C6C6044" w14:textId="3FFB346B"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auction </w:t>
                            </w:r>
                            <w:r>
                              <w:rPr>
                                <w:rFonts w:ascii="Arial" w:hAnsi="Arial" w:cs="Arial"/>
                                <w:bCs/>
                                <w:sz w:val="20"/>
                                <w:szCs w:val="20"/>
                                <w:lang w:val="en-GB"/>
                              </w:rPr>
                              <w:t xml:space="preserve">trading </w:t>
                            </w:r>
                            <w:r w:rsidRPr="00100BB9">
                              <w:rPr>
                                <w:rFonts w:ascii="Arial" w:hAnsi="Arial" w:cs="Arial"/>
                                <w:bCs/>
                                <w:sz w:val="20"/>
                                <w:szCs w:val="20"/>
                                <w:lang w:val="en-GB"/>
                              </w:rPr>
                              <w:t xml:space="preserve">model </w:t>
                            </w:r>
                            <w:r>
                              <w:rPr>
                                <w:rFonts w:ascii="Arial" w:hAnsi="Arial" w:cs="Arial"/>
                                <w:bCs/>
                                <w:sz w:val="20"/>
                                <w:szCs w:val="20"/>
                                <w:lang w:val="en-GB"/>
                              </w:rPr>
                              <w:t>will be</w:t>
                            </w:r>
                            <w:r w:rsidRPr="00100BB9">
                              <w:rPr>
                                <w:rFonts w:ascii="Arial" w:hAnsi="Arial" w:cs="Arial"/>
                                <w:bCs/>
                                <w:sz w:val="20"/>
                                <w:szCs w:val="20"/>
                                <w:lang w:val="en-GB"/>
                              </w:rPr>
                              <w:t xml:space="preserve"> a fully transparent trading methodology where </w:t>
                            </w:r>
                            <w:r>
                              <w:rPr>
                                <w:rFonts w:ascii="Arial" w:hAnsi="Arial" w:cs="Arial"/>
                                <w:bCs/>
                                <w:sz w:val="20"/>
                                <w:szCs w:val="20"/>
                                <w:lang w:val="en-GB"/>
                              </w:rPr>
                              <w:t xml:space="preserve">market </w:t>
                            </w:r>
                            <w:r w:rsidRPr="00100BB9">
                              <w:rPr>
                                <w:rFonts w:ascii="Arial" w:hAnsi="Arial" w:cs="Arial"/>
                                <w:bCs/>
                                <w:sz w:val="20"/>
                                <w:szCs w:val="20"/>
                                <w:lang w:val="en-GB"/>
                              </w:rPr>
                              <w:t xml:space="preserve">participants </w:t>
                            </w:r>
                            <w:r>
                              <w:rPr>
                                <w:rFonts w:ascii="Arial" w:hAnsi="Arial" w:cs="Arial"/>
                                <w:bCs/>
                                <w:sz w:val="20"/>
                                <w:szCs w:val="20"/>
                                <w:lang w:val="en-GB"/>
                              </w:rPr>
                              <w:t xml:space="preserve">will </w:t>
                            </w:r>
                            <w:r w:rsidRPr="00100BB9">
                              <w:rPr>
                                <w:rFonts w:ascii="Arial" w:hAnsi="Arial" w:cs="Arial"/>
                                <w:bCs/>
                                <w:sz w:val="20"/>
                                <w:szCs w:val="20"/>
                                <w:lang w:val="en-GB"/>
                              </w:rPr>
                              <w:t xml:space="preserve">submit orders that are seen only by the Power Exchange and the submitting </w:t>
                            </w:r>
                            <w:r>
                              <w:rPr>
                                <w:rFonts w:ascii="Arial" w:hAnsi="Arial" w:cs="Arial"/>
                                <w:bCs/>
                                <w:sz w:val="20"/>
                                <w:szCs w:val="20"/>
                                <w:lang w:val="en-GB"/>
                              </w:rPr>
                              <w:t xml:space="preserve">market </w:t>
                            </w:r>
                            <w:r w:rsidRPr="00100BB9">
                              <w:rPr>
                                <w:rFonts w:ascii="Arial" w:hAnsi="Arial" w:cs="Arial"/>
                                <w:bCs/>
                                <w:sz w:val="20"/>
                                <w:szCs w:val="20"/>
                                <w:lang w:val="en-GB"/>
                              </w:rPr>
                              <w:t>participant.</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AC53F4" id="Text Box 52" o:spid="_x0000_s1044" type="#_x0000_t202" style="width:481.3pt;height:4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" fillcolor="#ebf1de" strokeweight=".5pt">
                <v:textbox>
                  <w:txbxContent>
                    <w:p w14:paraId="0798F8C8" w14:textId="2A59B557" w:rsidR="005276A4" w:rsidRPr="003D494F" w:rsidRDefault="005276A4" w:rsidP="00100BB9">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.5:</w:t>
                      </w:r>
                      <w:r w:rsidRPr="003D494F">
                        <w:rPr>
                          <w:rFonts w:cs="Arial"/>
                          <w:bCs/>
                          <w:szCs w:val="20"/>
                        </w:rPr>
                        <w:t xml:space="preserve"> </w:t>
                      </w:r>
                      <w:r>
                        <w:rPr>
                          <w:rFonts w:cs="Arial"/>
                          <w:bCs/>
                          <w:szCs w:val="20"/>
                        </w:rPr>
                        <w:t>Market Compatibility for Trading – Market Principles for the Forward Physical</w:t>
                      </w:r>
                      <w:r w:rsidRPr="00DE37F7">
                        <w:rPr>
                          <w:rFonts w:cs="Arial"/>
                          <w:bCs/>
                          <w:szCs w:val="20"/>
                        </w:rPr>
                        <w:t xml:space="preserve"> Market</w:t>
                      </w:r>
                      <w:r>
                        <w:rPr>
                          <w:rFonts w:cs="Arial"/>
                          <w:bCs/>
                          <w:szCs w:val="20"/>
                        </w:rPr>
                        <w:t xml:space="preserve"> and the Day-Ahead Market </w:t>
                      </w:r>
                    </w:p>
                    <w:p w14:paraId="55B23A6C"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Both the Forward Physical Market and the Day-Ahead Market </w:t>
                      </w:r>
                      <w:r>
                        <w:rPr>
                          <w:rFonts w:ascii="Arial" w:hAnsi="Arial" w:cs="Arial"/>
                          <w:bCs/>
                          <w:sz w:val="20"/>
                          <w:szCs w:val="20"/>
                          <w:lang w:val="en-GB"/>
                        </w:rPr>
                        <w:t>will be</w:t>
                      </w:r>
                      <w:r w:rsidRPr="00100BB9">
                        <w:rPr>
                          <w:rFonts w:ascii="Arial" w:hAnsi="Arial" w:cs="Arial"/>
                          <w:bCs/>
                          <w:sz w:val="20"/>
                          <w:szCs w:val="20"/>
                          <w:lang w:val="en-GB"/>
                        </w:rPr>
                        <w:t xml:space="preserve"> based on an auction trading model, executing a single calculation, based on the collection of all orders and available transmission capacity, determining a balance price between </w:t>
                      </w:r>
                      <w:r>
                        <w:rPr>
                          <w:rFonts w:ascii="Arial" w:hAnsi="Arial" w:cs="Arial"/>
                          <w:bCs/>
                          <w:sz w:val="20"/>
                          <w:szCs w:val="20"/>
                          <w:lang w:val="en-GB"/>
                        </w:rPr>
                        <w:t>generation</w:t>
                      </w:r>
                      <w:r w:rsidRPr="00100BB9">
                        <w:rPr>
                          <w:rFonts w:ascii="Arial" w:hAnsi="Arial" w:cs="Arial"/>
                          <w:bCs/>
                          <w:sz w:val="20"/>
                          <w:szCs w:val="20"/>
                          <w:lang w:val="en-GB"/>
                        </w:rPr>
                        <w:t xml:space="preserve"> and consumption that is valid for all trades. </w:t>
                      </w:r>
                    </w:p>
                    <w:p w14:paraId="34034EC9"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auction model </w:t>
                      </w:r>
                      <w:r>
                        <w:rPr>
                          <w:rFonts w:ascii="Arial" w:hAnsi="Arial" w:cs="Arial"/>
                          <w:bCs/>
                          <w:sz w:val="20"/>
                          <w:szCs w:val="20"/>
                          <w:lang w:val="en-GB"/>
                        </w:rPr>
                        <w:t>will be</w:t>
                      </w:r>
                      <w:r w:rsidRPr="00100BB9">
                        <w:rPr>
                          <w:rFonts w:ascii="Arial" w:hAnsi="Arial" w:cs="Arial"/>
                          <w:bCs/>
                          <w:sz w:val="20"/>
                          <w:szCs w:val="20"/>
                          <w:lang w:val="en-GB"/>
                        </w:rPr>
                        <w:t xml:space="preserve"> executed every trading day for a physical delivery of the traded volume the next delivery period. </w:t>
                      </w:r>
                    </w:p>
                    <w:p w14:paraId="37FC71F7"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In the F</w:t>
                      </w:r>
                      <w:r>
                        <w:rPr>
                          <w:rFonts w:ascii="Arial" w:hAnsi="Arial" w:cs="Arial"/>
                          <w:bCs/>
                          <w:sz w:val="20"/>
                          <w:szCs w:val="20"/>
                          <w:lang w:val="en-GB"/>
                        </w:rPr>
                        <w:t xml:space="preserve">orward </w:t>
                      </w:r>
                      <w:r w:rsidRPr="00100BB9">
                        <w:rPr>
                          <w:rFonts w:ascii="Arial" w:hAnsi="Arial" w:cs="Arial"/>
                          <w:bCs/>
                          <w:sz w:val="20"/>
                          <w:szCs w:val="20"/>
                          <w:lang w:val="en-GB"/>
                        </w:rPr>
                        <w:t>P</w:t>
                      </w:r>
                      <w:r>
                        <w:rPr>
                          <w:rFonts w:ascii="Arial" w:hAnsi="Arial" w:cs="Arial"/>
                          <w:bCs/>
                          <w:sz w:val="20"/>
                          <w:szCs w:val="20"/>
                          <w:lang w:val="en-GB"/>
                        </w:rPr>
                        <w:t xml:space="preserve">hysical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the delivery period </w:t>
                      </w:r>
                      <w:r>
                        <w:rPr>
                          <w:rFonts w:ascii="Arial" w:hAnsi="Arial" w:cs="Arial"/>
                          <w:bCs/>
                          <w:sz w:val="20"/>
                          <w:szCs w:val="20"/>
                          <w:lang w:val="en-GB"/>
                        </w:rPr>
                        <w:t>will be</w:t>
                      </w:r>
                      <w:r w:rsidRPr="00100BB9">
                        <w:rPr>
                          <w:rFonts w:ascii="Arial" w:hAnsi="Arial" w:cs="Arial"/>
                          <w:bCs/>
                          <w:sz w:val="20"/>
                          <w:szCs w:val="20"/>
                          <w:lang w:val="en-GB"/>
                        </w:rPr>
                        <w:t xml:space="preserve"> </w:t>
                      </w:r>
                      <w:r>
                        <w:rPr>
                          <w:rFonts w:ascii="Arial" w:hAnsi="Arial" w:cs="Arial"/>
                          <w:bCs/>
                          <w:sz w:val="20"/>
                          <w:szCs w:val="20"/>
                          <w:lang w:val="en-GB"/>
                        </w:rPr>
                        <w:t xml:space="preserve">the next year, the next quarter, </w:t>
                      </w:r>
                      <w:r w:rsidRPr="00100BB9">
                        <w:rPr>
                          <w:rFonts w:ascii="Arial" w:hAnsi="Arial" w:cs="Arial"/>
                          <w:bCs/>
                          <w:sz w:val="20"/>
                          <w:szCs w:val="20"/>
                          <w:lang w:val="en-GB"/>
                        </w:rPr>
                        <w:t xml:space="preserve">the next month, or the next week, where the market result </w:t>
                      </w:r>
                      <w:r>
                        <w:rPr>
                          <w:rFonts w:ascii="Arial" w:hAnsi="Arial" w:cs="Arial"/>
                          <w:bCs/>
                          <w:sz w:val="20"/>
                          <w:szCs w:val="20"/>
                          <w:lang w:val="en-GB"/>
                        </w:rPr>
                        <w:t>will be</w:t>
                      </w:r>
                      <w:r w:rsidRPr="00100BB9">
                        <w:rPr>
                          <w:rFonts w:ascii="Arial" w:hAnsi="Arial" w:cs="Arial"/>
                          <w:bCs/>
                          <w:sz w:val="20"/>
                          <w:szCs w:val="20"/>
                          <w:lang w:val="en-GB"/>
                        </w:rPr>
                        <w:t xml:space="preserve"> calculated with one price and scheduled volume for all hours defined for the given F</w:t>
                      </w:r>
                      <w:r>
                        <w:rPr>
                          <w:rFonts w:ascii="Arial" w:hAnsi="Arial" w:cs="Arial"/>
                          <w:bCs/>
                          <w:sz w:val="20"/>
                          <w:szCs w:val="20"/>
                          <w:lang w:val="en-GB"/>
                        </w:rPr>
                        <w:t xml:space="preserve">orward </w:t>
                      </w:r>
                      <w:r w:rsidRPr="00100BB9">
                        <w:rPr>
                          <w:rFonts w:ascii="Arial" w:hAnsi="Arial" w:cs="Arial"/>
                          <w:bCs/>
                          <w:sz w:val="20"/>
                          <w:szCs w:val="20"/>
                          <w:lang w:val="en-GB"/>
                        </w:rPr>
                        <w:t>P</w:t>
                      </w:r>
                      <w:r>
                        <w:rPr>
                          <w:rFonts w:ascii="Arial" w:hAnsi="Arial" w:cs="Arial"/>
                          <w:bCs/>
                          <w:sz w:val="20"/>
                          <w:szCs w:val="20"/>
                          <w:lang w:val="en-GB"/>
                        </w:rPr>
                        <w:t xml:space="preserve">hysical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products</w:t>
                      </w:r>
                      <w:r>
                        <w:rPr>
                          <w:rFonts w:ascii="Arial" w:hAnsi="Arial" w:cs="Arial"/>
                          <w:bCs/>
                          <w:sz w:val="20"/>
                          <w:szCs w:val="20"/>
                          <w:lang w:val="en-GB"/>
                        </w:rPr>
                        <w:t xml:space="preserve">. </w:t>
                      </w:r>
                    </w:p>
                    <w:p w14:paraId="002BB63D" w14:textId="0393788A"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In the D</w:t>
                      </w:r>
                      <w:r>
                        <w:rPr>
                          <w:rFonts w:ascii="Arial" w:hAnsi="Arial" w:cs="Arial"/>
                          <w:bCs/>
                          <w:sz w:val="20"/>
                          <w:szCs w:val="20"/>
                          <w:lang w:val="en-GB"/>
                        </w:rPr>
                        <w:t>ay-</w:t>
                      </w:r>
                      <w:r w:rsidRPr="00100BB9">
                        <w:rPr>
                          <w:rFonts w:ascii="Arial" w:hAnsi="Arial" w:cs="Arial"/>
                          <w:bCs/>
                          <w:sz w:val="20"/>
                          <w:szCs w:val="20"/>
                          <w:lang w:val="en-GB"/>
                        </w:rPr>
                        <w:t>A</w:t>
                      </w:r>
                      <w:r>
                        <w:rPr>
                          <w:rFonts w:ascii="Arial" w:hAnsi="Arial" w:cs="Arial"/>
                          <w:bCs/>
                          <w:sz w:val="20"/>
                          <w:szCs w:val="20"/>
                          <w:lang w:val="en-GB"/>
                        </w:rPr>
                        <w:t xml:space="preserve">head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a price and a volume </w:t>
                      </w:r>
                      <w:r>
                        <w:rPr>
                          <w:rFonts w:ascii="Arial" w:hAnsi="Arial" w:cs="Arial"/>
                          <w:bCs/>
                          <w:sz w:val="20"/>
                          <w:szCs w:val="20"/>
                          <w:lang w:val="en-GB"/>
                        </w:rPr>
                        <w:t>will be</w:t>
                      </w:r>
                      <w:r w:rsidRPr="00100BB9">
                        <w:rPr>
                          <w:rFonts w:ascii="Arial" w:hAnsi="Arial" w:cs="Arial"/>
                          <w:bCs/>
                          <w:sz w:val="20"/>
                          <w:szCs w:val="20"/>
                          <w:lang w:val="en-GB"/>
                        </w:rPr>
                        <w:t xml:space="preserve"> calculated for each hour in the next delivery period.</w:t>
                      </w:r>
                      <w:r>
                        <w:rPr>
                          <w:rFonts w:ascii="Arial" w:hAnsi="Arial" w:cs="Arial"/>
                          <w:bCs/>
                          <w:sz w:val="20"/>
                          <w:szCs w:val="20"/>
                          <w:lang w:val="en-GB"/>
                        </w:rPr>
                        <w:t xml:space="preserve"> </w:t>
                      </w:r>
                    </w:p>
                    <w:p w14:paraId="2FB1D8A1"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principle of the auction </w:t>
                      </w:r>
                      <w:r>
                        <w:rPr>
                          <w:rFonts w:ascii="Arial" w:hAnsi="Arial" w:cs="Arial"/>
                          <w:bCs/>
                          <w:sz w:val="20"/>
                          <w:szCs w:val="20"/>
                          <w:lang w:val="en-GB"/>
                        </w:rPr>
                        <w:t xml:space="preserve">trading </w:t>
                      </w:r>
                      <w:r w:rsidRPr="00100BB9">
                        <w:rPr>
                          <w:rFonts w:ascii="Arial" w:hAnsi="Arial" w:cs="Arial"/>
                          <w:bCs/>
                          <w:sz w:val="20"/>
                          <w:szCs w:val="20"/>
                          <w:lang w:val="en-GB"/>
                        </w:rPr>
                        <w:t xml:space="preserve">model </w:t>
                      </w:r>
                      <w:r>
                        <w:rPr>
                          <w:rFonts w:ascii="Arial" w:hAnsi="Arial" w:cs="Arial"/>
                          <w:bCs/>
                          <w:sz w:val="20"/>
                          <w:szCs w:val="20"/>
                          <w:lang w:val="en-GB"/>
                        </w:rPr>
                        <w:t>will be</w:t>
                      </w:r>
                      <w:r w:rsidRPr="00100BB9">
                        <w:rPr>
                          <w:rFonts w:ascii="Arial" w:hAnsi="Arial" w:cs="Arial"/>
                          <w:bCs/>
                          <w:sz w:val="20"/>
                          <w:szCs w:val="20"/>
                          <w:lang w:val="en-GB"/>
                        </w:rPr>
                        <w:t xml:space="preserve"> that all </w:t>
                      </w:r>
                      <w:r>
                        <w:rPr>
                          <w:rFonts w:ascii="Arial" w:hAnsi="Arial" w:cs="Arial"/>
                          <w:bCs/>
                          <w:sz w:val="20"/>
                          <w:szCs w:val="20"/>
                          <w:lang w:val="en-GB"/>
                        </w:rPr>
                        <w:t xml:space="preserve">the market </w:t>
                      </w:r>
                      <w:r w:rsidRPr="00100BB9">
                        <w:rPr>
                          <w:rFonts w:ascii="Arial" w:hAnsi="Arial" w:cs="Arial"/>
                          <w:bCs/>
                          <w:sz w:val="20"/>
                          <w:szCs w:val="20"/>
                          <w:lang w:val="en-GB"/>
                        </w:rPr>
                        <w:t xml:space="preserve">participants trade on equal terms and that they have a physical grid point for delivery of </w:t>
                      </w:r>
                      <w:r>
                        <w:rPr>
                          <w:rFonts w:ascii="Arial" w:hAnsi="Arial" w:cs="Arial"/>
                          <w:bCs/>
                          <w:sz w:val="20"/>
                          <w:szCs w:val="20"/>
                          <w:lang w:val="en-GB"/>
                        </w:rPr>
                        <w:t>generation</w:t>
                      </w:r>
                      <w:r w:rsidRPr="00100BB9">
                        <w:rPr>
                          <w:rFonts w:ascii="Arial" w:hAnsi="Arial" w:cs="Arial"/>
                          <w:bCs/>
                          <w:sz w:val="20"/>
                          <w:szCs w:val="20"/>
                          <w:lang w:val="en-GB"/>
                        </w:rPr>
                        <w:t xml:space="preserve"> or withdrawal of consumption, in a given market area. This requires an agreement with the national </w:t>
                      </w:r>
                      <w:r>
                        <w:rPr>
                          <w:rFonts w:ascii="Arial" w:hAnsi="Arial" w:cs="Arial"/>
                          <w:bCs/>
                          <w:sz w:val="20"/>
                          <w:szCs w:val="20"/>
                          <w:lang w:val="en-GB"/>
                        </w:rPr>
                        <w:t>TSO</w:t>
                      </w:r>
                      <w:r w:rsidRPr="00100BB9">
                        <w:rPr>
                          <w:rFonts w:ascii="Arial" w:hAnsi="Arial" w:cs="Arial"/>
                          <w:bCs/>
                          <w:sz w:val="20"/>
                          <w:szCs w:val="20"/>
                          <w:lang w:val="en-GB"/>
                        </w:rPr>
                        <w:t xml:space="preserve"> and a Balance Responsible </w:t>
                      </w:r>
                      <w:r>
                        <w:rPr>
                          <w:rFonts w:ascii="Arial" w:hAnsi="Arial" w:cs="Arial"/>
                          <w:bCs/>
                          <w:sz w:val="20"/>
                          <w:szCs w:val="20"/>
                          <w:lang w:val="en-GB"/>
                        </w:rPr>
                        <w:t>P</w:t>
                      </w:r>
                      <w:r w:rsidRPr="00100BB9">
                        <w:rPr>
                          <w:rFonts w:ascii="Arial" w:hAnsi="Arial" w:cs="Arial"/>
                          <w:bCs/>
                          <w:sz w:val="20"/>
                          <w:szCs w:val="20"/>
                          <w:lang w:val="en-GB"/>
                        </w:rPr>
                        <w:t xml:space="preserve">arty, responsible for the </w:t>
                      </w:r>
                      <w:r>
                        <w:rPr>
                          <w:rFonts w:ascii="Arial" w:hAnsi="Arial" w:cs="Arial"/>
                          <w:bCs/>
                          <w:sz w:val="20"/>
                          <w:szCs w:val="20"/>
                          <w:lang w:val="en-GB"/>
                        </w:rPr>
                        <w:t xml:space="preserve">market </w:t>
                      </w:r>
                      <w:r w:rsidRPr="00100BB9">
                        <w:rPr>
                          <w:rFonts w:ascii="Arial" w:hAnsi="Arial" w:cs="Arial"/>
                          <w:bCs/>
                          <w:sz w:val="20"/>
                          <w:szCs w:val="20"/>
                          <w:lang w:val="en-GB"/>
                        </w:rPr>
                        <w:t xml:space="preserve">participants portfolio balance in the physical grid point (area). </w:t>
                      </w:r>
                    </w:p>
                    <w:p w14:paraId="4B83EFCB" w14:textId="02A3AE8F"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auction trading model </w:t>
                      </w:r>
                      <w:r>
                        <w:rPr>
                          <w:rFonts w:ascii="Arial" w:hAnsi="Arial" w:cs="Arial"/>
                          <w:bCs/>
                          <w:sz w:val="20"/>
                          <w:szCs w:val="20"/>
                          <w:lang w:val="en-GB"/>
                        </w:rPr>
                        <w:t xml:space="preserve">will </w:t>
                      </w:r>
                      <w:r w:rsidRPr="00100BB9">
                        <w:rPr>
                          <w:rFonts w:ascii="Arial" w:hAnsi="Arial" w:cs="Arial"/>
                          <w:bCs/>
                          <w:sz w:val="20"/>
                          <w:szCs w:val="20"/>
                          <w:lang w:val="en-GB"/>
                        </w:rPr>
                        <w:t xml:space="preserve">use the available transmission capacity on the </w:t>
                      </w:r>
                      <w:r>
                        <w:rPr>
                          <w:rFonts w:ascii="Arial" w:hAnsi="Arial" w:cs="Arial"/>
                          <w:bCs/>
                          <w:sz w:val="20"/>
                          <w:szCs w:val="20"/>
                          <w:lang w:val="en-GB"/>
                        </w:rPr>
                        <w:t xml:space="preserve">area </w:t>
                      </w:r>
                      <w:r w:rsidRPr="00100BB9">
                        <w:rPr>
                          <w:rFonts w:ascii="Arial" w:hAnsi="Arial" w:cs="Arial"/>
                          <w:bCs/>
                          <w:sz w:val="20"/>
                          <w:szCs w:val="20"/>
                          <w:lang w:val="en-GB"/>
                        </w:rPr>
                        <w:t xml:space="preserve">interconnections given by the </w:t>
                      </w:r>
                      <w:r>
                        <w:rPr>
                          <w:rFonts w:ascii="Arial" w:hAnsi="Arial" w:cs="Arial"/>
                          <w:bCs/>
                          <w:sz w:val="20"/>
                          <w:szCs w:val="20"/>
                          <w:lang w:val="en-GB"/>
                        </w:rPr>
                        <w:t xml:space="preserve">national </w:t>
                      </w:r>
                      <w:r w:rsidRPr="00100BB9">
                        <w:rPr>
                          <w:rFonts w:ascii="Arial" w:hAnsi="Arial" w:cs="Arial"/>
                          <w:bCs/>
                          <w:sz w:val="20"/>
                          <w:szCs w:val="20"/>
                          <w:lang w:val="en-GB"/>
                        </w:rPr>
                        <w:t xml:space="preserve">TSO, to run an implicit auction. This calculation </w:t>
                      </w:r>
                      <w:r>
                        <w:rPr>
                          <w:rFonts w:ascii="Arial" w:hAnsi="Arial" w:cs="Arial"/>
                          <w:bCs/>
                          <w:sz w:val="20"/>
                          <w:szCs w:val="20"/>
                          <w:lang w:val="en-GB"/>
                        </w:rPr>
                        <w:t xml:space="preserve">will </w:t>
                      </w:r>
                      <w:r w:rsidRPr="00100BB9">
                        <w:rPr>
                          <w:rFonts w:ascii="Arial" w:hAnsi="Arial" w:cs="Arial"/>
                          <w:bCs/>
                          <w:sz w:val="20"/>
                          <w:szCs w:val="20"/>
                          <w:lang w:val="en-GB"/>
                        </w:rPr>
                        <w:t xml:space="preserve">determine both a system price and an area price, if any congestion in the area model is detected. The system price </w:t>
                      </w:r>
                      <w:r>
                        <w:rPr>
                          <w:rFonts w:ascii="Arial" w:hAnsi="Arial" w:cs="Arial"/>
                          <w:bCs/>
                          <w:sz w:val="20"/>
                          <w:szCs w:val="20"/>
                          <w:lang w:val="en-GB"/>
                        </w:rPr>
                        <w:t>will be</w:t>
                      </w:r>
                      <w:r w:rsidRPr="00100BB9">
                        <w:rPr>
                          <w:rFonts w:ascii="Arial" w:hAnsi="Arial" w:cs="Arial"/>
                          <w:bCs/>
                          <w:sz w:val="20"/>
                          <w:szCs w:val="20"/>
                          <w:lang w:val="en-GB"/>
                        </w:rPr>
                        <w:t xml:space="preserve"> calculated assuming no grid congestion, and </w:t>
                      </w:r>
                      <w:r>
                        <w:rPr>
                          <w:rFonts w:ascii="Arial" w:hAnsi="Arial" w:cs="Arial"/>
                          <w:bCs/>
                          <w:sz w:val="20"/>
                          <w:szCs w:val="20"/>
                          <w:lang w:val="en-GB"/>
                        </w:rPr>
                        <w:t>will be</w:t>
                      </w:r>
                      <w:r w:rsidRPr="00100BB9">
                        <w:rPr>
                          <w:rFonts w:ascii="Arial" w:hAnsi="Arial" w:cs="Arial"/>
                          <w:bCs/>
                          <w:sz w:val="20"/>
                          <w:szCs w:val="20"/>
                          <w:lang w:val="en-GB"/>
                        </w:rPr>
                        <w:t xml:space="preserve"> the unconstrained price. If the contractual flow of power between the pre-defined areas exceeds the transmission capacity available for market trade, </w:t>
                      </w:r>
                      <w:r>
                        <w:rPr>
                          <w:rFonts w:ascii="Arial" w:hAnsi="Arial" w:cs="Arial"/>
                          <w:bCs/>
                          <w:sz w:val="20"/>
                          <w:szCs w:val="20"/>
                          <w:lang w:val="en-GB"/>
                        </w:rPr>
                        <w:t xml:space="preserve">then </w:t>
                      </w:r>
                      <w:r w:rsidRPr="00100BB9">
                        <w:rPr>
                          <w:rFonts w:ascii="Arial" w:hAnsi="Arial" w:cs="Arial"/>
                          <w:bCs/>
                          <w:sz w:val="20"/>
                          <w:szCs w:val="20"/>
                          <w:lang w:val="en-GB"/>
                        </w:rPr>
                        <w:t xml:space="preserve">grid congestion occurs and separate price areas </w:t>
                      </w:r>
                      <w:r>
                        <w:rPr>
                          <w:rFonts w:ascii="Arial" w:hAnsi="Arial" w:cs="Arial"/>
                          <w:bCs/>
                          <w:sz w:val="20"/>
                          <w:szCs w:val="20"/>
                          <w:lang w:val="en-GB"/>
                        </w:rPr>
                        <w:t>will be</w:t>
                      </w:r>
                      <w:r w:rsidRPr="00100BB9">
                        <w:rPr>
                          <w:rFonts w:ascii="Arial" w:hAnsi="Arial" w:cs="Arial"/>
                          <w:bCs/>
                          <w:sz w:val="20"/>
                          <w:szCs w:val="20"/>
                          <w:lang w:val="en-GB"/>
                        </w:rPr>
                        <w:t xml:space="preserve"> created (“market splitting”).</w:t>
                      </w:r>
                      <w:r>
                        <w:rPr>
                          <w:rFonts w:ascii="Arial" w:hAnsi="Arial" w:cs="Arial"/>
                          <w:bCs/>
                          <w:sz w:val="20"/>
                          <w:szCs w:val="20"/>
                          <w:lang w:val="en-GB"/>
                        </w:rPr>
                        <w:t xml:space="preserve"> </w:t>
                      </w:r>
                    </w:p>
                    <w:p w14:paraId="5C6C6044" w14:textId="3FFB346B"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auction </w:t>
                      </w:r>
                      <w:r>
                        <w:rPr>
                          <w:rFonts w:ascii="Arial" w:hAnsi="Arial" w:cs="Arial"/>
                          <w:bCs/>
                          <w:sz w:val="20"/>
                          <w:szCs w:val="20"/>
                          <w:lang w:val="en-GB"/>
                        </w:rPr>
                        <w:t xml:space="preserve">trading </w:t>
                      </w:r>
                      <w:r w:rsidRPr="00100BB9">
                        <w:rPr>
                          <w:rFonts w:ascii="Arial" w:hAnsi="Arial" w:cs="Arial"/>
                          <w:bCs/>
                          <w:sz w:val="20"/>
                          <w:szCs w:val="20"/>
                          <w:lang w:val="en-GB"/>
                        </w:rPr>
                        <w:t xml:space="preserve">model </w:t>
                      </w:r>
                      <w:r>
                        <w:rPr>
                          <w:rFonts w:ascii="Arial" w:hAnsi="Arial" w:cs="Arial"/>
                          <w:bCs/>
                          <w:sz w:val="20"/>
                          <w:szCs w:val="20"/>
                          <w:lang w:val="en-GB"/>
                        </w:rPr>
                        <w:t>will be</w:t>
                      </w:r>
                      <w:r w:rsidRPr="00100BB9">
                        <w:rPr>
                          <w:rFonts w:ascii="Arial" w:hAnsi="Arial" w:cs="Arial"/>
                          <w:bCs/>
                          <w:sz w:val="20"/>
                          <w:szCs w:val="20"/>
                          <w:lang w:val="en-GB"/>
                        </w:rPr>
                        <w:t xml:space="preserve"> a fully transparent trading methodology where </w:t>
                      </w:r>
                      <w:r>
                        <w:rPr>
                          <w:rFonts w:ascii="Arial" w:hAnsi="Arial" w:cs="Arial"/>
                          <w:bCs/>
                          <w:sz w:val="20"/>
                          <w:szCs w:val="20"/>
                          <w:lang w:val="en-GB"/>
                        </w:rPr>
                        <w:t xml:space="preserve">market </w:t>
                      </w:r>
                      <w:r w:rsidRPr="00100BB9">
                        <w:rPr>
                          <w:rFonts w:ascii="Arial" w:hAnsi="Arial" w:cs="Arial"/>
                          <w:bCs/>
                          <w:sz w:val="20"/>
                          <w:szCs w:val="20"/>
                          <w:lang w:val="en-GB"/>
                        </w:rPr>
                        <w:t xml:space="preserve">participants </w:t>
                      </w:r>
                      <w:r>
                        <w:rPr>
                          <w:rFonts w:ascii="Arial" w:hAnsi="Arial" w:cs="Arial"/>
                          <w:bCs/>
                          <w:sz w:val="20"/>
                          <w:szCs w:val="20"/>
                          <w:lang w:val="en-GB"/>
                        </w:rPr>
                        <w:t xml:space="preserve">will </w:t>
                      </w:r>
                      <w:r w:rsidRPr="00100BB9">
                        <w:rPr>
                          <w:rFonts w:ascii="Arial" w:hAnsi="Arial" w:cs="Arial"/>
                          <w:bCs/>
                          <w:sz w:val="20"/>
                          <w:szCs w:val="20"/>
                          <w:lang w:val="en-GB"/>
                        </w:rPr>
                        <w:t xml:space="preserve">submit orders that are seen only by the Power Exchange and the submitting </w:t>
                      </w:r>
                      <w:r>
                        <w:rPr>
                          <w:rFonts w:ascii="Arial" w:hAnsi="Arial" w:cs="Arial"/>
                          <w:bCs/>
                          <w:sz w:val="20"/>
                          <w:szCs w:val="20"/>
                          <w:lang w:val="en-GB"/>
                        </w:rPr>
                        <w:t xml:space="preserve">market </w:t>
                      </w:r>
                      <w:r w:rsidRPr="00100BB9">
                        <w:rPr>
                          <w:rFonts w:ascii="Arial" w:hAnsi="Arial" w:cs="Arial"/>
                          <w:bCs/>
                          <w:sz w:val="20"/>
                          <w:szCs w:val="20"/>
                          <w:lang w:val="en-GB"/>
                        </w:rPr>
                        <w:t>participant.</w:t>
                      </w:r>
                      <w:r>
                        <w:rPr>
                          <w:rFonts w:ascii="Arial" w:hAnsi="Arial" w:cs="Arial"/>
                          <w:bCs/>
                          <w:sz w:val="20"/>
                          <w:szCs w:val="20"/>
                          <w:lang w:val="en-GB"/>
                        </w:rPr>
                        <w:t xml:space="preserve"> </w:t>
                      </w:r>
                    </w:p>
                  </w:txbxContent>
                </v:textbox>
                <w10:anchorlock/>
              </v:shape>
            </w:pict>
          </mc:Fallback>
        </mc:AlternateContent>
      </w:r>
    </w:p>
    <w:p w14:paraId="797E31E9" w14:textId="33A8C5DC" w:rsidR="00BA4CDB" w:rsidRPr="00654753" w:rsidRDefault="00100BB9" w:rsidP="00483DE9">
      <w:pPr>
        <w:rPr>
          <w:rFonts w:eastAsia="Calibri"/>
          <w:szCs w:val="22"/>
        </w:rPr>
      </w:pPr>
      <w:r w:rsidRPr="006273BD">
        <w:rPr>
          <w:rFonts w:eastAsia="Calibri"/>
          <w:noProof/>
          <w:lang w:eastAsia="en-GB"/>
        </w:rPr>
        <mc:AlternateContent>
          <mc:Choice Requires="wps">
            <w:drawing>
              <wp:inline distT="0" distB="0" distL="0" distR="0" wp14:anchorId="127E4777" wp14:editId="0FDD30E0">
                <wp:extent cx="6112800" cy="2216888"/>
                <wp:effectExtent l="0" t="0" r="21590" b="12065"/>
                <wp:docPr id="53" name="Text Box 53"/>
                <wp:cNvGraphicFramePr/>
                <a:graphic xmlns:a="http://schemas.openxmlformats.org/drawingml/2006/main">
                  <a:graphicData uri="http://schemas.microsoft.com/office/word/2010/wordprocessingShape">
                    <wps:wsp>
                      <wps:cNvSpPr txBox="1"/>
                      <wps:spPr>
                        <a:xfrm>
                          <a:off x="0" y="0"/>
                          <a:ext cx="6112800" cy="2216888"/>
                        </a:xfrm>
                        <a:prstGeom prst="rect">
                          <a:avLst/>
                        </a:prstGeom>
                        <a:solidFill>
                          <a:srgbClr val="9BBB59">
                            <a:lumMod val="20000"/>
                            <a:lumOff val="80000"/>
                          </a:srgbClr>
                        </a:solidFill>
                        <a:ln w="6350">
                          <a:solidFill>
                            <a:prstClr val="black"/>
                          </a:solidFill>
                        </a:ln>
                        <a:effectLst/>
                      </wps:spPr>
                      <wps:txbx>
                        <w:txbxContent>
                          <w:p w14:paraId="51F47C70" w14:textId="28E7A964" w:rsidR="005276A4" w:rsidRPr="003D494F" w:rsidRDefault="005276A4" w:rsidP="00100BB9">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.6:</w:t>
                            </w:r>
                            <w:r w:rsidRPr="003D494F">
                              <w:rPr>
                                <w:rFonts w:cs="Arial"/>
                                <w:bCs/>
                                <w:szCs w:val="20"/>
                              </w:rPr>
                              <w:t xml:space="preserve"> </w:t>
                            </w:r>
                            <w:r>
                              <w:rPr>
                                <w:rFonts w:cs="Arial"/>
                                <w:bCs/>
                                <w:szCs w:val="20"/>
                              </w:rPr>
                              <w:t xml:space="preserve">Market Compatibility for Trading – Market Principles for the Intraday Market </w:t>
                            </w:r>
                          </w:p>
                          <w:p w14:paraId="371FEE45" w14:textId="0913D4B9"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The I</w:t>
                            </w:r>
                            <w:r>
                              <w:rPr>
                                <w:rFonts w:ascii="Arial" w:hAnsi="Arial" w:cs="Arial"/>
                                <w:bCs/>
                                <w:sz w:val="20"/>
                                <w:szCs w:val="20"/>
                                <w:lang w:val="en-GB"/>
                              </w:rPr>
                              <w:t xml:space="preserve">ntraday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w:t>
                            </w:r>
                            <w:r>
                              <w:rPr>
                                <w:rFonts w:ascii="Arial" w:hAnsi="Arial" w:cs="Arial"/>
                                <w:bCs/>
                                <w:sz w:val="20"/>
                                <w:szCs w:val="20"/>
                                <w:lang w:val="en-GB"/>
                              </w:rPr>
                              <w:t>will be</w:t>
                            </w:r>
                            <w:r w:rsidRPr="00100BB9">
                              <w:rPr>
                                <w:rFonts w:ascii="Arial" w:hAnsi="Arial" w:cs="Arial"/>
                                <w:bCs/>
                                <w:sz w:val="20"/>
                                <w:szCs w:val="20"/>
                                <w:lang w:val="en-GB"/>
                              </w:rPr>
                              <w:t xml:space="preserve"> based on a continuous trading model that means a continuing matching of the orders submitted to the market. The orders </w:t>
                            </w:r>
                            <w:r>
                              <w:rPr>
                                <w:rFonts w:ascii="Arial" w:hAnsi="Arial" w:cs="Arial"/>
                                <w:bCs/>
                                <w:sz w:val="20"/>
                                <w:szCs w:val="20"/>
                                <w:lang w:val="en-GB"/>
                              </w:rPr>
                              <w:t xml:space="preserve">will </w:t>
                            </w:r>
                            <w:r w:rsidRPr="00100BB9">
                              <w:rPr>
                                <w:rFonts w:ascii="Arial" w:hAnsi="Arial" w:cs="Arial"/>
                                <w:bCs/>
                                <w:sz w:val="20"/>
                                <w:szCs w:val="20"/>
                                <w:lang w:val="en-GB"/>
                              </w:rPr>
                              <w:t xml:space="preserve">be of type Sell (sales order), or Buy (purchase order). </w:t>
                            </w:r>
                            <w:r>
                              <w:rPr>
                                <w:rFonts w:ascii="Arial" w:hAnsi="Arial" w:cs="Arial"/>
                                <w:bCs/>
                                <w:sz w:val="20"/>
                                <w:szCs w:val="20"/>
                                <w:lang w:val="en-GB"/>
                              </w:rPr>
                              <w:t>In t</w:t>
                            </w:r>
                            <w:r w:rsidRPr="00100BB9">
                              <w:rPr>
                                <w:rFonts w:ascii="Arial" w:hAnsi="Arial" w:cs="Arial"/>
                                <w:bCs/>
                                <w:sz w:val="20"/>
                                <w:szCs w:val="20"/>
                                <w:lang w:val="en-GB"/>
                              </w:rPr>
                              <w:t>he continuous trading model</w:t>
                            </w:r>
                            <w:r>
                              <w:rPr>
                                <w:rFonts w:ascii="Arial" w:hAnsi="Arial" w:cs="Arial"/>
                                <w:bCs/>
                                <w:sz w:val="20"/>
                                <w:szCs w:val="20"/>
                                <w:lang w:val="en-GB"/>
                              </w:rPr>
                              <w:t>,</w:t>
                            </w:r>
                            <w:r w:rsidRPr="00100BB9">
                              <w:rPr>
                                <w:rFonts w:ascii="Arial" w:hAnsi="Arial" w:cs="Arial"/>
                                <w:bCs/>
                                <w:sz w:val="20"/>
                                <w:szCs w:val="20"/>
                                <w:lang w:val="en-GB"/>
                              </w:rPr>
                              <w:t xml:space="preserve"> the orders </w:t>
                            </w:r>
                            <w:r>
                              <w:rPr>
                                <w:rFonts w:ascii="Arial" w:hAnsi="Arial" w:cs="Arial"/>
                                <w:bCs/>
                                <w:sz w:val="20"/>
                                <w:szCs w:val="20"/>
                                <w:lang w:val="en-GB"/>
                              </w:rPr>
                              <w:t xml:space="preserve">will be </w:t>
                            </w:r>
                            <w:r w:rsidRPr="00100BB9">
                              <w:rPr>
                                <w:rFonts w:ascii="Arial" w:hAnsi="Arial" w:cs="Arial"/>
                                <w:bCs/>
                                <w:sz w:val="20"/>
                                <w:szCs w:val="20"/>
                                <w:lang w:val="en-GB"/>
                              </w:rPr>
                              <w:t xml:space="preserve">either matched automatically by the system on price, or a buyer / seller </w:t>
                            </w:r>
                            <w:r>
                              <w:rPr>
                                <w:rFonts w:ascii="Arial" w:hAnsi="Arial" w:cs="Arial"/>
                                <w:bCs/>
                                <w:sz w:val="20"/>
                                <w:szCs w:val="20"/>
                                <w:lang w:val="en-GB"/>
                              </w:rPr>
                              <w:t xml:space="preserve">will </w:t>
                            </w:r>
                            <w:r w:rsidRPr="00100BB9">
                              <w:rPr>
                                <w:rFonts w:ascii="Arial" w:hAnsi="Arial" w:cs="Arial"/>
                                <w:bCs/>
                                <w:sz w:val="20"/>
                                <w:szCs w:val="20"/>
                                <w:lang w:val="en-GB"/>
                              </w:rPr>
                              <w:t xml:space="preserve">accept and “hit” an order in the market. The market contracts </w:t>
                            </w:r>
                            <w:r>
                              <w:rPr>
                                <w:rFonts w:ascii="Arial" w:hAnsi="Arial" w:cs="Arial"/>
                                <w:bCs/>
                                <w:sz w:val="20"/>
                                <w:szCs w:val="20"/>
                                <w:lang w:val="en-GB"/>
                              </w:rPr>
                              <w:t>will be</w:t>
                            </w:r>
                            <w:r w:rsidRPr="00100BB9">
                              <w:rPr>
                                <w:rFonts w:ascii="Arial" w:hAnsi="Arial" w:cs="Arial"/>
                                <w:bCs/>
                                <w:sz w:val="20"/>
                                <w:szCs w:val="20"/>
                                <w:lang w:val="en-GB"/>
                              </w:rPr>
                              <w:t xml:space="preserve"> settled at the matched price.</w:t>
                            </w:r>
                            <w:r>
                              <w:rPr>
                                <w:rFonts w:ascii="Arial" w:hAnsi="Arial" w:cs="Arial"/>
                                <w:bCs/>
                                <w:sz w:val="20"/>
                                <w:szCs w:val="20"/>
                                <w:lang w:val="en-GB"/>
                              </w:rPr>
                              <w:t xml:space="preserve"> </w:t>
                            </w:r>
                          </w:p>
                          <w:p w14:paraId="58D46DFC" w14:textId="4F873BDA"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continuous trading model </w:t>
                            </w:r>
                            <w:r>
                              <w:rPr>
                                <w:rFonts w:ascii="Arial" w:hAnsi="Arial" w:cs="Arial"/>
                                <w:bCs/>
                                <w:sz w:val="20"/>
                                <w:szCs w:val="20"/>
                                <w:lang w:val="en-GB"/>
                              </w:rPr>
                              <w:t>will be</w:t>
                            </w:r>
                            <w:r w:rsidRPr="00100BB9">
                              <w:rPr>
                                <w:rFonts w:ascii="Arial" w:hAnsi="Arial" w:cs="Arial"/>
                                <w:bCs/>
                                <w:sz w:val="20"/>
                                <w:szCs w:val="20"/>
                                <w:lang w:val="en-GB"/>
                              </w:rPr>
                              <w:t xml:space="preserve"> fully transparent where all </w:t>
                            </w:r>
                            <w:r>
                              <w:rPr>
                                <w:rFonts w:ascii="Arial" w:hAnsi="Arial" w:cs="Arial"/>
                                <w:bCs/>
                                <w:sz w:val="20"/>
                                <w:szCs w:val="20"/>
                                <w:lang w:val="en-GB"/>
                              </w:rPr>
                              <w:t xml:space="preserve">the market </w:t>
                            </w:r>
                            <w:r w:rsidRPr="00100BB9">
                              <w:rPr>
                                <w:rFonts w:ascii="Arial" w:hAnsi="Arial" w:cs="Arial"/>
                                <w:bCs/>
                                <w:sz w:val="20"/>
                                <w:szCs w:val="20"/>
                                <w:lang w:val="en-GB"/>
                              </w:rPr>
                              <w:t xml:space="preserve">participants’ orders </w:t>
                            </w:r>
                            <w:r>
                              <w:rPr>
                                <w:rFonts w:ascii="Arial" w:hAnsi="Arial" w:cs="Arial"/>
                                <w:bCs/>
                                <w:sz w:val="20"/>
                                <w:szCs w:val="20"/>
                                <w:lang w:val="en-GB"/>
                              </w:rPr>
                              <w:t>will be</w:t>
                            </w:r>
                            <w:r w:rsidRPr="00100BB9">
                              <w:rPr>
                                <w:rFonts w:ascii="Arial" w:hAnsi="Arial" w:cs="Arial"/>
                                <w:bCs/>
                                <w:sz w:val="20"/>
                                <w:szCs w:val="20"/>
                                <w:lang w:val="en-GB"/>
                              </w:rPr>
                              <w:t xml:space="preserve"> seen only by the Power Exchange, as well as the </w:t>
                            </w:r>
                            <w:r>
                              <w:rPr>
                                <w:rFonts w:ascii="Arial" w:hAnsi="Arial" w:cs="Arial"/>
                                <w:bCs/>
                                <w:sz w:val="20"/>
                                <w:szCs w:val="20"/>
                                <w:lang w:val="en-GB"/>
                              </w:rPr>
                              <w:t xml:space="preserve">market </w:t>
                            </w:r>
                            <w:r w:rsidRPr="00100BB9">
                              <w:rPr>
                                <w:rFonts w:ascii="Arial" w:hAnsi="Arial" w:cs="Arial"/>
                                <w:bCs/>
                                <w:sz w:val="20"/>
                                <w:szCs w:val="20"/>
                                <w:lang w:val="en-GB"/>
                              </w:rPr>
                              <w:t>participant that owns the order. Normally</w:t>
                            </w:r>
                            <w:r>
                              <w:rPr>
                                <w:rFonts w:ascii="Arial" w:hAnsi="Arial" w:cs="Arial"/>
                                <w:bCs/>
                                <w:sz w:val="20"/>
                                <w:szCs w:val="20"/>
                                <w:lang w:val="en-GB"/>
                              </w:rPr>
                              <w:t>,</w:t>
                            </w:r>
                            <w:r w:rsidRPr="00100BB9">
                              <w:rPr>
                                <w:rFonts w:ascii="Arial" w:hAnsi="Arial" w:cs="Arial"/>
                                <w:bCs/>
                                <w:sz w:val="20"/>
                                <w:szCs w:val="20"/>
                                <w:lang w:val="en-GB"/>
                              </w:rPr>
                              <w:t xml:space="preserve"> trading </w:t>
                            </w:r>
                            <w:r>
                              <w:rPr>
                                <w:rFonts w:ascii="Arial" w:hAnsi="Arial" w:cs="Arial"/>
                                <w:bCs/>
                                <w:sz w:val="20"/>
                                <w:szCs w:val="20"/>
                                <w:lang w:val="en-GB"/>
                              </w:rPr>
                              <w:t>will be</w:t>
                            </w:r>
                            <w:r w:rsidRPr="00100BB9">
                              <w:rPr>
                                <w:rFonts w:ascii="Arial" w:hAnsi="Arial" w:cs="Arial"/>
                                <w:bCs/>
                                <w:sz w:val="20"/>
                                <w:szCs w:val="20"/>
                                <w:lang w:val="en-GB"/>
                              </w:rPr>
                              <w:t xml:space="preserve"> open 24/7 every day, but can be configured to operate for only a part of the day.</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7E4777" id="Text Box 53" o:spid="_x0000_s1045" type="#_x0000_t202" style="width:481.3pt;height:1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" fillcolor="#ebf1de" strokeweight=".5pt">
                <v:textbox>
                  <w:txbxContent>
                    <w:p w14:paraId="51F47C70" w14:textId="28E7A964" w:rsidR="005276A4" w:rsidRPr="003D494F" w:rsidRDefault="005276A4" w:rsidP="00100BB9">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.6:</w:t>
                      </w:r>
                      <w:r w:rsidRPr="003D494F">
                        <w:rPr>
                          <w:rFonts w:cs="Arial"/>
                          <w:bCs/>
                          <w:szCs w:val="20"/>
                        </w:rPr>
                        <w:t xml:space="preserve"> </w:t>
                      </w:r>
                      <w:r>
                        <w:rPr>
                          <w:rFonts w:cs="Arial"/>
                          <w:bCs/>
                          <w:szCs w:val="20"/>
                        </w:rPr>
                        <w:t xml:space="preserve">Market Compatibility for Trading – Market Principles for the Intraday Market </w:t>
                      </w:r>
                    </w:p>
                    <w:p w14:paraId="371FEE45" w14:textId="0913D4B9"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The I</w:t>
                      </w:r>
                      <w:r>
                        <w:rPr>
                          <w:rFonts w:ascii="Arial" w:hAnsi="Arial" w:cs="Arial"/>
                          <w:bCs/>
                          <w:sz w:val="20"/>
                          <w:szCs w:val="20"/>
                          <w:lang w:val="en-GB"/>
                        </w:rPr>
                        <w:t xml:space="preserve">ntraday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w:t>
                      </w:r>
                      <w:r>
                        <w:rPr>
                          <w:rFonts w:ascii="Arial" w:hAnsi="Arial" w:cs="Arial"/>
                          <w:bCs/>
                          <w:sz w:val="20"/>
                          <w:szCs w:val="20"/>
                          <w:lang w:val="en-GB"/>
                        </w:rPr>
                        <w:t>will be</w:t>
                      </w:r>
                      <w:r w:rsidRPr="00100BB9">
                        <w:rPr>
                          <w:rFonts w:ascii="Arial" w:hAnsi="Arial" w:cs="Arial"/>
                          <w:bCs/>
                          <w:sz w:val="20"/>
                          <w:szCs w:val="20"/>
                          <w:lang w:val="en-GB"/>
                        </w:rPr>
                        <w:t xml:space="preserve"> based on a continuous trading model that means a continuing matching of the orders submitted to the market. The orders </w:t>
                      </w:r>
                      <w:r>
                        <w:rPr>
                          <w:rFonts w:ascii="Arial" w:hAnsi="Arial" w:cs="Arial"/>
                          <w:bCs/>
                          <w:sz w:val="20"/>
                          <w:szCs w:val="20"/>
                          <w:lang w:val="en-GB"/>
                        </w:rPr>
                        <w:t xml:space="preserve">will </w:t>
                      </w:r>
                      <w:r w:rsidRPr="00100BB9">
                        <w:rPr>
                          <w:rFonts w:ascii="Arial" w:hAnsi="Arial" w:cs="Arial"/>
                          <w:bCs/>
                          <w:sz w:val="20"/>
                          <w:szCs w:val="20"/>
                          <w:lang w:val="en-GB"/>
                        </w:rPr>
                        <w:t xml:space="preserve">be of type Sell (sales order), or Buy (purchase order). </w:t>
                      </w:r>
                      <w:r>
                        <w:rPr>
                          <w:rFonts w:ascii="Arial" w:hAnsi="Arial" w:cs="Arial"/>
                          <w:bCs/>
                          <w:sz w:val="20"/>
                          <w:szCs w:val="20"/>
                          <w:lang w:val="en-GB"/>
                        </w:rPr>
                        <w:t>In t</w:t>
                      </w:r>
                      <w:r w:rsidRPr="00100BB9">
                        <w:rPr>
                          <w:rFonts w:ascii="Arial" w:hAnsi="Arial" w:cs="Arial"/>
                          <w:bCs/>
                          <w:sz w:val="20"/>
                          <w:szCs w:val="20"/>
                          <w:lang w:val="en-GB"/>
                        </w:rPr>
                        <w:t>he continuous trading model</w:t>
                      </w:r>
                      <w:r>
                        <w:rPr>
                          <w:rFonts w:ascii="Arial" w:hAnsi="Arial" w:cs="Arial"/>
                          <w:bCs/>
                          <w:sz w:val="20"/>
                          <w:szCs w:val="20"/>
                          <w:lang w:val="en-GB"/>
                        </w:rPr>
                        <w:t>,</w:t>
                      </w:r>
                      <w:r w:rsidRPr="00100BB9">
                        <w:rPr>
                          <w:rFonts w:ascii="Arial" w:hAnsi="Arial" w:cs="Arial"/>
                          <w:bCs/>
                          <w:sz w:val="20"/>
                          <w:szCs w:val="20"/>
                          <w:lang w:val="en-GB"/>
                        </w:rPr>
                        <w:t xml:space="preserve"> the orders </w:t>
                      </w:r>
                      <w:r>
                        <w:rPr>
                          <w:rFonts w:ascii="Arial" w:hAnsi="Arial" w:cs="Arial"/>
                          <w:bCs/>
                          <w:sz w:val="20"/>
                          <w:szCs w:val="20"/>
                          <w:lang w:val="en-GB"/>
                        </w:rPr>
                        <w:t xml:space="preserve">will be </w:t>
                      </w:r>
                      <w:r w:rsidRPr="00100BB9">
                        <w:rPr>
                          <w:rFonts w:ascii="Arial" w:hAnsi="Arial" w:cs="Arial"/>
                          <w:bCs/>
                          <w:sz w:val="20"/>
                          <w:szCs w:val="20"/>
                          <w:lang w:val="en-GB"/>
                        </w:rPr>
                        <w:t xml:space="preserve">either matched automatically by the system on price, or a buyer / seller </w:t>
                      </w:r>
                      <w:r>
                        <w:rPr>
                          <w:rFonts w:ascii="Arial" w:hAnsi="Arial" w:cs="Arial"/>
                          <w:bCs/>
                          <w:sz w:val="20"/>
                          <w:szCs w:val="20"/>
                          <w:lang w:val="en-GB"/>
                        </w:rPr>
                        <w:t xml:space="preserve">will </w:t>
                      </w:r>
                      <w:r w:rsidRPr="00100BB9">
                        <w:rPr>
                          <w:rFonts w:ascii="Arial" w:hAnsi="Arial" w:cs="Arial"/>
                          <w:bCs/>
                          <w:sz w:val="20"/>
                          <w:szCs w:val="20"/>
                          <w:lang w:val="en-GB"/>
                        </w:rPr>
                        <w:t xml:space="preserve">accept and “hit” an order in the market. The market contracts </w:t>
                      </w:r>
                      <w:r>
                        <w:rPr>
                          <w:rFonts w:ascii="Arial" w:hAnsi="Arial" w:cs="Arial"/>
                          <w:bCs/>
                          <w:sz w:val="20"/>
                          <w:szCs w:val="20"/>
                          <w:lang w:val="en-GB"/>
                        </w:rPr>
                        <w:t>will be</w:t>
                      </w:r>
                      <w:r w:rsidRPr="00100BB9">
                        <w:rPr>
                          <w:rFonts w:ascii="Arial" w:hAnsi="Arial" w:cs="Arial"/>
                          <w:bCs/>
                          <w:sz w:val="20"/>
                          <w:szCs w:val="20"/>
                          <w:lang w:val="en-GB"/>
                        </w:rPr>
                        <w:t xml:space="preserve"> settled at the matched price.</w:t>
                      </w:r>
                      <w:r>
                        <w:rPr>
                          <w:rFonts w:ascii="Arial" w:hAnsi="Arial" w:cs="Arial"/>
                          <w:bCs/>
                          <w:sz w:val="20"/>
                          <w:szCs w:val="20"/>
                          <w:lang w:val="en-GB"/>
                        </w:rPr>
                        <w:t xml:space="preserve"> </w:t>
                      </w:r>
                    </w:p>
                    <w:p w14:paraId="58D46DFC" w14:textId="4F873BDA"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continuous trading model </w:t>
                      </w:r>
                      <w:r>
                        <w:rPr>
                          <w:rFonts w:ascii="Arial" w:hAnsi="Arial" w:cs="Arial"/>
                          <w:bCs/>
                          <w:sz w:val="20"/>
                          <w:szCs w:val="20"/>
                          <w:lang w:val="en-GB"/>
                        </w:rPr>
                        <w:t>will be</w:t>
                      </w:r>
                      <w:r w:rsidRPr="00100BB9">
                        <w:rPr>
                          <w:rFonts w:ascii="Arial" w:hAnsi="Arial" w:cs="Arial"/>
                          <w:bCs/>
                          <w:sz w:val="20"/>
                          <w:szCs w:val="20"/>
                          <w:lang w:val="en-GB"/>
                        </w:rPr>
                        <w:t xml:space="preserve"> fully transparent where all </w:t>
                      </w:r>
                      <w:r>
                        <w:rPr>
                          <w:rFonts w:ascii="Arial" w:hAnsi="Arial" w:cs="Arial"/>
                          <w:bCs/>
                          <w:sz w:val="20"/>
                          <w:szCs w:val="20"/>
                          <w:lang w:val="en-GB"/>
                        </w:rPr>
                        <w:t xml:space="preserve">the market </w:t>
                      </w:r>
                      <w:r w:rsidRPr="00100BB9">
                        <w:rPr>
                          <w:rFonts w:ascii="Arial" w:hAnsi="Arial" w:cs="Arial"/>
                          <w:bCs/>
                          <w:sz w:val="20"/>
                          <w:szCs w:val="20"/>
                          <w:lang w:val="en-GB"/>
                        </w:rPr>
                        <w:t xml:space="preserve">participants’ orders </w:t>
                      </w:r>
                      <w:r>
                        <w:rPr>
                          <w:rFonts w:ascii="Arial" w:hAnsi="Arial" w:cs="Arial"/>
                          <w:bCs/>
                          <w:sz w:val="20"/>
                          <w:szCs w:val="20"/>
                          <w:lang w:val="en-GB"/>
                        </w:rPr>
                        <w:t>will be</w:t>
                      </w:r>
                      <w:r w:rsidRPr="00100BB9">
                        <w:rPr>
                          <w:rFonts w:ascii="Arial" w:hAnsi="Arial" w:cs="Arial"/>
                          <w:bCs/>
                          <w:sz w:val="20"/>
                          <w:szCs w:val="20"/>
                          <w:lang w:val="en-GB"/>
                        </w:rPr>
                        <w:t xml:space="preserve"> seen only by the Power Exchange, as well as the </w:t>
                      </w:r>
                      <w:r>
                        <w:rPr>
                          <w:rFonts w:ascii="Arial" w:hAnsi="Arial" w:cs="Arial"/>
                          <w:bCs/>
                          <w:sz w:val="20"/>
                          <w:szCs w:val="20"/>
                          <w:lang w:val="en-GB"/>
                        </w:rPr>
                        <w:t xml:space="preserve">market </w:t>
                      </w:r>
                      <w:r w:rsidRPr="00100BB9">
                        <w:rPr>
                          <w:rFonts w:ascii="Arial" w:hAnsi="Arial" w:cs="Arial"/>
                          <w:bCs/>
                          <w:sz w:val="20"/>
                          <w:szCs w:val="20"/>
                          <w:lang w:val="en-GB"/>
                        </w:rPr>
                        <w:t>participant that owns the order. Normally</w:t>
                      </w:r>
                      <w:r>
                        <w:rPr>
                          <w:rFonts w:ascii="Arial" w:hAnsi="Arial" w:cs="Arial"/>
                          <w:bCs/>
                          <w:sz w:val="20"/>
                          <w:szCs w:val="20"/>
                          <w:lang w:val="en-GB"/>
                        </w:rPr>
                        <w:t>,</w:t>
                      </w:r>
                      <w:r w:rsidRPr="00100BB9">
                        <w:rPr>
                          <w:rFonts w:ascii="Arial" w:hAnsi="Arial" w:cs="Arial"/>
                          <w:bCs/>
                          <w:sz w:val="20"/>
                          <w:szCs w:val="20"/>
                          <w:lang w:val="en-GB"/>
                        </w:rPr>
                        <w:t xml:space="preserve"> trading </w:t>
                      </w:r>
                      <w:r>
                        <w:rPr>
                          <w:rFonts w:ascii="Arial" w:hAnsi="Arial" w:cs="Arial"/>
                          <w:bCs/>
                          <w:sz w:val="20"/>
                          <w:szCs w:val="20"/>
                          <w:lang w:val="en-GB"/>
                        </w:rPr>
                        <w:t>will be</w:t>
                      </w:r>
                      <w:r w:rsidRPr="00100BB9">
                        <w:rPr>
                          <w:rFonts w:ascii="Arial" w:hAnsi="Arial" w:cs="Arial"/>
                          <w:bCs/>
                          <w:sz w:val="20"/>
                          <w:szCs w:val="20"/>
                          <w:lang w:val="en-GB"/>
                        </w:rPr>
                        <w:t xml:space="preserve"> open 24/7 every day, but can be configured to operate for only a part of the day.</w:t>
                      </w:r>
                      <w:r>
                        <w:rPr>
                          <w:rFonts w:ascii="Arial" w:hAnsi="Arial" w:cs="Arial"/>
                          <w:bCs/>
                          <w:sz w:val="20"/>
                          <w:szCs w:val="20"/>
                          <w:lang w:val="en-GB"/>
                        </w:rPr>
                        <w:t xml:space="preserve"> </w:t>
                      </w:r>
                    </w:p>
                  </w:txbxContent>
                </v:textbox>
                <w10:anchorlock/>
              </v:shape>
            </w:pict>
          </mc:Fallback>
        </mc:AlternateContent>
      </w:r>
    </w:p>
    <w:p w14:paraId="6CBB6382" w14:textId="017EB71C" w:rsidR="00100BB9" w:rsidRPr="00654753" w:rsidRDefault="00100BB9" w:rsidP="00483DE9">
      <w:pPr>
        <w:rPr>
          <w:rFonts w:eastAsia="Calibri"/>
          <w:szCs w:val="22"/>
        </w:rPr>
      </w:pPr>
      <w:r w:rsidRPr="006273BD">
        <w:rPr>
          <w:rFonts w:eastAsia="Calibri"/>
          <w:noProof/>
          <w:lang w:eastAsia="en-GB"/>
        </w:rPr>
        <w:lastRenderedPageBreak/>
        <mc:AlternateContent>
          <mc:Choice Requires="wps">
            <w:drawing>
              <wp:inline distT="0" distB="0" distL="0" distR="0" wp14:anchorId="0B167523" wp14:editId="5A143975">
                <wp:extent cx="6112800" cy="4981353"/>
                <wp:effectExtent l="0" t="0" r="21590" b="10160"/>
                <wp:docPr id="54" name="Text Box 54"/>
                <wp:cNvGraphicFramePr/>
                <a:graphic xmlns:a="http://schemas.openxmlformats.org/drawingml/2006/main">
                  <a:graphicData uri="http://schemas.microsoft.com/office/word/2010/wordprocessingShape">
                    <wps:wsp>
                      <wps:cNvSpPr txBox="1"/>
                      <wps:spPr>
                        <a:xfrm>
                          <a:off x="0" y="0"/>
                          <a:ext cx="6112800" cy="4981353"/>
                        </a:xfrm>
                        <a:prstGeom prst="rect">
                          <a:avLst/>
                        </a:prstGeom>
                        <a:solidFill>
                          <a:srgbClr val="9BBB59">
                            <a:lumMod val="20000"/>
                            <a:lumOff val="80000"/>
                          </a:srgbClr>
                        </a:solidFill>
                        <a:ln w="6350">
                          <a:solidFill>
                            <a:prstClr val="black"/>
                          </a:solidFill>
                        </a:ln>
                        <a:effectLst/>
                      </wps:spPr>
                      <wps:txbx>
                        <w:txbxContent>
                          <w:p w14:paraId="4D12A07D" w14:textId="115C00DA" w:rsidR="005276A4" w:rsidRPr="003D494F" w:rsidRDefault="005276A4" w:rsidP="00100BB9">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.7:</w:t>
                            </w:r>
                            <w:r w:rsidRPr="003D494F">
                              <w:rPr>
                                <w:rFonts w:cs="Arial"/>
                                <w:bCs/>
                                <w:szCs w:val="20"/>
                              </w:rPr>
                              <w:t xml:space="preserve"> </w:t>
                            </w:r>
                            <w:r>
                              <w:rPr>
                                <w:rFonts w:cs="Arial"/>
                                <w:bCs/>
                                <w:szCs w:val="20"/>
                              </w:rPr>
                              <w:t xml:space="preserve">Market Compatibility for Trading – </w:t>
                            </w:r>
                            <w:r w:rsidRPr="00100BB9">
                              <w:rPr>
                                <w:rFonts w:cs="Arial"/>
                                <w:bCs/>
                                <w:szCs w:val="20"/>
                              </w:rPr>
                              <w:t xml:space="preserve">Integrated </w:t>
                            </w:r>
                            <w:r>
                              <w:rPr>
                                <w:rFonts w:cs="Arial"/>
                                <w:bCs/>
                                <w:szCs w:val="20"/>
                              </w:rPr>
                              <w:t>M</w:t>
                            </w:r>
                            <w:r w:rsidRPr="00100BB9">
                              <w:rPr>
                                <w:rFonts w:cs="Arial"/>
                                <w:bCs/>
                                <w:szCs w:val="20"/>
                              </w:rPr>
                              <w:t xml:space="preserve">anagement of </w:t>
                            </w:r>
                            <w:r>
                              <w:rPr>
                                <w:rFonts w:cs="Arial"/>
                                <w:bCs/>
                                <w:szCs w:val="20"/>
                              </w:rPr>
                              <w:t>T</w:t>
                            </w:r>
                            <w:r w:rsidRPr="00100BB9">
                              <w:rPr>
                                <w:rFonts w:cs="Arial"/>
                                <w:bCs/>
                                <w:szCs w:val="20"/>
                              </w:rPr>
                              <w:t xml:space="preserve">ransmission </w:t>
                            </w:r>
                            <w:r>
                              <w:rPr>
                                <w:rFonts w:cs="Arial"/>
                                <w:bCs/>
                                <w:szCs w:val="20"/>
                              </w:rPr>
                              <w:t>C</w:t>
                            </w:r>
                            <w:r w:rsidRPr="00100BB9">
                              <w:rPr>
                                <w:rFonts w:cs="Arial"/>
                                <w:bCs/>
                                <w:szCs w:val="20"/>
                              </w:rPr>
                              <w:t xml:space="preserve">apacity </w:t>
                            </w:r>
                          </w:p>
                          <w:p w14:paraId="47E91B61" w14:textId="3EDE865B"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Available transmission capacities on the interconnections between the areas </w:t>
                            </w:r>
                            <w:r>
                              <w:rPr>
                                <w:rFonts w:ascii="Arial" w:hAnsi="Arial" w:cs="Arial"/>
                                <w:bCs/>
                                <w:sz w:val="20"/>
                                <w:szCs w:val="20"/>
                                <w:lang w:val="en-GB"/>
                              </w:rPr>
                              <w:t>will be</w:t>
                            </w:r>
                            <w:r w:rsidRPr="00100BB9">
                              <w:rPr>
                                <w:rFonts w:ascii="Arial" w:hAnsi="Arial" w:cs="Arial"/>
                                <w:bCs/>
                                <w:sz w:val="20"/>
                                <w:szCs w:val="20"/>
                                <w:lang w:val="en-GB"/>
                              </w:rPr>
                              <w:t xml:space="preserve"> given to the markets by the responsible </w:t>
                            </w:r>
                            <w:r>
                              <w:rPr>
                                <w:rFonts w:ascii="Arial" w:hAnsi="Arial" w:cs="Arial"/>
                                <w:bCs/>
                                <w:sz w:val="20"/>
                                <w:szCs w:val="20"/>
                                <w:lang w:val="en-GB"/>
                              </w:rPr>
                              <w:t xml:space="preserve">national </w:t>
                            </w:r>
                            <w:r w:rsidRPr="00100BB9">
                              <w:rPr>
                                <w:rFonts w:ascii="Arial" w:hAnsi="Arial" w:cs="Arial"/>
                                <w:bCs/>
                                <w:sz w:val="20"/>
                                <w:szCs w:val="20"/>
                                <w:lang w:val="en-GB"/>
                              </w:rPr>
                              <w:t>TSOs and submitted to P</w:t>
                            </w:r>
                            <w:r>
                              <w:rPr>
                                <w:rFonts w:ascii="Arial" w:hAnsi="Arial" w:cs="Arial"/>
                                <w:bCs/>
                                <w:sz w:val="20"/>
                                <w:szCs w:val="20"/>
                                <w:lang w:val="en-GB"/>
                              </w:rPr>
                              <w:t xml:space="preserve">ower </w:t>
                            </w:r>
                            <w:r w:rsidRPr="00100BB9">
                              <w:rPr>
                                <w:rFonts w:ascii="Arial" w:hAnsi="Arial" w:cs="Arial"/>
                                <w:bCs/>
                                <w:sz w:val="20"/>
                                <w:szCs w:val="20"/>
                                <w:lang w:val="en-GB"/>
                              </w:rPr>
                              <w:t>P</w:t>
                            </w:r>
                            <w:r>
                              <w:rPr>
                                <w:rFonts w:ascii="Arial" w:hAnsi="Arial" w:cs="Arial"/>
                                <w:bCs/>
                                <w:sz w:val="20"/>
                                <w:szCs w:val="20"/>
                                <w:lang w:val="en-GB"/>
                              </w:rPr>
                              <w:t>ool</w:t>
                            </w:r>
                            <w:r w:rsidRPr="00100BB9">
                              <w:rPr>
                                <w:rFonts w:ascii="Arial" w:hAnsi="Arial" w:cs="Arial"/>
                                <w:bCs/>
                                <w:sz w:val="20"/>
                                <w:szCs w:val="20"/>
                                <w:lang w:val="en-GB"/>
                              </w:rPr>
                              <w:t xml:space="preserve">. Based on the </w:t>
                            </w:r>
                            <w:r>
                              <w:rPr>
                                <w:rFonts w:ascii="Arial" w:hAnsi="Arial" w:cs="Arial"/>
                                <w:bCs/>
                                <w:sz w:val="20"/>
                                <w:szCs w:val="20"/>
                                <w:lang w:val="en-GB"/>
                              </w:rPr>
                              <w:t xml:space="preserve">market </w:t>
                            </w:r>
                            <w:r w:rsidRPr="00100BB9">
                              <w:rPr>
                                <w:rFonts w:ascii="Arial" w:hAnsi="Arial" w:cs="Arial"/>
                                <w:bCs/>
                                <w:sz w:val="20"/>
                                <w:szCs w:val="20"/>
                                <w:lang w:val="en-GB"/>
                              </w:rPr>
                              <w:t xml:space="preserve">participants’ portfolio orders and the available transmission capacities, the market </w:t>
                            </w:r>
                            <w:r>
                              <w:rPr>
                                <w:rFonts w:ascii="Arial" w:hAnsi="Arial" w:cs="Arial"/>
                                <w:bCs/>
                                <w:sz w:val="20"/>
                                <w:szCs w:val="20"/>
                                <w:lang w:val="en-GB"/>
                              </w:rPr>
                              <w:t>c</w:t>
                            </w:r>
                            <w:r w:rsidRPr="00100BB9">
                              <w:rPr>
                                <w:rFonts w:ascii="Arial" w:hAnsi="Arial" w:cs="Arial"/>
                                <w:bCs/>
                                <w:sz w:val="20"/>
                                <w:szCs w:val="20"/>
                                <w:lang w:val="en-GB"/>
                              </w:rPr>
                              <w:t xml:space="preserve">learing </w:t>
                            </w:r>
                            <w:r>
                              <w:rPr>
                                <w:rFonts w:ascii="Arial" w:hAnsi="Arial" w:cs="Arial"/>
                                <w:bCs/>
                                <w:sz w:val="20"/>
                                <w:szCs w:val="20"/>
                                <w:lang w:val="en-GB"/>
                              </w:rPr>
                              <w:t>e</w:t>
                            </w:r>
                            <w:r w:rsidRPr="00100BB9">
                              <w:rPr>
                                <w:rFonts w:ascii="Arial" w:hAnsi="Arial" w:cs="Arial"/>
                                <w:bCs/>
                                <w:sz w:val="20"/>
                                <w:szCs w:val="20"/>
                                <w:lang w:val="en-GB"/>
                              </w:rPr>
                              <w:t xml:space="preserve">ngine </w:t>
                            </w:r>
                            <w:r>
                              <w:rPr>
                                <w:rFonts w:ascii="Arial" w:hAnsi="Arial" w:cs="Arial"/>
                                <w:bCs/>
                                <w:sz w:val="20"/>
                                <w:szCs w:val="20"/>
                                <w:lang w:val="en-GB"/>
                              </w:rPr>
                              <w:t xml:space="preserve">will </w:t>
                            </w:r>
                            <w:r w:rsidRPr="00100BB9">
                              <w:rPr>
                                <w:rFonts w:ascii="Arial" w:hAnsi="Arial" w:cs="Arial"/>
                                <w:bCs/>
                                <w:sz w:val="20"/>
                                <w:szCs w:val="20"/>
                                <w:lang w:val="en-GB"/>
                              </w:rPr>
                              <w:t xml:space="preserve">calculate if there is congestion in the grid, or if demand for trade of </w:t>
                            </w:r>
                            <w:r>
                              <w:rPr>
                                <w:rFonts w:ascii="Arial" w:hAnsi="Arial" w:cs="Arial"/>
                                <w:bCs/>
                                <w:sz w:val="20"/>
                                <w:szCs w:val="20"/>
                                <w:lang w:val="en-GB"/>
                              </w:rPr>
                              <w:t>electricity</w:t>
                            </w:r>
                            <w:r w:rsidRPr="00100BB9">
                              <w:rPr>
                                <w:rFonts w:ascii="Arial" w:hAnsi="Arial" w:cs="Arial"/>
                                <w:bCs/>
                                <w:sz w:val="20"/>
                                <w:szCs w:val="20"/>
                                <w:lang w:val="en-GB"/>
                              </w:rPr>
                              <w:t xml:space="preserve"> between areas is fulfilled with the available transmission capacity.</w:t>
                            </w:r>
                            <w:r>
                              <w:rPr>
                                <w:rFonts w:ascii="Arial" w:hAnsi="Arial" w:cs="Arial"/>
                                <w:bCs/>
                                <w:sz w:val="20"/>
                                <w:szCs w:val="20"/>
                                <w:lang w:val="en-GB"/>
                              </w:rPr>
                              <w:t xml:space="preserve"> </w:t>
                            </w:r>
                          </w:p>
                          <w:p w14:paraId="6F3464C7" w14:textId="5A0C535A"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national TSOs will be responsible for transmission capacity per hour between the areas in both directions. The values will be entered using the market trading platform and data will be automatically stored in the market trading platform’s database. Available transmission capacity on all interconnections in a meshed grid will be open market information and required information which market participant needs before concluding the bidding process. </w:t>
                            </w:r>
                          </w:p>
                          <w:p w14:paraId="5388D826" w14:textId="4FABE504"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national TSOs will enter </w:t>
                            </w:r>
                            <w:r>
                              <w:rPr>
                                <w:rFonts w:ascii="Arial" w:hAnsi="Arial" w:cs="Arial"/>
                                <w:bCs/>
                                <w:sz w:val="20"/>
                                <w:szCs w:val="20"/>
                                <w:lang w:val="en-GB"/>
                              </w:rPr>
                              <w:t xml:space="preserve">available </w:t>
                            </w:r>
                            <w:r w:rsidRPr="00100BB9">
                              <w:rPr>
                                <w:rFonts w:ascii="Arial" w:hAnsi="Arial" w:cs="Arial"/>
                                <w:bCs/>
                                <w:sz w:val="20"/>
                                <w:szCs w:val="20"/>
                                <w:lang w:val="en-GB"/>
                              </w:rPr>
                              <w:t xml:space="preserve">transmission capacities for the Forward Physical Market and trading in the yearly, quarterly, monthly, and weekly products. After nomination of bilateral contracts, the system module in the market trading platform will calculate the transmission capacity available for the Day-Ahead Market. The Intraday Market system module will calculate for all interconnections, hour by hour for the next trading period, the rest of transmission capacity that will be available for the Intraday Market trade. </w:t>
                            </w:r>
                          </w:p>
                          <w:p w14:paraId="3D901405" w14:textId="02CFECB4"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w:t>
                            </w:r>
                            <w:r>
                              <w:rPr>
                                <w:rFonts w:ascii="Arial" w:hAnsi="Arial" w:cs="Arial"/>
                                <w:bCs/>
                                <w:sz w:val="20"/>
                                <w:szCs w:val="20"/>
                                <w:lang w:val="en-GB"/>
                              </w:rPr>
                              <w:t xml:space="preserve">national </w:t>
                            </w:r>
                            <w:r w:rsidRPr="00100BB9">
                              <w:rPr>
                                <w:rFonts w:ascii="Arial" w:hAnsi="Arial" w:cs="Arial"/>
                                <w:bCs/>
                                <w:sz w:val="20"/>
                                <w:szCs w:val="20"/>
                                <w:lang w:val="en-GB"/>
                              </w:rPr>
                              <w:t>TSO</w:t>
                            </w:r>
                            <w:r>
                              <w:rPr>
                                <w:rFonts w:ascii="Arial" w:hAnsi="Arial" w:cs="Arial"/>
                                <w:bCs/>
                                <w:sz w:val="20"/>
                                <w:szCs w:val="20"/>
                                <w:lang w:val="en-GB"/>
                              </w:rPr>
                              <w:t>s</w:t>
                            </w:r>
                            <w:r w:rsidRPr="00100BB9">
                              <w:rPr>
                                <w:rFonts w:ascii="Arial" w:hAnsi="Arial" w:cs="Arial"/>
                                <w:bCs/>
                                <w:sz w:val="20"/>
                                <w:szCs w:val="20"/>
                                <w:lang w:val="en-GB"/>
                              </w:rPr>
                              <w:t xml:space="preserve"> responsible for the interconnections </w:t>
                            </w:r>
                            <w:r>
                              <w:rPr>
                                <w:rFonts w:ascii="Arial" w:hAnsi="Arial" w:cs="Arial"/>
                                <w:bCs/>
                                <w:sz w:val="20"/>
                                <w:szCs w:val="20"/>
                                <w:lang w:val="en-GB"/>
                              </w:rPr>
                              <w:t>will be allowed</w:t>
                            </w:r>
                            <w:r w:rsidRPr="00100BB9">
                              <w:rPr>
                                <w:rFonts w:ascii="Arial" w:hAnsi="Arial" w:cs="Arial"/>
                                <w:bCs/>
                                <w:sz w:val="20"/>
                                <w:szCs w:val="20"/>
                                <w:lang w:val="en-GB"/>
                              </w:rPr>
                              <w:t xml:space="preserve">, for every hourly shift, </w:t>
                            </w:r>
                            <w:r>
                              <w:rPr>
                                <w:rFonts w:ascii="Arial" w:hAnsi="Arial" w:cs="Arial"/>
                                <w:bCs/>
                                <w:sz w:val="20"/>
                                <w:szCs w:val="20"/>
                                <w:lang w:val="en-GB"/>
                              </w:rPr>
                              <w:t xml:space="preserve">to </w:t>
                            </w:r>
                            <w:r w:rsidRPr="00100BB9">
                              <w:rPr>
                                <w:rFonts w:ascii="Arial" w:hAnsi="Arial" w:cs="Arial"/>
                                <w:bCs/>
                                <w:sz w:val="20"/>
                                <w:szCs w:val="20"/>
                                <w:lang w:val="en-GB"/>
                              </w:rPr>
                              <w:t xml:space="preserve">use a </w:t>
                            </w:r>
                            <w:r>
                              <w:rPr>
                                <w:rFonts w:ascii="Arial" w:hAnsi="Arial" w:cs="Arial"/>
                                <w:bCs/>
                                <w:sz w:val="20"/>
                                <w:szCs w:val="20"/>
                                <w:lang w:val="en-GB"/>
                              </w:rPr>
                              <w:t>market trading platform</w:t>
                            </w:r>
                            <w:r w:rsidRPr="00100BB9">
                              <w:rPr>
                                <w:rFonts w:ascii="Arial" w:hAnsi="Arial" w:cs="Arial"/>
                                <w:bCs/>
                                <w:sz w:val="20"/>
                                <w:szCs w:val="20"/>
                                <w:lang w:val="en-GB"/>
                              </w:rPr>
                              <w:t xml:space="preserve"> system function to release more or revoke available transmission capacity for each interconnection at any time. ATC set to zero on an interconnection will stop trading between the areas.</w:t>
                            </w:r>
                            <w:r>
                              <w:rPr>
                                <w:rFonts w:ascii="Arial" w:hAnsi="Arial" w:cs="Arial"/>
                                <w:bCs/>
                                <w:sz w:val="20"/>
                                <w:szCs w:val="20"/>
                                <w:lang w:val="en-GB"/>
                              </w:rPr>
                              <w:t xml:space="preserve"> </w:t>
                            </w:r>
                          </w:p>
                          <w:p w14:paraId="7DB86DBC" w14:textId="7B6C2450"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The I</w:t>
                            </w:r>
                            <w:r>
                              <w:rPr>
                                <w:rFonts w:ascii="Arial" w:hAnsi="Arial" w:cs="Arial"/>
                                <w:bCs/>
                                <w:sz w:val="20"/>
                                <w:szCs w:val="20"/>
                                <w:lang w:val="en-GB"/>
                              </w:rPr>
                              <w:t xml:space="preserve">ntraday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system module will, in real-time, re-calculate available transmission capacity based on the matched orders. New values for </w:t>
                            </w:r>
                            <w:r>
                              <w:rPr>
                                <w:rFonts w:ascii="Arial" w:hAnsi="Arial" w:cs="Arial"/>
                                <w:bCs/>
                                <w:sz w:val="20"/>
                                <w:szCs w:val="20"/>
                                <w:lang w:val="en-GB"/>
                              </w:rPr>
                              <w:t>available transmission capacity</w:t>
                            </w:r>
                            <w:r w:rsidRPr="00100BB9">
                              <w:rPr>
                                <w:rFonts w:ascii="Arial" w:hAnsi="Arial" w:cs="Arial"/>
                                <w:bCs/>
                                <w:sz w:val="20"/>
                                <w:szCs w:val="20"/>
                                <w:lang w:val="en-GB"/>
                              </w:rPr>
                              <w:t xml:space="preserve"> will be made available to all users logged on </w:t>
                            </w:r>
                            <w:r>
                              <w:rPr>
                                <w:rFonts w:ascii="Arial" w:hAnsi="Arial" w:cs="Arial"/>
                                <w:bCs/>
                                <w:sz w:val="20"/>
                                <w:szCs w:val="20"/>
                                <w:lang w:val="en-GB"/>
                              </w:rPr>
                              <w:t xml:space="preserve">the </w:t>
                            </w:r>
                            <w:r w:rsidRPr="00100BB9">
                              <w:rPr>
                                <w:rFonts w:ascii="Arial" w:hAnsi="Arial" w:cs="Arial"/>
                                <w:bCs/>
                                <w:sz w:val="20"/>
                                <w:szCs w:val="20"/>
                                <w:lang w:val="en-GB"/>
                              </w:rPr>
                              <w:t>I</w:t>
                            </w:r>
                            <w:r>
                              <w:rPr>
                                <w:rFonts w:ascii="Arial" w:hAnsi="Arial" w:cs="Arial"/>
                                <w:bCs/>
                                <w:sz w:val="20"/>
                                <w:szCs w:val="20"/>
                                <w:lang w:val="en-GB"/>
                              </w:rPr>
                              <w:t xml:space="preserve">ntraday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system.</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167523" id="Text Box 54" o:spid="_x0000_s1046" type="#_x0000_t202" style="width:481.3pt;height:3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" fillcolor="#ebf1de" strokeweight=".5pt">
                <v:textbox>
                  <w:txbxContent>
                    <w:p w14:paraId="4D12A07D" w14:textId="115C00DA" w:rsidR="005276A4" w:rsidRPr="003D494F" w:rsidRDefault="005276A4" w:rsidP="00100BB9">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.7:</w:t>
                      </w:r>
                      <w:r w:rsidRPr="003D494F">
                        <w:rPr>
                          <w:rFonts w:cs="Arial"/>
                          <w:bCs/>
                          <w:szCs w:val="20"/>
                        </w:rPr>
                        <w:t xml:space="preserve"> </w:t>
                      </w:r>
                      <w:r>
                        <w:rPr>
                          <w:rFonts w:cs="Arial"/>
                          <w:bCs/>
                          <w:szCs w:val="20"/>
                        </w:rPr>
                        <w:t xml:space="preserve">Market Compatibility for Trading – </w:t>
                      </w:r>
                      <w:r w:rsidRPr="00100BB9">
                        <w:rPr>
                          <w:rFonts w:cs="Arial"/>
                          <w:bCs/>
                          <w:szCs w:val="20"/>
                        </w:rPr>
                        <w:t xml:space="preserve">Integrated </w:t>
                      </w:r>
                      <w:r>
                        <w:rPr>
                          <w:rFonts w:cs="Arial"/>
                          <w:bCs/>
                          <w:szCs w:val="20"/>
                        </w:rPr>
                        <w:t>M</w:t>
                      </w:r>
                      <w:r w:rsidRPr="00100BB9">
                        <w:rPr>
                          <w:rFonts w:cs="Arial"/>
                          <w:bCs/>
                          <w:szCs w:val="20"/>
                        </w:rPr>
                        <w:t xml:space="preserve">anagement of </w:t>
                      </w:r>
                      <w:r>
                        <w:rPr>
                          <w:rFonts w:cs="Arial"/>
                          <w:bCs/>
                          <w:szCs w:val="20"/>
                        </w:rPr>
                        <w:t>T</w:t>
                      </w:r>
                      <w:r w:rsidRPr="00100BB9">
                        <w:rPr>
                          <w:rFonts w:cs="Arial"/>
                          <w:bCs/>
                          <w:szCs w:val="20"/>
                        </w:rPr>
                        <w:t xml:space="preserve">ransmission </w:t>
                      </w:r>
                      <w:r>
                        <w:rPr>
                          <w:rFonts w:cs="Arial"/>
                          <w:bCs/>
                          <w:szCs w:val="20"/>
                        </w:rPr>
                        <w:t>C</w:t>
                      </w:r>
                      <w:r w:rsidRPr="00100BB9">
                        <w:rPr>
                          <w:rFonts w:cs="Arial"/>
                          <w:bCs/>
                          <w:szCs w:val="20"/>
                        </w:rPr>
                        <w:t xml:space="preserve">apacity </w:t>
                      </w:r>
                    </w:p>
                    <w:p w14:paraId="47E91B61" w14:textId="3EDE865B"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Available transmission capacities on the interconnections between the areas </w:t>
                      </w:r>
                      <w:r>
                        <w:rPr>
                          <w:rFonts w:ascii="Arial" w:hAnsi="Arial" w:cs="Arial"/>
                          <w:bCs/>
                          <w:sz w:val="20"/>
                          <w:szCs w:val="20"/>
                          <w:lang w:val="en-GB"/>
                        </w:rPr>
                        <w:t>will be</w:t>
                      </w:r>
                      <w:r w:rsidRPr="00100BB9">
                        <w:rPr>
                          <w:rFonts w:ascii="Arial" w:hAnsi="Arial" w:cs="Arial"/>
                          <w:bCs/>
                          <w:sz w:val="20"/>
                          <w:szCs w:val="20"/>
                          <w:lang w:val="en-GB"/>
                        </w:rPr>
                        <w:t xml:space="preserve"> given to the markets by the responsible </w:t>
                      </w:r>
                      <w:r>
                        <w:rPr>
                          <w:rFonts w:ascii="Arial" w:hAnsi="Arial" w:cs="Arial"/>
                          <w:bCs/>
                          <w:sz w:val="20"/>
                          <w:szCs w:val="20"/>
                          <w:lang w:val="en-GB"/>
                        </w:rPr>
                        <w:t xml:space="preserve">national </w:t>
                      </w:r>
                      <w:r w:rsidRPr="00100BB9">
                        <w:rPr>
                          <w:rFonts w:ascii="Arial" w:hAnsi="Arial" w:cs="Arial"/>
                          <w:bCs/>
                          <w:sz w:val="20"/>
                          <w:szCs w:val="20"/>
                          <w:lang w:val="en-GB"/>
                        </w:rPr>
                        <w:t>TSOs and submitted to P</w:t>
                      </w:r>
                      <w:r>
                        <w:rPr>
                          <w:rFonts w:ascii="Arial" w:hAnsi="Arial" w:cs="Arial"/>
                          <w:bCs/>
                          <w:sz w:val="20"/>
                          <w:szCs w:val="20"/>
                          <w:lang w:val="en-GB"/>
                        </w:rPr>
                        <w:t xml:space="preserve">ower </w:t>
                      </w:r>
                      <w:r w:rsidRPr="00100BB9">
                        <w:rPr>
                          <w:rFonts w:ascii="Arial" w:hAnsi="Arial" w:cs="Arial"/>
                          <w:bCs/>
                          <w:sz w:val="20"/>
                          <w:szCs w:val="20"/>
                          <w:lang w:val="en-GB"/>
                        </w:rPr>
                        <w:t>P</w:t>
                      </w:r>
                      <w:r>
                        <w:rPr>
                          <w:rFonts w:ascii="Arial" w:hAnsi="Arial" w:cs="Arial"/>
                          <w:bCs/>
                          <w:sz w:val="20"/>
                          <w:szCs w:val="20"/>
                          <w:lang w:val="en-GB"/>
                        </w:rPr>
                        <w:t>ool</w:t>
                      </w:r>
                      <w:r w:rsidRPr="00100BB9">
                        <w:rPr>
                          <w:rFonts w:ascii="Arial" w:hAnsi="Arial" w:cs="Arial"/>
                          <w:bCs/>
                          <w:sz w:val="20"/>
                          <w:szCs w:val="20"/>
                          <w:lang w:val="en-GB"/>
                        </w:rPr>
                        <w:t xml:space="preserve">. Based on the </w:t>
                      </w:r>
                      <w:r>
                        <w:rPr>
                          <w:rFonts w:ascii="Arial" w:hAnsi="Arial" w:cs="Arial"/>
                          <w:bCs/>
                          <w:sz w:val="20"/>
                          <w:szCs w:val="20"/>
                          <w:lang w:val="en-GB"/>
                        </w:rPr>
                        <w:t xml:space="preserve">market </w:t>
                      </w:r>
                      <w:r w:rsidRPr="00100BB9">
                        <w:rPr>
                          <w:rFonts w:ascii="Arial" w:hAnsi="Arial" w:cs="Arial"/>
                          <w:bCs/>
                          <w:sz w:val="20"/>
                          <w:szCs w:val="20"/>
                          <w:lang w:val="en-GB"/>
                        </w:rPr>
                        <w:t xml:space="preserve">participants’ portfolio orders and the available transmission capacities, the market </w:t>
                      </w:r>
                      <w:r>
                        <w:rPr>
                          <w:rFonts w:ascii="Arial" w:hAnsi="Arial" w:cs="Arial"/>
                          <w:bCs/>
                          <w:sz w:val="20"/>
                          <w:szCs w:val="20"/>
                          <w:lang w:val="en-GB"/>
                        </w:rPr>
                        <w:t>c</w:t>
                      </w:r>
                      <w:r w:rsidRPr="00100BB9">
                        <w:rPr>
                          <w:rFonts w:ascii="Arial" w:hAnsi="Arial" w:cs="Arial"/>
                          <w:bCs/>
                          <w:sz w:val="20"/>
                          <w:szCs w:val="20"/>
                          <w:lang w:val="en-GB"/>
                        </w:rPr>
                        <w:t xml:space="preserve">learing </w:t>
                      </w:r>
                      <w:r>
                        <w:rPr>
                          <w:rFonts w:ascii="Arial" w:hAnsi="Arial" w:cs="Arial"/>
                          <w:bCs/>
                          <w:sz w:val="20"/>
                          <w:szCs w:val="20"/>
                          <w:lang w:val="en-GB"/>
                        </w:rPr>
                        <w:t>e</w:t>
                      </w:r>
                      <w:r w:rsidRPr="00100BB9">
                        <w:rPr>
                          <w:rFonts w:ascii="Arial" w:hAnsi="Arial" w:cs="Arial"/>
                          <w:bCs/>
                          <w:sz w:val="20"/>
                          <w:szCs w:val="20"/>
                          <w:lang w:val="en-GB"/>
                        </w:rPr>
                        <w:t xml:space="preserve">ngine </w:t>
                      </w:r>
                      <w:r>
                        <w:rPr>
                          <w:rFonts w:ascii="Arial" w:hAnsi="Arial" w:cs="Arial"/>
                          <w:bCs/>
                          <w:sz w:val="20"/>
                          <w:szCs w:val="20"/>
                          <w:lang w:val="en-GB"/>
                        </w:rPr>
                        <w:t xml:space="preserve">will </w:t>
                      </w:r>
                      <w:r w:rsidRPr="00100BB9">
                        <w:rPr>
                          <w:rFonts w:ascii="Arial" w:hAnsi="Arial" w:cs="Arial"/>
                          <w:bCs/>
                          <w:sz w:val="20"/>
                          <w:szCs w:val="20"/>
                          <w:lang w:val="en-GB"/>
                        </w:rPr>
                        <w:t xml:space="preserve">calculate if there is congestion in the grid, or if demand for trade of </w:t>
                      </w:r>
                      <w:r>
                        <w:rPr>
                          <w:rFonts w:ascii="Arial" w:hAnsi="Arial" w:cs="Arial"/>
                          <w:bCs/>
                          <w:sz w:val="20"/>
                          <w:szCs w:val="20"/>
                          <w:lang w:val="en-GB"/>
                        </w:rPr>
                        <w:t>electricity</w:t>
                      </w:r>
                      <w:r w:rsidRPr="00100BB9">
                        <w:rPr>
                          <w:rFonts w:ascii="Arial" w:hAnsi="Arial" w:cs="Arial"/>
                          <w:bCs/>
                          <w:sz w:val="20"/>
                          <w:szCs w:val="20"/>
                          <w:lang w:val="en-GB"/>
                        </w:rPr>
                        <w:t xml:space="preserve"> between areas is fulfilled with the available transmission capacity.</w:t>
                      </w:r>
                      <w:r>
                        <w:rPr>
                          <w:rFonts w:ascii="Arial" w:hAnsi="Arial" w:cs="Arial"/>
                          <w:bCs/>
                          <w:sz w:val="20"/>
                          <w:szCs w:val="20"/>
                          <w:lang w:val="en-GB"/>
                        </w:rPr>
                        <w:t xml:space="preserve"> </w:t>
                      </w:r>
                    </w:p>
                    <w:p w14:paraId="6F3464C7" w14:textId="5A0C535A"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national TSOs will be responsible for transmission capacity per hour between the areas in both directions. The values will be entered using the market trading platform and data will be automatically stored in the market trading platform’s database. Available transmission capacity on all interconnections in a meshed grid will be open market information and required information which market participant needs before concluding the bidding process. </w:t>
                      </w:r>
                    </w:p>
                    <w:p w14:paraId="5388D826" w14:textId="4FABE504"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national TSOs will enter </w:t>
                      </w:r>
                      <w:r>
                        <w:rPr>
                          <w:rFonts w:ascii="Arial" w:hAnsi="Arial" w:cs="Arial"/>
                          <w:bCs/>
                          <w:sz w:val="20"/>
                          <w:szCs w:val="20"/>
                          <w:lang w:val="en-GB"/>
                        </w:rPr>
                        <w:t xml:space="preserve">available </w:t>
                      </w:r>
                      <w:r w:rsidRPr="00100BB9">
                        <w:rPr>
                          <w:rFonts w:ascii="Arial" w:hAnsi="Arial" w:cs="Arial"/>
                          <w:bCs/>
                          <w:sz w:val="20"/>
                          <w:szCs w:val="20"/>
                          <w:lang w:val="en-GB"/>
                        </w:rPr>
                        <w:t xml:space="preserve">transmission capacities for the Forward Physical Market and trading in the yearly, quarterly, monthly, and weekly products. After nomination of bilateral contracts, the system module in the market trading platform will calculate the transmission capacity available for the Day-Ahead Market. The Intraday Market system module will calculate for all interconnections, hour by hour for the next trading period, the rest of transmission capacity that will be available for the Intraday Market trade. </w:t>
                      </w:r>
                    </w:p>
                    <w:p w14:paraId="3D901405" w14:textId="02CFECB4"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 xml:space="preserve">The </w:t>
                      </w:r>
                      <w:r>
                        <w:rPr>
                          <w:rFonts w:ascii="Arial" w:hAnsi="Arial" w:cs="Arial"/>
                          <w:bCs/>
                          <w:sz w:val="20"/>
                          <w:szCs w:val="20"/>
                          <w:lang w:val="en-GB"/>
                        </w:rPr>
                        <w:t xml:space="preserve">national </w:t>
                      </w:r>
                      <w:r w:rsidRPr="00100BB9">
                        <w:rPr>
                          <w:rFonts w:ascii="Arial" w:hAnsi="Arial" w:cs="Arial"/>
                          <w:bCs/>
                          <w:sz w:val="20"/>
                          <w:szCs w:val="20"/>
                          <w:lang w:val="en-GB"/>
                        </w:rPr>
                        <w:t>TSO</w:t>
                      </w:r>
                      <w:r>
                        <w:rPr>
                          <w:rFonts w:ascii="Arial" w:hAnsi="Arial" w:cs="Arial"/>
                          <w:bCs/>
                          <w:sz w:val="20"/>
                          <w:szCs w:val="20"/>
                          <w:lang w:val="en-GB"/>
                        </w:rPr>
                        <w:t>s</w:t>
                      </w:r>
                      <w:r w:rsidRPr="00100BB9">
                        <w:rPr>
                          <w:rFonts w:ascii="Arial" w:hAnsi="Arial" w:cs="Arial"/>
                          <w:bCs/>
                          <w:sz w:val="20"/>
                          <w:szCs w:val="20"/>
                          <w:lang w:val="en-GB"/>
                        </w:rPr>
                        <w:t xml:space="preserve"> responsible for the interconnections </w:t>
                      </w:r>
                      <w:r>
                        <w:rPr>
                          <w:rFonts w:ascii="Arial" w:hAnsi="Arial" w:cs="Arial"/>
                          <w:bCs/>
                          <w:sz w:val="20"/>
                          <w:szCs w:val="20"/>
                          <w:lang w:val="en-GB"/>
                        </w:rPr>
                        <w:t>will be allowed</w:t>
                      </w:r>
                      <w:r w:rsidRPr="00100BB9">
                        <w:rPr>
                          <w:rFonts w:ascii="Arial" w:hAnsi="Arial" w:cs="Arial"/>
                          <w:bCs/>
                          <w:sz w:val="20"/>
                          <w:szCs w:val="20"/>
                          <w:lang w:val="en-GB"/>
                        </w:rPr>
                        <w:t xml:space="preserve">, for every hourly shift, </w:t>
                      </w:r>
                      <w:r>
                        <w:rPr>
                          <w:rFonts w:ascii="Arial" w:hAnsi="Arial" w:cs="Arial"/>
                          <w:bCs/>
                          <w:sz w:val="20"/>
                          <w:szCs w:val="20"/>
                          <w:lang w:val="en-GB"/>
                        </w:rPr>
                        <w:t xml:space="preserve">to </w:t>
                      </w:r>
                      <w:r w:rsidRPr="00100BB9">
                        <w:rPr>
                          <w:rFonts w:ascii="Arial" w:hAnsi="Arial" w:cs="Arial"/>
                          <w:bCs/>
                          <w:sz w:val="20"/>
                          <w:szCs w:val="20"/>
                          <w:lang w:val="en-GB"/>
                        </w:rPr>
                        <w:t xml:space="preserve">use a </w:t>
                      </w:r>
                      <w:r>
                        <w:rPr>
                          <w:rFonts w:ascii="Arial" w:hAnsi="Arial" w:cs="Arial"/>
                          <w:bCs/>
                          <w:sz w:val="20"/>
                          <w:szCs w:val="20"/>
                          <w:lang w:val="en-GB"/>
                        </w:rPr>
                        <w:t>market trading platform</w:t>
                      </w:r>
                      <w:r w:rsidRPr="00100BB9">
                        <w:rPr>
                          <w:rFonts w:ascii="Arial" w:hAnsi="Arial" w:cs="Arial"/>
                          <w:bCs/>
                          <w:sz w:val="20"/>
                          <w:szCs w:val="20"/>
                          <w:lang w:val="en-GB"/>
                        </w:rPr>
                        <w:t xml:space="preserve"> system function to release more or revoke available transmission capacity for each interconnection at any time. ATC set to zero on an interconnection will stop trading between the areas.</w:t>
                      </w:r>
                      <w:r>
                        <w:rPr>
                          <w:rFonts w:ascii="Arial" w:hAnsi="Arial" w:cs="Arial"/>
                          <w:bCs/>
                          <w:sz w:val="20"/>
                          <w:szCs w:val="20"/>
                          <w:lang w:val="en-GB"/>
                        </w:rPr>
                        <w:t xml:space="preserve"> </w:t>
                      </w:r>
                    </w:p>
                    <w:p w14:paraId="7DB86DBC" w14:textId="7B6C2450" w:rsidR="005276A4" w:rsidRPr="00100BB9"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00BB9">
                        <w:rPr>
                          <w:rFonts w:ascii="Arial" w:hAnsi="Arial" w:cs="Arial"/>
                          <w:bCs/>
                          <w:sz w:val="20"/>
                          <w:szCs w:val="20"/>
                          <w:lang w:val="en-GB"/>
                        </w:rPr>
                        <w:t>The I</w:t>
                      </w:r>
                      <w:r>
                        <w:rPr>
                          <w:rFonts w:ascii="Arial" w:hAnsi="Arial" w:cs="Arial"/>
                          <w:bCs/>
                          <w:sz w:val="20"/>
                          <w:szCs w:val="20"/>
                          <w:lang w:val="en-GB"/>
                        </w:rPr>
                        <w:t xml:space="preserve">ntraday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system module will, in real-time, re-calculate available transmission capacity based on the matched orders. New values for </w:t>
                      </w:r>
                      <w:r>
                        <w:rPr>
                          <w:rFonts w:ascii="Arial" w:hAnsi="Arial" w:cs="Arial"/>
                          <w:bCs/>
                          <w:sz w:val="20"/>
                          <w:szCs w:val="20"/>
                          <w:lang w:val="en-GB"/>
                        </w:rPr>
                        <w:t>available transmission capacity</w:t>
                      </w:r>
                      <w:r w:rsidRPr="00100BB9">
                        <w:rPr>
                          <w:rFonts w:ascii="Arial" w:hAnsi="Arial" w:cs="Arial"/>
                          <w:bCs/>
                          <w:sz w:val="20"/>
                          <w:szCs w:val="20"/>
                          <w:lang w:val="en-GB"/>
                        </w:rPr>
                        <w:t xml:space="preserve"> will be made available to all users logged on </w:t>
                      </w:r>
                      <w:r>
                        <w:rPr>
                          <w:rFonts w:ascii="Arial" w:hAnsi="Arial" w:cs="Arial"/>
                          <w:bCs/>
                          <w:sz w:val="20"/>
                          <w:szCs w:val="20"/>
                          <w:lang w:val="en-GB"/>
                        </w:rPr>
                        <w:t xml:space="preserve">the </w:t>
                      </w:r>
                      <w:r w:rsidRPr="00100BB9">
                        <w:rPr>
                          <w:rFonts w:ascii="Arial" w:hAnsi="Arial" w:cs="Arial"/>
                          <w:bCs/>
                          <w:sz w:val="20"/>
                          <w:szCs w:val="20"/>
                          <w:lang w:val="en-GB"/>
                        </w:rPr>
                        <w:t>I</w:t>
                      </w:r>
                      <w:r>
                        <w:rPr>
                          <w:rFonts w:ascii="Arial" w:hAnsi="Arial" w:cs="Arial"/>
                          <w:bCs/>
                          <w:sz w:val="20"/>
                          <w:szCs w:val="20"/>
                          <w:lang w:val="en-GB"/>
                        </w:rPr>
                        <w:t xml:space="preserve">ntraday </w:t>
                      </w:r>
                      <w:r w:rsidRPr="00100BB9">
                        <w:rPr>
                          <w:rFonts w:ascii="Arial" w:hAnsi="Arial" w:cs="Arial"/>
                          <w:bCs/>
                          <w:sz w:val="20"/>
                          <w:szCs w:val="20"/>
                          <w:lang w:val="en-GB"/>
                        </w:rPr>
                        <w:t>M</w:t>
                      </w:r>
                      <w:r>
                        <w:rPr>
                          <w:rFonts w:ascii="Arial" w:hAnsi="Arial" w:cs="Arial"/>
                          <w:bCs/>
                          <w:sz w:val="20"/>
                          <w:szCs w:val="20"/>
                          <w:lang w:val="en-GB"/>
                        </w:rPr>
                        <w:t>arket</w:t>
                      </w:r>
                      <w:r w:rsidRPr="00100BB9">
                        <w:rPr>
                          <w:rFonts w:ascii="Arial" w:hAnsi="Arial" w:cs="Arial"/>
                          <w:bCs/>
                          <w:sz w:val="20"/>
                          <w:szCs w:val="20"/>
                          <w:lang w:val="en-GB"/>
                        </w:rPr>
                        <w:t xml:space="preserve"> system.</w:t>
                      </w:r>
                      <w:r>
                        <w:rPr>
                          <w:rFonts w:ascii="Arial" w:hAnsi="Arial" w:cs="Arial"/>
                          <w:bCs/>
                          <w:sz w:val="20"/>
                          <w:szCs w:val="20"/>
                          <w:lang w:val="en-GB"/>
                        </w:rPr>
                        <w:t xml:space="preserve"> </w:t>
                      </w:r>
                    </w:p>
                  </w:txbxContent>
                </v:textbox>
                <w10:anchorlock/>
              </v:shape>
            </w:pict>
          </mc:Fallback>
        </mc:AlternateContent>
      </w:r>
    </w:p>
    <w:p w14:paraId="75436271" w14:textId="5B41DD67" w:rsidR="00DC1BE8" w:rsidRPr="00654753" w:rsidRDefault="00DC1BE8" w:rsidP="00483DE9">
      <w:pPr>
        <w:rPr>
          <w:rFonts w:eastAsia="Calibri"/>
          <w:szCs w:val="22"/>
        </w:rPr>
      </w:pPr>
      <w:r w:rsidRPr="006273BD">
        <w:rPr>
          <w:rFonts w:eastAsia="Calibri"/>
          <w:noProof/>
          <w:lang w:eastAsia="en-GB"/>
        </w:rPr>
        <mc:AlternateContent>
          <mc:Choice Requires="wps">
            <w:drawing>
              <wp:inline distT="0" distB="0" distL="0" distR="0" wp14:anchorId="41F068E5" wp14:editId="76EF408A">
                <wp:extent cx="6112800" cy="2392326"/>
                <wp:effectExtent l="0" t="0" r="21590" b="27305"/>
                <wp:docPr id="55" name="Text Box 55"/>
                <wp:cNvGraphicFramePr/>
                <a:graphic xmlns:a="http://schemas.openxmlformats.org/drawingml/2006/main">
                  <a:graphicData uri="http://schemas.microsoft.com/office/word/2010/wordprocessingShape">
                    <wps:wsp>
                      <wps:cNvSpPr txBox="1"/>
                      <wps:spPr>
                        <a:xfrm>
                          <a:off x="0" y="0"/>
                          <a:ext cx="6112800" cy="2392326"/>
                        </a:xfrm>
                        <a:prstGeom prst="rect">
                          <a:avLst/>
                        </a:prstGeom>
                        <a:solidFill>
                          <a:srgbClr val="9BBB59">
                            <a:lumMod val="20000"/>
                            <a:lumOff val="80000"/>
                          </a:srgbClr>
                        </a:solidFill>
                        <a:ln w="6350">
                          <a:solidFill>
                            <a:prstClr val="black"/>
                          </a:solidFill>
                        </a:ln>
                        <a:effectLst/>
                      </wps:spPr>
                      <wps:txbx>
                        <w:txbxContent>
                          <w:p w14:paraId="49D341FC" w14:textId="120652B8" w:rsidR="005276A4" w:rsidRPr="003D494F" w:rsidRDefault="005276A4" w:rsidP="00DC1BE8">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.8:</w:t>
                            </w:r>
                            <w:r w:rsidRPr="003D494F">
                              <w:rPr>
                                <w:rFonts w:cs="Arial"/>
                                <w:bCs/>
                                <w:szCs w:val="20"/>
                              </w:rPr>
                              <w:t xml:space="preserve"> </w:t>
                            </w:r>
                            <w:r>
                              <w:rPr>
                                <w:rFonts w:cs="Arial"/>
                                <w:bCs/>
                                <w:szCs w:val="20"/>
                              </w:rPr>
                              <w:t xml:space="preserve">Market Compatibility for Trading – </w:t>
                            </w:r>
                            <w:r w:rsidRPr="00DC1BE8">
                              <w:rPr>
                                <w:rFonts w:cs="Arial"/>
                                <w:bCs/>
                                <w:szCs w:val="20"/>
                              </w:rPr>
                              <w:t xml:space="preserve">Integrated </w:t>
                            </w:r>
                            <w:r>
                              <w:rPr>
                                <w:rFonts w:cs="Arial"/>
                                <w:bCs/>
                                <w:szCs w:val="20"/>
                              </w:rPr>
                              <w:t>F</w:t>
                            </w:r>
                            <w:r w:rsidRPr="00DC1BE8">
                              <w:rPr>
                                <w:rFonts w:cs="Arial"/>
                                <w:bCs/>
                                <w:szCs w:val="20"/>
                              </w:rPr>
                              <w:t xml:space="preserve">inancial </w:t>
                            </w:r>
                            <w:r>
                              <w:rPr>
                                <w:rFonts w:cs="Arial"/>
                                <w:bCs/>
                                <w:szCs w:val="20"/>
                              </w:rPr>
                              <w:t>S</w:t>
                            </w:r>
                            <w:r w:rsidRPr="00DC1BE8">
                              <w:rPr>
                                <w:rFonts w:cs="Arial"/>
                                <w:bCs/>
                                <w:szCs w:val="20"/>
                              </w:rPr>
                              <w:t>ettlement</w:t>
                            </w:r>
                            <w:r>
                              <w:rPr>
                                <w:rFonts w:cs="Arial"/>
                                <w:bCs/>
                                <w:szCs w:val="20"/>
                              </w:rPr>
                              <w:t xml:space="preserve"> and Other Services </w:t>
                            </w:r>
                          </w:p>
                          <w:p w14:paraId="45439892" w14:textId="4FD4EE11"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C1BE8">
                              <w:rPr>
                                <w:rFonts w:ascii="Arial" w:hAnsi="Arial" w:cs="Arial"/>
                                <w:bCs/>
                                <w:sz w:val="20"/>
                                <w:szCs w:val="20"/>
                                <w:lang w:val="en-GB"/>
                              </w:rPr>
                              <w:t xml:space="preserve">The financial settlement of the market trades </w:t>
                            </w:r>
                            <w:r>
                              <w:rPr>
                                <w:rFonts w:ascii="Arial" w:hAnsi="Arial" w:cs="Arial"/>
                                <w:bCs/>
                                <w:sz w:val="20"/>
                                <w:szCs w:val="20"/>
                                <w:lang w:val="en-GB"/>
                              </w:rPr>
                              <w:t>will be</w:t>
                            </w:r>
                            <w:r w:rsidRPr="00DC1BE8">
                              <w:rPr>
                                <w:rFonts w:ascii="Arial" w:hAnsi="Arial" w:cs="Arial"/>
                                <w:bCs/>
                                <w:sz w:val="20"/>
                                <w:szCs w:val="20"/>
                                <w:lang w:val="en-GB"/>
                              </w:rPr>
                              <w:t xml:space="preserve"> integrated in the </w:t>
                            </w:r>
                            <w:r>
                              <w:rPr>
                                <w:rFonts w:ascii="Arial" w:hAnsi="Arial" w:cs="Arial"/>
                                <w:bCs/>
                                <w:sz w:val="20"/>
                                <w:szCs w:val="20"/>
                                <w:lang w:val="en-GB"/>
                              </w:rPr>
                              <w:t>market trading platform</w:t>
                            </w:r>
                            <w:r w:rsidRPr="00DC1BE8">
                              <w:rPr>
                                <w:rFonts w:ascii="Arial" w:hAnsi="Arial" w:cs="Arial"/>
                                <w:bCs/>
                                <w:sz w:val="20"/>
                                <w:szCs w:val="20"/>
                                <w:lang w:val="en-GB"/>
                              </w:rPr>
                              <w:t>.</w:t>
                            </w:r>
                            <w:r>
                              <w:rPr>
                                <w:rFonts w:ascii="Arial" w:hAnsi="Arial" w:cs="Arial"/>
                                <w:bCs/>
                                <w:sz w:val="20"/>
                                <w:szCs w:val="20"/>
                                <w:lang w:val="en-GB"/>
                              </w:rPr>
                              <w:t xml:space="preserve"> </w:t>
                            </w:r>
                          </w:p>
                          <w:p w14:paraId="3A4875B9"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C1BE8">
                              <w:rPr>
                                <w:rFonts w:ascii="Arial" w:hAnsi="Arial" w:cs="Arial"/>
                                <w:bCs/>
                                <w:sz w:val="20"/>
                                <w:szCs w:val="20"/>
                                <w:lang w:val="en-GB"/>
                              </w:rPr>
                              <w:t>In addition to the organised markets as outlined above, P</w:t>
                            </w:r>
                            <w:r>
                              <w:rPr>
                                <w:rFonts w:ascii="Arial" w:hAnsi="Arial" w:cs="Arial"/>
                                <w:bCs/>
                                <w:sz w:val="20"/>
                                <w:szCs w:val="20"/>
                                <w:lang w:val="en-GB"/>
                              </w:rPr>
                              <w:t xml:space="preserve">ower </w:t>
                            </w:r>
                            <w:r w:rsidRPr="00DC1BE8">
                              <w:rPr>
                                <w:rFonts w:ascii="Arial" w:hAnsi="Arial" w:cs="Arial"/>
                                <w:bCs/>
                                <w:sz w:val="20"/>
                                <w:szCs w:val="20"/>
                                <w:lang w:val="en-GB"/>
                              </w:rPr>
                              <w:t>P</w:t>
                            </w:r>
                            <w:r>
                              <w:rPr>
                                <w:rFonts w:ascii="Arial" w:hAnsi="Arial" w:cs="Arial"/>
                                <w:bCs/>
                                <w:sz w:val="20"/>
                                <w:szCs w:val="20"/>
                                <w:lang w:val="en-GB"/>
                              </w:rPr>
                              <w:t>ool</w:t>
                            </w:r>
                            <w:r w:rsidRPr="00DC1BE8">
                              <w:rPr>
                                <w:rFonts w:ascii="Arial" w:hAnsi="Arial" w:cs="Arial"/>
                                <w:bCs/>
                                <w:sz w:val="20"/>
                                <w:szCs w:val="20"/>
                                <w:lang w:val="en-GB"/>
                              </w:rPr>
                              <w:t xml:space="preserve"> </w:t>
                            </w:r>
                            <w:r>
                              <w:rPr>
                                <w:rFonts w:ascii="Arial" w:hAnsi="Arial" w:cs="Arial"/>
                                <w:bCs/>
                                <w:sz w:val="20"/>
                                <w:szCs w:val="20"/>
                                <w:lang w:val="en-GB"/>
                              </w:rPr>
                              <w:t xml:space="preserve">will </w:t>
                            </w:r>
                            <w:r w:rsidRPr="00DC1BE8">
                              <w:rPr>
                                <w:rFonts w:ascii="Arial" w:hAnsi="Arial" w:cs="Arial"/>
                                <w:bCs/>
                                <w:sz w:val="20"/>
                                <w:szCs w:val="20"/>
                                <w:lang w:val="en-GB"/>
                              </w:rPr>
                              <w:t xml:space="preserve">also calculate and settle the following services: </w:t>
                            </w:r>
                          </w:p>
                          <w:p w14:paraId="70BDECC8" w14:textId="77777777"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DC1BE8">
                              <w:rPr>
                                <w:rFonts w:ascii="Arial" w:hAnsi="Arial" w:cs="Arial"/>
                                <w:bCs/>
                                <w:sz w:val="20"/>
                                <w:szCs w:val="20"/>
                                <w:lang w:val="en-GB"/>
                              </w:rPr>
                              <w:t xml:space="preserve">Settlement of Losses – collecting payments and distributing revenues for both market and bilateral trades; </w:t>
                            </w:r>
                          </w:p>
                          <w:p w14:paraId="201C3A27" w14:textId="4FEE62F3"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DC1BE8">
                              <w:rPr>
                                <w:rFonts w:ascii="Arial" w:hAnsi="Arial" w:cs="Arial"/>
                                <w:bCs/>
                                <w:sz w:val="20"/>
                                <w:szCs w:val="20"/>
                                <w:lang w:val="en-GB"/>
                              </w:rPr>
                              <w:t xml:space="preserve">Settlement of Wheeling </w:t>
                            </w:r>
                            <w:r>
                              <w:rPr>
                                <w:rFonts w:ascii="Arial" w:hAnsi="Arial" w:cs="Arial"/>
                                <w:bCs/>
                                <w:sz w:val="20"/>
                                <w:szCs w:val="20"/>
                                <w:lang w:val="en-GB"/>
                              </w:rPr>
                              <w:t>–</w:t>
                            </w:r>
                            <w:r w:rsidRPr="00DC1BE8">
                              <w:rPr>
                                <w:rFonts w:ascii="Arial" w:hAnsi="Arial" w:cs="Arial"/>
                                <w:bCs/>
                                <w:sz w:val="20"/>
                                <w:szCs w:val="20"/>
                                <w:lang w:val="en-GB"/>
                              </w:rPr>
                              <w:t xml:space="preserve"> collecting</w:t>
                            </w:r>
                            <w:r>
                              <w:rPr>
                                <w:rFonts w:ascii="Arial" w:hAnsi="Arial" w:cs="Arial"/>
                                <w:bCs/>
                                <w:sz w:val="20"/>
                                <w:szCs w:val="20"/>
                                <w:lang w:val="en-GB"/>
                              </w:rPr>
                              <w:t xml:space="preserve"> </w:t>
                            </w:r>
                            <w:r w:rsidRPr="00DC1BE8">
                              <w:rPr>
                                <w:rFonts w:ascii="Arial" w:hAnsi="Arial" w:cs="Arial"/>
                                <w:bCs/>
                                <w:sz w:val="20"/>
                                <w:szCs w:val="20"/>
                                <w:lang w:val="en-GB"/>
                              </w:rPr>
                              <w:t xml:space="preserve">payments and distributing revenues for both market and bilateral trades; </w:t>
                            </w:r>
                            <w:r>
                              <w:rPr>
                                <w:rFonts w:ascii="Arial" w:hAnsi="Arial" w:cs="Arial"/>
                                <w:bCs/>
                                <w:sz w:val="20"/>
                                <w:szCs w:val="20"/>
                                <w:lang w:val="en-GB"/>
                              </w:rPr>
                              <w:t xml:space="preserve">and </w:t>
                            </w:r>
                          </w:p>
                          <w:p w14:paraId="36BDE289" w14:textId="0756E77C" w:rsidR="005276A4" w:rsidRPr="00DC1BE8"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DC1BE8">
                              <w:rPr>
                                <w:rFonts w:ascii="Arial" w:hAnsi="Arial" w:cs="Arial"/>
                                <w:bCs/>
                                <w:sz w:val="20"/>
                                <w:szCs w:val="20"/>
                                <w:lang w:val="en-GB"/>
                              </w:rPr>
                              <w:t>Energy Imbalance calculation and settlement.</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F068E5" id="Text Box 55" o:spid="_x0000_s1047" type="#_x0000_t202" style="width:481.3pt;height:18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" fillcolor="#ebf1de" strokeweight=".5pt">
                <v:textbox>
                  <w:txbxContent>
                    <w:p w14:paraId="49D341FC" w14:textId="120652B8" w:rsidR="005276A4" w:rsidRPr="003D494F" w:rsidRDefault="005276A4" w:rsidP="00DC1BE8">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.8:</w:t>
                      </w:r>
                      <w:r w:rsidRPr="003D494F">
                        <w:rPr>
                          <w:rFonts w:cs="Arial"/>
                          <w:bCs/>
                          <w:szCs w:val="20"/>
                        </w:rPr>
                        <w:t xml:space="preserve"> </w:t>
                      </w:r>
                      <w:r>
                        <w:rPr>
                          <w:rFonts w:cs="Arial"/>
                          <w:bCs/>
                          <w:szCs w:val="20"/>
                        </w:rPr>
                        <w:t xml:space="preserve">Market Compatibility for Trading – </w:t>
                      </w:r>
                      <w:r w:rsidRPr="00DC1BE8">
                        <w:rPr>
                          <w:rFonts w:cs="Arial"/>
                          <w:bCs/>
                          <w:szCs w:val="20"/>
                        </w:rPr>
                        <w:t xml:space="preserve">Integrated </w:t>
                      </w:r>
                      <w:r>
                        <w:rPr>
                          <w:rFonts w:cs="Arial"/>
                          <w:bCs/>
                          <w:szCs w:val="20"/>
                        </w:rPr>
                        <w:t>F</w:t>
                      </w:r>
                      <w:r w:rsidRPr="00DC1BE8">
                        <w:rPr>
                          <w:rFonts w:cs="Arial"/>
                          <w:bCs/>
                          <w:szCs w:val="20"/>
                        </w:rPr>
                        <w:t xml:space="preserve">inancial </w:t>
                      </w:r>
                      <w:r>
                        <w:rPr>
                          <w:rFonts w:cs="Arial"/>
                          <w:bCs/>
                          <w:szCs w:val="20"/>
                        </w:rPr>
                        <w:t>S</w:t>
                      </w:r>
                      <w:r w:rsidRPr="00DC1BE8">
                        <w:rPr>
                          <w:rFonts w:cs="Arial"/>
                          <w:bCs/>
                          <w:szCs w:val="20"/>
                        </w:rPr>
                        <w:t>ettlement</w:t>
                      </w:r>
                      <w:r>
                        <w:rPr>
                          <w:rFonts w:cs="Arial"/>
                          <w:bCs/>
                          <w:szCs w:val="20"/>
                        </w:rPr>
                        <w:t xml:space="preserve"> and Other Services </w:t>
                      </w:r>
                    </w:p>
                    <w:p w14:paraId="45439892" w14:textId="4FD4EE11"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C1BE8">
                        <w:rPr>
                          <w:rFonts w:ascii="Arial" w:hAnsi="Arial" w:cs="Arial"/>
                          <w:bCs/>
                          <w:sz w:val="20"/>
                          <w:szCs w:val="20"/>
                          <w:lang w:val="en-GB"/>
                        </w:rPr>
                        <w:t xml:space="preserve">The financial settlement of the market trades </w:t>
                      </w:r>
                      <w:r>
                        <w:rPr>
                          <w:rFonts w:ascii="Arial" w:hAnsi="Arial" w:cs="Arial"/>
                          <w:bCs/>
                          <w:sz w:val="20"/>
                          <w:szCs w:val="20"/>
                          <w:lang w:val="en-GB"/>
                        </w:rPr>
                        <w:t>will be</w:t>
                      </w:r>
                      <w:r w:rsidRPr="00DC1BE8">
                        <w:rPr>
                          <w:rFonts w:ascii="Arial" w:hAnsi="Arial" w:cs="Arial"/>
                          <w:bCs/>
                          <w:sz w:val="20"/>
                          <w:szCs w:val="20"/>
                          <w:lang w:val="en-GB"/>
                        </w:rPr>
                        <w:t xml:space="preserve"> integrated in the </w:t>
                      </w:r>
                      <w:r>
                        <w:rPr>
                          <w:rFonts w:ascii="Arial" w:hAnsi="Arial" w:cs="Arial"/>
                          <w:bCs/>
                          <w:sz w:val="20"/>
                          <w:szCs w:val="20"/>
                          <w:lang w:val="en-GB"/>
                        </w:rPr>
                        <w:t>market trading platform</w:t>
                      </w:r>
                      <w:r w:rsidRPr="00DC1BE8">
                        <w:rPr>
                          <w:rFonts w:ascii="Arial" w:hAnsi="Arial" w:cs="Arial"/>
                          <w:bCs/>
                          <w:sz w:val="20"/>
                          <w:szCs w:val="20"/>
                          <w:lang w:val="en-GB"/>
                        </w:rPr>
                        <w:t>.</w:t>
                      </w:r>
                      <w:r>
                        <w:rPr>
                          <w:rFonts w:ascii="Arial" w:hAnsi="Arial" w:cs="Arial"/>
                          <w:bCs/>
                          <w:sz w:val="20"/>
                          <w:szCs w:val="20"/>
                          <w:lang w:val="en-GB"/>
                        </w:rPr>
                        <w:t xml:space="preserve"> </w:t>
                      </w:r>
                    </w:p>
                    <w:p w14:paraId="3A4875B9"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DC1BE8">
                        <w:rPr>
                          <w:rFonts w:ascii="Arial" w:hAnsi="Arial" w:cs="Arial"/>
                          <w:bCs/>
                          <w:sz w:val="20"/>
                          <w:szCs w:val="20"/>
                          <w:lang w:val="en-GB"/>
                        </w:rPr>
                        <w:t>In addition to the organised markets as outlined above, P</w:t>
                      </w:r>
                      <w:r>
                        <w:rPr>
                          <w:rFonts w:ascii="Arial" w:hAnsi="Arial" w:cs="Arial"/>
                          <w:bCs/>
                          <w:sz w:val="20"/>
                          <w:szCs w:val="20"/>
                          <w:lang w:val="en-GB"/>
                        </w:rPr>
                        <w:t xml:space="preserve">ower </w:t>
                      </w:r>
                      <w:r w:rsidRPr="00DC1BE8">
                        <w:rPr>
                          <w:rFonts w:ascii="Arial" w:hAnsi="Arial" w:cs="Arial"/>
                          <w:bCs/>
                          <w:sz w:val="20"/>
                          <w:szCs w:val="20"/>
                          <w:lang w:val="en-GB"/>
                        </w:rPr>
                        <w:t>P</w:t>
                      </w:r>
                      <w:r>
                        <w:rPr>
                          <w:rFonts w:ascii="Arial" w:hAnsi="Arial" w:cs="Arial"/>
                          <w:bCs/>
                          <w:sz w:val="20"/>
                          <w:szCs w:val="20"/>
                          <w:lang w:val="en-GB"/>
                        </w:rPr>
                        <w:t>ool</w:t>
                      </w:r>
                      <w:r w:rsidRPr="00DC1BE8">
                        <w:rPr>
                          <w:rFonts w:ascii="Arial" w:hAnsi="Arial" w:cs="Arial"/>
                          <w:bCs/>
                          <w:sz w:val="20"/>
                          <w:szCs w:val="20"/>
                          <w:lang w:val="en-GB"/>
                        </w:rPr>
                        <w:t xml:space="preserve"> </w:t>
                      </w:r>
                      <w:r>
                        <w:rPr>
                          <w:rFonts w:ascii="Arial" w:hAnsi="Arial" w:cs="Arial"/>
                          <w:bCs/>
                          <w:sz w:val="20"/>
                          <w:szCs w:val="20"/>
                          <w:lang w:val="en-GB"/>
                        </w:rPr>
                        <w:t xml:space="preserve">will </w:t>
                      </w:r>
                      <w:r w:rsidRPr="00DC1BE8">
                        <w:rPr>
                          <w:rFonts w:ascii="Arial" w:hAnsi="Arial" w:cs="Arial"/>
                          <w:bCs/>
                          <w:sz w:val="20"/>
                          <w:szCs w:val="20"/>
                          <w:lang w:val="en-GB"/>
                        </w:rPr>
                        <w:t xml:space="preserve">also calculate and settle the following services: </w:t>
                      </w:r>
                    </w:p>
                    <w:p w14:paraId="70BDECC8" w14:textId="77777777"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DC1BE8">
                        <w:rPr>
                          <w:rFonts w:ascii="Arial" w:hAnsi="Arial" w:cs="Arial"/>
                          <w:bCs/>
                          <w:sz w:val="20"/>
                          <w:szCs w:val="20"/>
                          <w:lang w:val="en-GB"/>
                        </w:rPr>
                        <w:t xml:space="preserve">Settlement of Losses – collecting payments and distributing revenues for both market and bilateral trades; </w:t>
                      </w:r>
                    </w:p>
                    <w:p w14:paraId="201C3A27" w14:textId="4FEE62F3"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DC1BE8">
                        <w:rPr>
                          <w:rFonts w:ascii="Arial" w:hAnsi="Arial" w:cs="Arial"/>
                          <w:bCs/>
                          <w:sz w:val="20"/>
                          <w:szCs w:val="20"/>
                          <w:lang w:val="en-GB"/>
                        </w:rPr>
                        <w:t xml:space="preserve">Settlement of Wheeling </w:t>
                      </w:r>
                      <w:r>
                        <w:rPr>
                          <w:rFonts w:ascii="Arial" w:hAnsi="Arial" w:cs="Arial"/>
                          <w:bCs/>
                          <w:sz w:val="20"/>
                          <w:szCs w:val="20"/>
                          <w:lang w:val="en-GB"/>
                        </w:rPr>
                        <w:t>–</w:t>
                      </w:r>
                      <w:r w:rsidRPr="00DC1BE8">
                        <w:rPr>
                          <w:rFonts w:ascii="Arial" w:hAnsi="Arial" w:cs="Arial"/>
                          <w:bCs/>
                          <w:sz w:val="20"/>
                          <w:szCs w:val="20"/>
                          <w:lang w:val="en-GB"/>
                        </w:rPr>
                        <w:t xml:space="preserve"> collecting</w:t>
                      </w:r>
                      <w:r>
                        <w:rPr>
                          <w:rFonts w:ascii="Arial" w:hAnsi="Arial" w:cs="Arial"/>
                          <w:bCs/>
                          <w:sz w:val="20"/>
                          <w:szCs w:val="20"/>
                          <w:lang w:val="en-GB"/>
                        </w:rPr>
                        <w:t xml:space="preserve"> </w:t>
                      </w:r>
                      <w:r w:rsidRPr="00DC1BE8">
                        <w:rPr>
                          <w:rFonts w:ascii="Arial" w:hAnsi="Arial" w:cs="Arial"/>
                          <w:bCs/>
                          <w:sz w:val="20"/>
                          <w:szCs w:val="20"/>
                          <w:lang w:val="en-GB"/>
                        </w:rPr>
                        <w:t xml:space="preserve">payments and distributing revenues for both market and bilateral trades; </w:t>
                      </w:r>
                      <w:r>
                        <w:rPr>
                          <w:rFonts w:ascii="Arial" w:hAnsi="Arial" w:cs="Arial"/>
                          <w:bCs/>
                          <w:sz w:val="20"/>
                          <w:szCs w:val="20"/>
                          <w:lang w:val="en-GB"/>
                        </w:rPr>
                        <w:t xml:space="preserve">and </w:t>
                      </w:r>
                    </w:p>
                    <w:p w14:paraId="36BDE289" w14:textId="0756E77C" w:rsidR="005276A4" w:rsidRPr="00DC1BE8"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DC1BE8">
                        <w:rPr>
                          <w:rFonts w:ascii="Arial" w:hAnsi="Arial" w:cs="Arial"/>
                          <w:bCs/>
                          <w:sz w:val="20"/>
                          <w:szCs w:val="20"/>
                          <w:lang w:val="en-GB"/>
                        </w:rPr>
                        <w:t>Energy Imbalance calculation and settlement.</w:t>
                      </w:r>
                      <w:r>
                        <w:rPr>
                          <w:rFonts w:ascii="Arial" w:hAnsi="Arial" w:cs="Arial"/>
                          <w:bCs/>
                          <w:sz w:val="20"/>
                          <w:szCs w:val="20"/>
                          <w:lang w:val="en-GB"/>
                        </w:rPr>
                        <w:t xml:space="preserve"> </w:t>
                      </w:r>
                    </w:p>
                  </w:txbxContent>
                </v:textbox>
                <w10:anchorlock/>
              </v:shape>
            </w:pict>
          </mc:Fallback>
        </mc:AlternateContent>
      </w:r>
    </w:p>
    <w:p w14:paraId="08D798DB" w14:textId="69AEB849" w:rsidR="00B9747B" w:rsidRPr="00654753" w:rsidRDefault="00B9747B" w:rsidP="00483DE9">
      <w:pPr>
        <w:rPr>
          <w:rFonts w:eastAsia="Calibri"/>
          <w:szCs w:val="22"/>
        </w:rPr>
      </w:pPr>
      <w:r w:rsidRPr="006273BD">
        <w:rPr>
          <w:rFonts w:eastAsia="Calibri"/>
          <w:noProof/>
          <w:lang w:eastAsia="en-GB"/>
        </w:rPr>
        <w:lastRenderedPageBreak/>
        <mc:AlternateContent>
          <mc:Choice Requires="wps">
            <w:drawing>
              <wp:inline distT="0" distB="0" distL="0" distR="0" wp14:anchorId="6EE0C666" wp14:editId="541E07F2">
                <wp:extent cx="6112800" cy="4636736"/>
                <wp:effectExtent l="0" t="0" r="21590" b="12065"/>
                <wp:docPr id="56" name="Text Box 56"/>
                <wp:cNvGraphicFramePr/>
                <a:graphic xmlns:a="http://schemas.openxmlformats.org/drawingml/2006/main">
                  <a:graphicData uri="http://schemas.microsoft.com/office/word/2010/wordprocessingShape">
                    <wps:wsp>
                      <wps:cNvSpPr txBox="1"/>
                      <wps:spPr>
                        <a:xfrm>
                          <a:off x="0" y="0"/>
                          <a:ext cx="6112800" cy="4636736"/>
                        </a:xfrm>
                        <a:prstGeom prst="rect">
                          <a:avLst/>
                        </a:prstGeom>
                        <a:solidFill>
                          <a:srgbClr val="9BBB59">
                            <a:lumMod val="20000"/>
                            <a:lumOff val="80000"/>
                          </a:srgbClr>
                        </a:solidFill>
                        <a:ln w="6350">
                          <a:solidFill>
                            <a:prstClr val="black"/>
                          </a:solidFill>
                        </a:ln>
                        <a:effectLst/>
                      </wps:spPr>
                      <wps:txbx>
                        <w:txbxContent>
                          <w:p w14:paraId="1C1BC944" w14:textId="5F744DB7" w:rsidR="005276A4" w:rsidRPr="003D494F" w:rsidRDefault="005276A4" w:rsidP="00B9747B">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.9:</w:t>
                            </w:r>
                            <w:r w:rsidRPr="003D494F">
                              <w:rPr>
                                <w:rFonts w:cs="Arial"/>
                                <w:bCs/>
                                <w:szCs w:val="20"/>
                              </w:rPr>
                              <w:t xml:space="preserve"> </w:t>
                            </w:r>
                            <w:r>
                              <w:rPr>
                                <w:rFonts w:cs="Arial"/>
                                <w:bCs/>
                                <w:szCs w:val="20"/>
                              </w:rPr>
                              <w:t xml:space="preserve">Market Compatibility for Trading – Coupling of the Power Pools/Markets </w:t>
                            </w:r>
                          </w:p>
                          <w:p w14:paraId="6507D4A8" w14:textId="788E7678" w:rsidR="005276A4" w:rsidRPr="00B9747B"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Power Pools wishing to couple their markets will consider t</w:t>
                            </w:r>
                            <w:r w:rsidRPr="00B9747B">
                              <w:rPr>
                                <w:rFonts w:ascii="Arial" w:hAnsi="Arial" w:cs="Arial"/>
                                <w:bCs/>
                                <w:sz w:val="20"/>
                                <w:szCs w:val="20"/>
                                <w:lang w:val="en-GB"/>
                              </w:rPr>
                              <w:t xml:space="preserve">he following coupling options: </w:t>
                            </w:r>
                          </w:p>
                          <w:p w14:paraId="78761A74" w14:textId="128E4AA0" w:rsidR="005276A4" w:rsidRDefault="005276A4" w:rsidP="0067200C">
                            <w:pPr>
                              <w:pStyle w:val="ListParagraph"/>
                              <w:numPr>
                                <w:ilvl w:val="1"/>
                                <w:numId w:val="74"/>
                              </w:numPr>
                              <w:spacing w:before="160" w:after="0" w:line="288" w:lineRule="auto"/>
                              <w:jc w:val="left"/>
                              <w:rPr>
                                <w:rFonts w:ascii="Arial" w:hAnsi="Arial" w:cs="Arial"/>
                                <w:bCs/>
                                <w:sz w:val="20"/>
                                <w:szCs w:val="20"/>
                                <w:lang w:val="en-GB"/>
                              </w:rPr>
                            </w:pPr>
                            <w:r w:rsidRPr="00B9747B">
                              <w:rPr>
                                <w:rFonts w:ascii="Arial" w:hAnsi="Arial" w:cs="Arial"/>
                                <w:bCs/>
                                <w:i/>
                                <w:iCs/>
                                <w:sz w:val="20"/>
                                <w:szCs w:val="20"/>
                                <w:lang w:val="en-GB"/>
                              </w:rPr>
                              <w:t>Order Collection Model</w:t>
                            </w:r>
                            <w:r w:rsidRPr="00B9747B">
                              <w:rPr>
                                <w:rFonts w:ascii="Arial" w:hAnsi="Arial" w:cs="Arial"/>
                                <w:bCs/>
                                <w:sz w:val="20"/>
                                <w:szCs w:val="20"/>
                                <w:lang w:val="en-GB"/>
                              </w:rPr>
                              <w:t xml:space="preserve">: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operates a simple order collection system from </w:t>
                            </w:r>
                            <w:r>
                              <w:rPr>
                                <w:rFonts w:ascii="Arial" w:hAnsi="Arial" w:cs="Arial"/>
                                <w:bCs/>
                                <w:sz w:val="20"/>
                                <w:szCs w:val="20"/>
                                <w:lang w:val="en-GB"/>
                              </w:rPr>
                              <w:t>its</w:t>
                            </w:r>
                            <w:r w:rsidRPr="00B9747B">
                              <w:rPr>
                                <w:rFonts w:ascii="Arial" w:hAnsi="Arial" w:cs="Arial"/>
                                <w:bCs/>
                                <w:sz w:val="20"/>
                                <w:szCs w:val="20"/>
                                <w:lang w:val="en-GB"/>
                              </w:rPr>
                              <w:t xml:space="preserve"> members to create one common bid for import/export towards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and either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or a dedicated unit under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is then a member of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and responsible for the scheduling of the results from this; </w:t>
                            </w:r>
                          </w:p>
                          <w:p w14:paraId="47AD7AF9" w14:textId="3B431A6E"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B9747B">
                              <w:rPr>
                                <w:rFonts w:ascii="Arial" w:hAnsi="Arial" w:cs="Arial"/>
                                <w:bCs/>
                                <w:i/>
                                <w:iCs/>
                                <w:sz w:val="20"/>
                                <w:szCs w:val="20"/>
                                <w:lang w:val="en-GB"/>
                              </w:rPr>
                              <w:t>Loose Coupling Model</w:t>
                            </w:r>
                            <w:r w:rsidRPr="00B9747B">
                              <w:rPr>
                                <w:rFonts w:ascii="Arial" w:hAnsi="Arial" w:cs="Arial"/>
                                <w:bCs/>
                                <w:sz w:val="20"/>
                                <w:szCs w:val="20"/>
                                <w:lang w:val="en-GB"/>
                              </w:rPr>
                              <w:t xml:space="preserve">: </w:t>
                            </w:r>
                            <w:r>
                              <w:rPr>
                                <w:rFonts w:ascii="Arial" w:hAnsi="Arial" w:cs="Arial"/>
                                <w:bCs/>
                                <w:sz w:val="20"/>
                                <w:szCs w:val="20"/>
                                <w:lang w:val="en-GB"/>
                              </w:rPr>
                              <w:t xml:space="preserve">Two Power Pools </w:t>
                            </w:r>
                            <w:r w:rsidRPr="00B9747B">
                              <w:rPr>
                                <w:rFonts w:ascii="Arial" w:hAnsi="Arial" w:cs="Arial"/>
                                <w:bCs/>
                                <w:sz w:val="20"/>
                                <w:szCs w:val="20"/>
                                <w:lang w:val="en-GB"/>
                              </w:rPr>
                              <w:t>operate separate market trading platforms and a coupling solution between the two is developed. There are two sub-options to this</w:t>
                            </w:r>
                            <w:r>
                              <w:rPr>
                                <w:rFonts w:ascii="Arial" w:hAnsi="Arial" w:cs="Arial"/>
                                <w:bCs/>
                                <w:sz w:val="20"/>
                                <w:szCs w:val="20"/>
                                <w:lang w:val="en-GB"/>
                              </w:rPr>
                              <w:t>,</w:t>
                            </w:r>
                            <w:r w:rsidRPr="00B9747B">
                              <w:rPr>
                                <w:rFonts w:ascii="Arial" w:hAnsi="Arial" w:cs="Arial"/>
                                <w:bCs/>
                                <w:sz w:val="20"/>
                                <w:szCs w:val="20"/>
                                <w:lang w:val="en-GB"/>
                              </w:rPr>
                              <w:t xml:space="preserve"> bot</w:t>
                            </w:r>
                            <w:r>
                              <w:rPr>
                                <w:rFonts w:ascii="Arial" w:hAnsi="Arial" w:cs="Arial"/>
                                <w:bCs/>
                                <w:sz w:val="20"/>
                                <w:szCs w:val="20"/>
                                <w:lang w:val="en-GB"/>
                              </w:rPr>
                              <w:t>h</w:t>
                            </w:r>
                            <w:r w:rsidRPr="00B9747B">
                              <w:rPr>
                                <w:rFonts w:ascii="Arial" w:hAnsi="Arial" w:cs="Arial"/>
                                <w:bCs/>
                                <w:sz w:val="20"/>
                                <w:szCs w:val="20"/>
                                <w:lang w:val="en-GB"/>
                              </w:rPr>
                              <w:t xml:space="preserve"> requiring development of a coupling system</w:t>
                            </w:r>
                            <w:r>
                              <w:rPr>
                                <w:rFonts w:ascii="Arial" w:hAnsi="Arial" w:cs="Arial"/>
                                <w:bCs/>
                                <w:sz w:val="20"/>
                                <w:szCs w:val="20"/>
                                <w:lang w:val="en-GB"/>
                              </w:rPr>
                              <w:t xml:space="preserve">: </w:t>
                            </w:r>
                          </w:p>
                          <w:p w14:paraId="1859CF4C" w14:textId="321ABB9D" w:rsidR="005276A4" w:rsidRDefault="005276A4" w:rsidP="00E92788">
                            <w:pPr>
                              <w:pStyle w:val="ListParagraph"/>
                              <w:numPr>
                                <w:ilvl w:val="2"/>
                                <w:numId w:val="74"/>
                              </w:numPr>
                              <w:spacing w:before="160" w:after="0" w:line="288" w:lineRule="auto"/>
                              <w:jc w:val="left"/>
                              <w:rPr>
                                <w:rFonts w:ascii="Arial" w:hAnsi="Arial" w:cs="Arial"/>
                                <w:bCs/>
                                <w:sz w:val="20"/>
                                <w:szCs w:val="20"/>
                                <w:lang w:val="en-GB"/>
                              </w:rPr>
                            </w:pPr>
                            <w:r w:rsidRPr="00B9747B">
                              <w:rPr>
                                <w:rFonts w:ascii="Arial" w:hAnsi="Arial" w:cs="Arial"/>
                                <w:bCs/>
                                <w:sz w:val="20"/>
                                <w:szCs w:val="20"/>
                                <w:lang w:val="en-GB"/>
                              </w:rPr>
                              <w:t xml:space="preserve">Both </w:t>
                            </w:r>
                            <w:r>
                              <w:rPr>
                                <w:rFonts w:ascii="Arial" w:hAnsi="Arial" w:cs="Arial"/>
                                <w:bCs/>
                                <w:sz w:val="20"/>
                                <w:szCs w:val="20"/>
                                <w:lang w:val="en-GB"/>
                              </w:rPr>
                              <w:t>P</w:t>
                            </w:r>
                            <w:r w:rsidRPr="00B9747B">
                              <w:rPr>
                                <w:rFonts w:ascii="Arial" w:hAnsi="Arial" w:cs="Arial"/>
                                <w:bCs/>
                                <w:sz w:val="20"/>
                                <w:szCs w:val="20"/>
                                <w:lang w:val="en-GB"/>
                              </w:rPr>
                              <w:t xml:space="preserve">ower </w:t>
                            </w:r>
                            <w:r>
                              <w:rPr>
                                <w:rFonts w:ascii="Arial" w:hAnsi="Arial" w:cs="Arial"/>
                                <w:bCs/>
                                <w:sz w:val="20"/>
                                <w:szCs w:val="20"/>
                                <w:lang w:val="en-GB"/>
                              </w:rPr>
                              <w:t>P</w:t>
                            </w:r>
                            <w:r w:rsidRPr="00B9747B">
                              <w:rPr>
                                <w:rFonts w:ascii="Arial" w:hAnsi="Arial" w:cs="Arial"/>
                                <w:bCs/>
                                <w:sz w:val="20"/>
                                <w:szCs w:val="20"/>
                                <w:lang w:val="en-GB"/>
                              </w:rPr>
                              <w:t>ools will use the same market trading platform system and a new system module is created to couple the two</w:t>
                            </w:r>
                            <w:r>
                              <w:rPr>
                                <w:rFonts w:ascii="Arial" w:hAnsi="Arial" w:cs="Arial"/>
                                <w:bCs/>
                                <w:sz w:val="20"/>
                                <w:szCs w:val="20"/>
                                <w:lang w:val="en-GB"/>
                              </w:rPr>
                              <w:t xml:space="preserve">, </w:t>
                            </w:r>
                          </w:p>
                          <w:p w14:paraId="469C3114" w14:textId="69A5E1AC" w:rsidR="005276A4" w:rsidRPr="00B9747B" w:rsidRDefault="005276A4" w:rsidP="00E92788">
                            <w:pPr>
                              <w:pStyle w:val="ListParagraph"/>
                              <w:numPr>
                                <w:ilvl w:val="2"/>
                                <w:numId w:val="74"/>
                              </w:numPr>
                              <w:spacing w:before="160" w:after="0" w:line="288" w:lineRule="auto"/>
                              <w:jc w:val="left"/>
                              <w:rPr>
                                <w:rFonts w:ascii="Arial" w:hAnsi="Arial" w:cs="Arial"/>
                                <w:bCs/>
                                <w:sz w:val="20"/>
                                <w:szCs w:val="20"/>
                                <w:lang w:val="en-GB"/>
                              </w:rPr>
                            </w:pPr>
                            <w:r w:rsidRPr="00B9747B">
                              <w:rPr>
                                <w:rFonts w:ascii="Arial" w:hAnsi="Arial" w:cs="Arial"/>
                                <w:bCs/>
                                <w:sz w:val="20"/>
                                <w:szCs w:val="20"/>
                                <w:lang w:val="en-GB"/>
                              </w:rPr>
                              <w:t>Each</w:t>
                            </w:r>
                            <w:r>
                              <w:rPr>
                                <w:rFonts w:ascii="Arial" w:hAnsi="Arial" w:cs="Arial"/>
                                <w:bCs/>
                                <w:sz w:val="20"/>
                                <w:szCs w:val="20"/>
                                <w:lang w:val="en-GB"/>
                              </w:rPr>
                              <w:t xml:space="preserve"> Power Pool</w:t>
                            </w:r>
                            <w:r w:rsidRPr="00B9747B">
                              <w:rPr>
                                <w:rFonts w:ascii="Arial" w:hAnsi="Arial" w:cs="Arial"/>
                                <w:bCs/>
                                <w:sz w:val="20"/>
                                <w:szCs w:val="20"/>
                                <w:lang w:val="en-GB"/>
                              </w:rPr>
                              <w:t xml:space="preserve"> ha</w:t>
                            </w:r>
                            <w:r>
                              <w:rPr>
                                <w:rFonts w:ascii="Arial" w:hAnsi="Arial" w:cs="Arial"/>
                                <w:bCs/>
                                <w:sz w:val="20"/>
                                <w:szCs w:val="20"/>
                                <w:lang w:val="en-GB"/>
                              </w:rPr>
                              <w:t>s</w:t>
                            </w:r>
                            <w:r w:rsidRPr="00B9747B">
                              <w:rPr>
                                <w:rFonts w:ascii="Arial" w:hAnsi="Arial" w:cs="Arial"/>
                                <w:bCs/>
                                <w:sz w:val="20"/>
                                <w:szCs w:val="20"/>
                                <w:lang w:val="en-GB"/>
                              </w:rPr>
                              <w:t xml:space="preserve"> their own (different) market trading platform and a new system module is created to couple the two;</w:t>
                            </w:r>
                            <w:r>
                              <w:rPr>
                                <w:rFonts w:ascii="Arial" w:hAnsi="Arial" w:cs="Arial"/>
                                <w:bCs/>
                                <w:sz w:val="20"/>
                                <w:szCs w:val="20"/>
                                <w:lang w:val="en-GB"/>
                              </w:rPr>
                              <w:t xml:space="preserve"> </w:t>
                            </w:r>
                          </w:p>
                          <w:p w14:paraId="5391F60F" w14:textId="77B9CA65"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6273BD">
                              <w:rPr>
                                <w:rFonts w:ascii="Arial" w:hAnsi="Arial" w:cs="Arial"/>
                                <w:bCs/>
                                <w:i/>
                                <w:iCs/>
                                <w:sz w:val="20"/>
                                <w:szCs w:val="20"/>
                                <w:lang w:val="en-GB"/>
                              </w:rPr>
                              <w:t>Tight Coupling Model</w:t>
                            </w:r>
                            <w:r w:rsidRPr="00B9747B">
                              <w:rPr>
                                <w:rFonts w:ascii="Arial" w:hAnsi="Arial" w:cs="Arial"/>
                                <w:bCs/>
                                <w:sz w:val="20"/>
                                <w:szCs w:val="20"/>
                                <w:lang w:val="en-GB"/>
                              </w:rPr>
                              <w:t xml:space="preserve">: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 xml:space="preserve">ool </w:t>
                            </w:r>
                            <w:r w:rsidRPr="00B9747B">
                              <w:rPr>
                                <w:rFonts w:ascii="Arial" w:hAnsi="Arial" w:cs="Arial"/>
                                <w:bCs/>
                                <w:sz w:val="20"/>
                                <w:szCs w:val="20"/>
                                <w:lang w:val="en-GB"/>
                              </w:rPr>
                              <w:t xml:space="preserve">buys access (and operation) to the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 m</w:t>
                            </w:r>
                            <w:r w:rsidRPr="00B9747B">
                              <w:rPr>
                                <w:rFonts w:ascii="Arial" w:hAnsi="Arial" w:cs="Arial"/>
                                <w:bCs/>
                                <w:sz w:val="20"/>
                                <w:szCs w:val="20"/>
                                <w:lang w:val="en-GB"/>
                              </w:rPr>
                              <w:t xml:space="preserve">arket </w:t>
                            </w:r>
                            <w:r>
                              <w:rPr>
                                <w:rFonts w:ascii="Arial" w:hAnsi="Arial" w:cs="Arial"/>
                                <w:bCs/>
                                <w:sz w:val="20"/>
                                <w:szCs w:val="20"/>
                                <w:lang w:val="en-GB"/>
                              </w:rPr>
                              <w:t>t</w:t>
                            </w:r>
                            <w:r w:rsidRPr="00B9747B">
                              <w:rPr>
                                <w:rFonts w:ascii="Arial" w:hAnsi="Arial" w:cs="Arial"/>
                                <w:bCs/>
                                <w:sz w:val="20"/>
                                <w:szCs w:val="20"/>
                                <w:lang w:val="en-GB"/>
                              </w:rPr>
                              <w:t xml:space="preserve">rading platform, operates the internal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markets, but are using the same gate closure time as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and the markets are coupled through an implicit auction;</w:t>
                            </w:r>
                            <w:r>
                              <w:rPr>
                                <w:rFonts w:ascii="Arial" w:hAnsi="Arial" w:cs="Arial"/>
                                <w:bCs/>
                                <w:sz w:val="20"/>
                                <w:szCs w:val="20"/>
                                <w:lang w:val="en-GB"/>
                              </w:rPr>
                              <w:t xml:space="preserve"> </w:t>
                            </w:r>
                          </w:p>
                          <w:p w14:paraId="67BEAA2D" w14:textId="06AB1281" w:rsidR="005276A4" w:rsidRPr="00B9747B"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6273BD">
                              <w:rPr>
                                <w:rFonts w:ascii="Arial" w:hAnsi="Arial" w:cs="Arial"/>
                                <w:bCs/>
                                <w:i/>
                                <w:iCs/>
                                <w:sz w:val="20"/>
                                <w:szCs w:val="20"/>
                                <w:lang w:val="en-GB"/>
                              </w:rPr>
                              <w:t>Implicit Model</w:t>
                            </w:r>
                            <w:r w:rsidRPr="00B9747B">
                              <w:rPr>
                                <w:rFonts w:ascii="Arial" w:hAnsi="Arial" w:cs="Arial"/>
                                <w:bCs/>
                                <w:sz w:val="20"/>
                                <w:szCs w:val="20"/>
                                <w:lang w:val="en-GB"/>
                              </w:rPr>
                              <w:t xml:space="preserve">: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w:t>
                            </w:r>
                            <w:r>
                              <w:rPr>
                                <w:rFonts w:ascii="Arial" w:hAnsi="Arial" w:cs="Arial"/>
                                <w:bCs/>
                                <w:sz w:val="20"/>
                                <w:szCs w:val="20"/>
                                <w:lang w:val="en-GB"/>
                              </w:rPr>
                              <w:t xml:space="preserve">members </w:t>
                            </w:r>
                            <w:r w:rsidRPr="00B9747B">
                              <w:rPr>
                                <w:rFonts w:ascii="Arial" w:hAnsi="Arial" w:cs="Arial"/>
                                <w:bCs/>
                                <w:sz w:val="20"/>
                                <w:szCs w:val="20"/>
                                <w:lang w:val="en-GB"/>
                              </w:rPr>
                              <w:t xml:space="preserve">join the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markets and are participating under the same conditions as the current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members.</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E0C666" id="Text Box 56" o:spid="_x0000_s1048" type="#_x0000_t202" style="width:481.3pt;height:3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" fillcolor="#ebf1de" strokeweight=".5pt">
                <v:textbox>
                  <w:txbxContent>
                    <w:p w14:paraId="1C1BC944" w14:textId="5F744DB7" w:rsidR="005276A4" w:rsidRPr="003D494F" w:rsidRDefault="005276A4" w:rsidP="00B9747B">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4</w:t>
                      </w:r>
                      <w:r>
                        <w:rPr>
                          <w:rFonts w:cs="Arial"/>
                          <w:bCs/>
                          <w:szCs w:val="20"/>
                        </w:rPr>
                        <w:t>.9:</w:t>
                      </w:r>
                      <w:r w:rsidRPr="003D494F">
                        <w:rPr>
                          <w:rFonts w:cs="Arial"/>
                          <w:bCs/>
                          <w:szCs w:val="20"/>
                        </w:rPr>
                        <w:t xml:space="preserve"> </w:t>
                      </w:r>
                      <w:r>
                        <w:rPr>
                          <w:rFonts w:cs="Arial"/>
                          <w:bCs/>
                          <w:szCs w:val="20"/>
                        </w:rPr>
                        <w:t xml:space="preserve">Market Compatibility for Trading – Coupling of the Power Pools/Markets </w:t>
                      </w:r>
                    </w:p>
                    <w:p w14:paraId="6507D4A8" w14:textId="788E7678" w:rsidR="005276A4" w:rsidRPr="00B9747B"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Power Pools wishing to couple their markets will consider t</w:t>
                      </w:r>
                      <w:r w:rsidRPr="00B9747B">
                        <w:rPr>
                          <w:rFonts w:ascii="Arial" w:hAnsi="Arial" w:cs="Arial"/>
                          <w:bCs/>
                          <w:sz w:val="20"/>
                          <w:szCs w:val="20"/>
                          <w:lang w:val="en-GB"/>
                        </w:rPr>
                        <w:t xml:space="preserve">he following coupling options: </w:t>
                      </w:r>
                    </w:p>
                    <w:p w14:paraId="78761A74" w14:textId="128E4AA0" w:rsidR="005276A4" w:rsidRDefault="005276A4" w:rsidP="0067200C">
                      <w:pPr>
                        <w:pStyle w:val="ListParagraph"/>
                        <w:numPr>
                          <w:ilvl w:val="1"/>
                          <w:numId w:val="74"/>
                        </w:numPr>
                        <w:spacing w:before="160" w:after="0" w:line="288" w:lineRule="auto"/>
                        <w:jc w:val="left"/>
                        <w:rPr>
                          <w:rFonts w:ascii="Arial" w:hAnsi="Arial" w:cs="Arial"/>
                          <w:bCs/>
                          <w:sz w:val="20"/>
                          <w:szCs w:val="20"/>
                          <w:lang w:val="en-GB"/>
                        </w:rPr>
                      </w:pPr>
                      <w:r w:rsidRPr="00B9747B">
                        <w:rPr>
                          <w:rFonts w:ascii="Arial" w:hAnsi="Arial" w:cs="Arial"/>
                          <w:bCs/>
                          <w:i/>
                          <w:iCs/>
                          <w:sz w:val="20"/>
                          <w:szCs w:val="20"/>
                          <w:lang w:val="en-GB"/>
                        </w:rPr>
                        <w:t>Order Collection Model</w:t>
                      </w:r>
                      <w:r w:rsidRPr="00B9747B">
                        <w:rPr>
                          <w:rFonts w:ascii="Arial" w:hAnsi="Arial" w:cs="Arial"/>
                          <w:bCs/>
                          <w:sz w:val="20"/>
                          <w:szCs w:val="20"/>
                          <w:lang w:val="en-GB"/>
                        </w:rPr>
                        <w:t xml:space="preserve">: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operates a simple order collection system from </w:t>
                      </w:r>
                      <w:r>
                        <w:rPr>
                          <w:rFonts w:ascii="Arial" w:hAnsi="Arial" w:cs="Arial"/>
                          <w:bCs/>
                          <w:sz w:val="20"/>
                          <w:szCs w:val="20"/>
                          <w:lang w:val="en-GB"/>
                        </w:rPr>
                        <w:t>its</w:t>
                      </w:r>
                      <w:r w:rsidRPr="00B9747B">
                        <w:rPr>
                          <w:rFonts w:ascii="Arial" w:hAnsi="Arial" w:cs="Arial"/>
                          <w:bCs/>
                          <w:sz w:val="20"/>
                          <w:szCs w:val="20"/>
                          <w:lang w:val="en-GB"/>
                        </w:rPr>
                        <w:t xml:space="preserve"> members to create one common bid for import/export towards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and either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or a dedicated unit under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is then a member of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and responsible for the scheduling of the results from this; </w:t>
                      </w:r>
                    </w:p>
                    <w:p w14:paraId="47AD7AF9" w14:textId="3B431A6E"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B9747B">
                        <w:rPr>
                          <w:rFonts w:ascii="Arial" w:hAnsi="Arial" w:cs="Arial"/>
                          <w:bCs/>
                          <w:i/>
                          <w:iCs/>
                          <w:sz w:val="20"/>
                          <w:szCs w:val="20"/>
                          <w:lang w:val="en-GB"/>
                        </w:rPr>
                        <w:t>Loose Coupling Model</w:t>
                      </w:r>
                      <w:r w:rsidRPr="00B9747B">
                        <w:rPr>
                          <w:rFonts w:ascii="Arial" w:hAnsi="Arial" w:cs="Arial"/>
                          <w:bCs/>
                          <w:sz w:val="20"/>
                          <w:szCs w:val="20"/>
                          <w:lang w:val="en-GB"/>
                        </w:rPr>
                        <w:t xml:space="preserve">: </w:t>
                      </w:r>
                      <w:r>
                        <w:rPr>
                          <w:rFonts w:ascii="Arial" w:hAnsi="Arial" w:cs="Arial"/>
                          <w:bCs/>
                          <w:sz w:val="20"/>
                          <w:szCs w:val="20"/>
                          <w:lang w:val="en-GB"/>
                        </w:rPr>
                        <w:t xml:space="preserve">Two Power Pools </w:t>
                      </w:r>
                      <w:r w:rsidRPr="00B9747B">
                        <w:rPr>
                          <w:rFonts w:ascii="Arial" w:hAnsi="Arial" w:cs="Arial"/>
                          <w:bCs/>
                          <w:sz w:val="20"/>
                          <w:szCs w:val="20"/>
                          <w:lang w:val="en-GB"/>
                        </w:rPr>
                        <w:t>operate separate market trading platforms and a coupling solution between the two is developed. There are two sub-options to this</w:t>
                      </w:r>
                      <w:r>
                        <w:rPr>
                          <w:rFonts w:ascii="Arial" w:hAnsi="Arial" w:cs="Arial"/>
                          <w:bCs/>
                          <w:sz w:val="20"/>
                          <w:szCs w:val="20"/>
                          <w:lang w:val="en-GB"/>
                        </w:rPr>
                        <w:t>,</w:t>
                      </w:r>
                      <w:r w:rsidRPr="00B9747B">
                        <w:rPr>
                          <w:rFonts w:ascii="Arial" w:hAnsi="Arial" w:cs="Arial"/>
                          <w:bCs/>
                          <w:sz w:val="20"/>
                          <w:szCs w:val="20"/>
                          <w:lang w:val="en-GB"/>
                        </w:rPr>
                        <w:t xml:space="preserve"> bot</w:t>
                      </w:r>
                      <w:r>
                        <w:rPr>
                          <w:rFonts w:ascii="Arial" w:hAnsi="Arial" w:cs="Arial"/>
                          <w:bCs/>
                          <w:sz w:val="20"/>
                          <w:szCs w:val="20"/>
                          <w:lang w:val="en-GB"/>
                        </w:rPr>
                        <w:t>h</w:t>
                      </w:r>
                      <w:r w:rsidRPr="00B9747B">
                        <w:rPr>
                          <w:rFonts w:ascii="Arial" w:hAnsi="Arial" w:cs="Arial"/>
                          <w:bCs/>
                          <w:sz w:val="20"/>
                          <w:szCs w:val="20"/>
                          <w:lang w:val="en-GB"/>
                        </w:rPr>
                        <w:t xml:space="preserve"> requiring development of a coupling system</w:t>
                      </w:r>
                      <w:r>
                        <w:rPr>
                          <w:rFonts w:ascii="Arial" w:hAnsi="Arial" w:cs="Arial"/>
                          <w:bCs/>
                          <w:sz w:val="20"/>
                          <w:szCs w:val="20"/>
                          <w:lang w:val="en-GB"/>
                        </w:rPr>
                        <w:t xml:space="preserve">: </w:t>
                      </w:r>
                    </w:p>
                    <w:p w14:paraId="1859CF4C" w14:textId="321ABB9D" w:rsidR="005276A4" w:rsidRDefault="005276A4" w:rsidP="00E92788">
                      <w:pPr>
                        <w:pStyle w:val="ListParagraph"/>
                        <w:numPr>
                          <w:ilvl w:val="2"/>
                          <w:numId w:val="74"/>
                        </w:numPr>
                        <w:spacing w:before="160" w:after="0" w:line="288" w:lineRule="auto"/>
                        <w:jc w:val="left"/>
                        <w:rPr>
                          <w:rFonts w:ascii="Arial" w:hAnsi="Arial" w:cs="Arial"/>
                          <w:bCs/>
                          <w:sz w:val="20"/>
                          <w:szCs w:val="20"/>
                          <w:lang w:val="en-GB"/>
                        </w:rPr>
                      </w:pPr>
                      <w:r w:rsidRPr="00B9747B">
                        <w:rPr>
                          <w:rFonts w:ascii="Arial" w:hAnsi="Arial" w:cs="Arial"/>
                          <w:bCs/>
                          <w:sz w:val="20"/>
                          <w:szCs w:val="20"/>
                          <w:lang w:val="en-GB"/>
                        </w:rPr>
                        <w:t xml:space="preserve">Both </w:t>
                      </w:r>
                      <w:r>
                        <w:rPr>
                          <w:rFonts w:ascii="Arial" w:hAnsi="Arial" w:cs="Arial"/>
                          <w:bCs/>
                          <w:sz w:val="20"/>
                          <w:szCs w:val="20"/>
                          <w:lang w:val="en-GB"/>
                        </w:rPr>
                        <w:t>P</w:t>
                      </w:r>
                      <w:r w:rsidRPr="00B9747B">
                        <w:rPr>
                          <w:rFonts w:ascii="Arial" w:hAnsi="Arial" w:cs="Arial"/>
                          <w:bCs/>
                          <w:sz w:val="20"/>
                          <w:szCs w:val="20"/>
                          <w:lang w:val="en-GB"/>
                        </w:rPr>
                        <w:t xml:space="preserve">ower </w:t>
                      </w:r>
                      <w:r>
                        <w:rPr>
                          <w:rFonts w:ascii="Arial" w:hAnsi="Arial" w:cs="Arial"/>
                          <w:bCs/>
                          <w:sz w:val="20"/>
                          <w:szCs w:val="20"/>
                          <w:lang w:val="en-GB"/>
                        </w:rPr>
                        <w:t>P</w:t>
                      </w:r>
                      <w:r w:rsidRPr="00B9747B">
                        <w:rPr>
                          <w:rFonts w:ascii="Arial" w:hAnsi="Arial" w:cs="Arial"/>
                          <w:bCs/>
                          <w:sz w:val="20"/>
                          <w:szCs w:val="20"/>
                          <w:lang w:val="en-GB"/>
                        </w:rPr>
                        <w:t>ools will use the same market trading platform system and a new system module is created to couple the two</w:t>
                      </w:r>
                      <w:r>
                        <w:rPr>
                          <w:rFonts w:ascii="Arial" w:hAnsi="Arial" w:cs="Arial"/>
                          <w:bCs/>
                          <w:sz w:val="20"/>
                          <w:szCs w:val="20"/>
                          <w:lang w:val="en-GB"/>
                        </w:rPr>
                        <w:t xml:space="preserve">, </w:t>
                      </w:r>
                    </w:p>
                    <w:p w14:paraId="469C3114" w14:textId="69A5E1AC" w:rsidR="005276A4" w:rsidRPr="00B9747B" w:rsidRDefault="005276A4" w:rsidP="00E92788">
                      <w:pPr>
                        <w:pStyle w:val="ListParagraph"/>
                        <w:numPr>
                          <w:ilvl w:val="2"/>
                          <w:numId w:val="74"/>
                        </w:numPr>
                        <w:spacing w:before="160" w:after="0" w:line="288" w:lineRule="auto"/>
                        <w:jc w:val="left"/>
                        <w:rPr>
                          <w:rFonts w:ascii="Arial" w:hAnsi="Arial" w:cs="Arial"/>
                          <w:bCs/>
                          <w:sz w:val="20"/>
                          <w:szCs w:val="20"/>
                          <w:lang w:val="en-GB"/>
                        </w:rPr>
                      </w:pPr>
                      <w:r w:rsidRPr="00B9747B">
                        <w:rPr>
                          <w:rFonts w:ascii="Arial" w:hAnsi="Arial" w:cs="Arial"/>
                          <w:bCs/>
                          <w:sz w:val="20"/>
                          <w:szCs w:val="20"/>
                          <w:lang w:val="en-GB"/>
                        </w:rPr>
                        <w:t>Each</w:t>
                      </w:r>
                      <w:r>
                        <w:rPr>
                          <w:rFonts w:ascii="Arial" w:hAnsi="Arial" w:cs="Arial"/>
                          <w:bCs/>
                          <w:sz w:val="20"/>
                          <w:szCs w:val="20"/>
                          <w:lang w:val="en-GB"/>
                        </w:rPr>
                        <w:t xml:space="preserve"> Power Pool</w:t>
                      </w:r>
                      <w:r w:rsidRPr="00B9747B">
                        <w:rPr>
                          <w:rFonts w:ascii="Arial" w:hAnsi="Arial" w:cs="Arial"/>
                          <w:bCs/>
                          <w:sz w:val="20"/>
                          <w:szCs w:val="20"/>
                          <w:lang w:val="en-GB"/>
                        </w:rPr>
                        <w:t xml:space="preserve"> ha</w:t>
                      </w:r>
                      <w:r>
                        <w:rPr>
                          <w:rFonts w:ascii="Arial" w:hAnsi="Arial" w:cs="Arial"/>
                          <w:bCs/>
                          <w:sz w:val="20"/>
                          <w:szCs w:val="20"/>
                          <w:lang w:val="en-GB"/>
                        </w:rPr>
                        <w:t>s</w:t>
                      </w:r>
                      <w:r w:rsidRPr="00B9747B">
                        <w:rPr>
                          <w:rFonts w:ascii="Arial" w:hAnsi="Arial" w:cs="Arial"/>
                          <w:bCs/>
                          <w:sz w:val="20"/>
                          <w:szCs w:val="20"/>
                          <w:lang w:val="en-GB"/>
                        </w:rPr>
                        <w:t xml:space="preserve"> their own (different) market trading platform and a new system module is created to couple the two;</w:t>
                      </w:r>
                      <w:r>
                        <w:rPr>
                          <w:rFonts w:ascii="Arial" w:hAnsi="Arial" w:cs="Arial"/>
                          <w:bCs/>
                          <w:sz w:val="20"/>
                          <w:szCs w:val="20"/>
                          <w:lang w:val="en-GB"/>
                        </w:rPr>
                        <w:t xml:space="preserve"> </w:t>
                      </w:r>
                    </w:p>
                    <w:p w14:paraId="5391F60F" w14:textId="77B9CA65"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6273BD">
                        <w:rPr>
                          <w:rFonts w:ascii="Arial" w:hAnsi="Arial" w:cs="Arial"/>
                          <w:bCs/>
                          <w:i/>
                          <w:iCs/>
                          <w:sz w:val="20"/>
                          <w:szCs w:val="20"/>
                          <w:lang w:val="en-GB"/>
                        </w:rPr>
                        <w:t>Tight Coupling Model</w:t>
                      </w:r>
                      <w:r w:rsidRPr="00B9747B">
                        <w:rPr>
                          <w:rFonts w:ascii="Arial" w:hAnsi="Arial" w:cs="Arial"/>
                          <w:bCs/>
                          <w:sz w:val="20"/>
                          <w:szCs w:val="20"/>
                          <w:lang w:val="en-GB"/>
                        </w:rPr>
                        <w:t xml:space="preserve">: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 xml:space="preserve">ool </w:t>
                      </w:r>
                      <w:r w:rsidRPr="00B9747B">
                        <w:rPr>
                          <w:rFonts w:ascii="Arial" w:hAnsi="Arial" w:cs="Arial"/>
                          <w:bCs/>
                          <w:sz w:val="20"/>
                          <w:szCs w:val="20"/>
                          <w:lang w:val="en-GB"/>
                        </w:rPr>
                        <w:t xml:space="preserve">buys access (and operation) to the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 m</w:t>
                      </w:r>
                      <w:r w:rsidRPr="00B9747B">
                        <w:rPr>
                          <w:rFonts w:ascii="Arial" w:hAnsi="Arial" w:cs="Arial"/>
                          <w:bCs/>
                          <w:sz w:val="20"/>
                          <w:szCs w:val="20"/>
                          <w:lang w:val="en-GB"/>
                        </w:rPr>
                        <w:t xml:space="preserve">arket </w:t>
                      </w:r>
                      <w:r>
                        <w:rPr>
                          <w:rFonts w:ascii="Arial" w:hAnsi="Arial" w:cs="Arial"/>
                          <w:bCs/>
                          <w:sz w:val="20"/>
                          <w:szCs w:val="20"/>
                          <w:lang w:val="en-GB"/>
                        </w:rPr>
                        <w:t>t</w:t>
                      </w:r>
                      <w:r w:rsidRPr="00B9747B">
                        <w:rPr>
                          <w:rFonts w:ascii="Arial" w:hAnsi="Arial" w:cs="Arial"/>
                          <w:bCs/>
                          <w:sz w:val="20"/>
                          <w:szCs w:val="20"/>
                          <w:lang w:val="en-GB"/>
                        </w:rPr>
                        <w:t xml:space="preserve">rading platform, operates the internal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markets, but are using the same gate closure time as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and the markets are coupled through an implicit auction;</w:t>
                      </w:r>
                      <w:r>
                        <w:rPr>
                          <w:rFonts w:ascii="Arial" w:hAnsi="Arial" w:cs="Arial"/>
                          <w:bCs/>
                          <w:sz w:val="20"/>
                          <w:szCs w:val="20"/>
                          <w:lang w:val="en-GB"/>
                        </w:rPr>
                        <w:t xml:space="preserve"> </w:t>
                      </w:r>
                    </w:p>
                    <w:p w14:paraId="67BEAA2D" w14:textId="06AB1281" w:rsidR="005276A4" w:rsidRPr="00B9747B"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6273BD">
                        <w:rPr>
                          <w:rFonts w:ascii="Arial" w:hAnsi="Arial" w:cs="Arial"/>
                          <w:bCs/>
                          <w:i/>
                          <w:iCs/>
                          <w:sz w:val="20"/>
                          <w:szCs w:val="20"/>
                          <w:lang w:val="en-GB"/>
                        </w:rPr>
                        <w:t>Implicit Model</w:t>
                      </w:r>
                      <w:r w:rsidRPr="00B9747B">
                        <w:rPr>
                          <w:rFonts w:ascii="Arial" w:hAnsi="Arial" w:cs="Arial"/>
                          <w:bCs/>
                          <w:sz w:val="20"/>
                          <w:szCs w:val="20"/>
                          <w:lang w:val="en-GB"/>
                        </w:rPr>
                        <w:t xml:space="preserve">: </w:t>
                      </w:r>
                      <w:r w:rsidR="00316837">
                        <w:rPr>
                          <w:rFonts w:ascii="Arial" w:hAnsi="Arial" w:cs="Arial"/>
                          <w:bCs/>
                          <w:sz w:val="20"/>
                          <w:szCs w:val="20"/>
                          <w:lang w:val="en-GB"/>
                        </w:rPr>
                        <w:t xml:space="preserve">Less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w:t>
                      </w:r>
                      <w:r>
                        <w:rPr>
                          <w:rFonts w:ascii="Arial" w:hAnsi="Arial" w:cs="Arial"/>
                          <w:bCs/>
                          <w:sz w:val="20"/>
                          <w:szCs w:val="20"/>
                          <w:lang w:val="en-GB"/>
                        </w:rPr>
                        <w:t xml:space="preserve">members </w:t>
                      </w:r>
                      <w:r w:rsidRPr="00B9747B">
                        <w:rPr>
                          <w:rFonts w:ascii="Arial" w:hAnsi="Arial" w:cs="Arial"/>
                          <w:bCs/>
                          <w:sz w:val="20"/>
                          <w:szCs w:val="20"/>
                          <w:lang w:val="en-GB"/>
                        </w:rPr>
                        <w:t xml:space="preserve">join the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markets and are participating under the same conditions as the current </w:t>
                      </w:r>
                      <w:r w:rsidR="00316837">
                        <w:rPr>
                          <w:rFonts w:ascii="Arial" w:hAnsi="Arial" w:cs="Arial"/>
                          <w:bCs/>
                          <w:sz w:val="20"/>
                          <w:szCs w:val="20"/>
                          <w:lang w:val="en-GB"/>
                        </w:rPr>
                        <w:t xml:space="preserve">more advanced </w:t>
                      </w:r>
                      <w:r w:rsidRPr="00B9747B">
                        <w:rPr>
                          <w:rFonts w:ascii="Arial" w:hAnsi="Arial" w:cs="Arial"/>
                          <w:bCs/>
                          <w:sz w:val="20"/>
                          <w:szCs w:val="20"/>
                          <w:lang w:val="en-GB"/>
                        </w:rPr>
                        <w:t>P</w:t>
                      </w:r>
                      <w:r>
                        <w:rPr>
                          <w:rFonts w:ascii="Arial" w:hAnsi="Arial" w:cs="Arial"/>
                          <w:bCs/>
                          <w:sz w:val="20"/>
                          <w:szCs w:val="20"/>
                          <w:lang w:val="en-GB"/>
                        </w:rPr>
                        <w:t xml:space="preserve">ower </w:t>
                      </w:r>
                      <w:r w:rsidRPr="00B9747B">
                        <w:rPr>
                          <w:rFonts w:ascii="Arial" w:hAnsi="Arial" w:cs="Arial"/>
                          <w:bCs/>
                          <w:sz w:val="20"/>
                          <w:szCs w:val="20"/>
                          <w:lang w:val="en-GB"/>
                        </w:rPr>
                        <w:t>P</w:t>
                      </w:r>
                      <w:r>
                        <w:rPr>
                          <w:rFonts w:ascii="Arial" w:hAnsi="Arial" w:cs="Arial"/>
                          <w:bCs/>
                          <w:sz w:val="20"/>
                          <w:szCs w:val="20"/>
                          <w:lang w:val="en-GB"/>
                        </w:rPr>
                        <w:t>ool</w:t>
                      </w:r>
                      <w:r w:rsidRPr="00B9747B">
                        <w:rPr>
                          <w:rFonts w:ascii="Arial" w:hAnsi="Arial" w:cs="Arial"/>
                          <w:bCs/>
                          <w:sz w:val="20"/>
                          <w:szCs w:val="20"/>
                          <w:lang w:val="en-GB"/>
                        </w:rPr>
                        <w:t xml:space="preserve"> members.</w:t>
                      </w:r>
                      <w:r>
                        <w:rPr>
                          <w:rFonts w:ascii="Arial" w:hAnsi="Arial" w:cs="Arial"/>
                          <w:bCs/>
                          <w:sz w:val="20"/>
                          <w:szCs w:val="20"/>
                          <w:lang w:val="en-GB"/>
                        </w:rPr>
                        <w:t xml:space="preserve"> </w:t>
                      </w:r>
                    </w:p>
                  </w:txbxContent>
                </v:textbox>
                <w10:anchorlock/>
              </v:shape>
            </w:pict>
          </mc:Fallback>
        </mc:AlternateContent>
      </w:r>
    </w:p>
    <w:p w14:paraId="0A755FC1" w14:textId="4A2C488C" w:rsidR="00483DE9" w:rsidRPr="00316837" w:rsidRDefault="00483DE9" w:rsidP="00483DE9">
      <w:pPr>
        <w:pStyle w:val="Heading2"/>
        <w:rPr>
          <w:rFonts w:eastAsia="Calibri"/>
        </w:rPr>
      </w:pPr>
      <w:bookmarkStart w:id="190" w:name="_Toc77260319"/>
      <w:r w:rsidRPr="00316837">
        <w:rPr>
          <w:rFonts w:eastAsia="Calibri"/>
        </w:rPr>
        <w:t xml:space="preserve">Guidelines 5: </w:t>
      </w:r>
      <w:r w:rsidR="00744D32" w:rsidRPr="00316837">
        <w:rPr>
          <w:rFonts w:eastAsia="Calibri"/>
        </w:rPr>
        <w:t>System Operators and Coordinated Planning</w:t>
      </w:r>
      <w:bookmarkEnd w:id="190"/>
      <w:r w:rsidR="00744D32" w:rsidRPr="00316837">
        <w:rPr>
          <w:rFonts w:eastAsia="Calibri"/>
        </w:rPr>
        <w:t xml:space="preserve"> </w:t>
      </w:r>
    </w:p>
    <w:p w14:paraId="5E8F6AB3" w14:textId="35D204F3" w:rsidR="00744D32" w:rsidRPr="00316837" w:rsidRDefault="00744D32" w:rsidP="00744D32">
      <w:pPr>
        <w:pStyle w:val="Heading3"/>
        <w:rPr>
          <w:rFonts w:eastAsia="Calibri"/>
        </w:rPr>
      </w:pPr>
      <w:bookmarkStart w:id="191" w:name="_Toc77260320"/>
      <w:r w:rsidRPr="00316837">
        <w:rPr>
          <w:rFonts w:eastAsia="Calibri"/>
        </w:rPr>
        <w:t>Guidelines 5.1: Synchroni</w:t>
      </w:r>
      <w:r w:rsidR="006D3CEF" w:rsidRPr="00316837">
        <w:rPr>
          <w:rFonts w:eastAsia="Calibri"/>
        </w:rPr>
        <w:t>s</w:t>
      </w:r>
      <w:r w:rsidRPr="00316837">
        <w:rPr>
          <w:rFonts w:eastAsia="Calibri"/>
        </w:rPr>
        <w:t>ing</w:t>
      </w:r>
      <w:r w:rsidR="006D3CEF" w:rsidRPr="00316837">
        <w:rPr>
          <w:rFonts w:eastAsia="Calibri"/>
        </w:rPr>
        <w:t xml:space="preserve"> </w:t>
      </w:r>
      <w:r w:rsidRPr="00316837">
        <w:rPr>
          <w:rFonts w:eastAsia="Calibri"/>
        </w:rPr>
        <w:t>Procedures</w:t>
      </w:r>
      <w:bookmarkEnd w:id="191"/>
      <w:r w:rsidRPr="00316837">
        <w:rPr>
          <w:rFonts w:eastAsia="Calibri"/>
        </w:rPr>
        <w:t xml:space="preserve"> </w:t>
      </w:r>
    </w:p>
    <w:p w14:paraId="2B2333D3" w14:textId="4DE4D57D" w:rsidR="006D3CEF" w:rsidRPr="00316837" w:rsidRDefault="006D3CEF" w:rsidP="006D3CEF">
      <w:pPr>
        <w:rPr>
          <w:rFonts w:eastAsia="Calibri"/>
          <w:szCs w:val="22"/>
        </w:rPr>
      </w:pPr>
      <w:r w:rsidRPr="00316837">
        <w:rPr>
          <w:rFonts w:eastAsia="Calibri"/>
          <w:szCs w:val="22"/>
        </w:rPr>
        <w:t xml:space="preserve">The synchronisation </w:t>
      </w:r>
      <w:r w:rsidR="0057594B" w:rsidRPr="00316837">
        <w:rPr>
          <w:rFonts w:eastAsia="Calibri"/>
          <w:szCs w:val="22"/>
        </w:rPr>
        <w:t xml:space="preserve">between two or more parts </w:t>
      </w:r>
      <w:r w:rsidRPr="00316837">
        <w:rPr>
          <w:rFonts w:eastAsia="Calibri"/>
          <w:szCs w:val="22"/>
        </w:rPr>
        <w:t xml:space="preserve">of the country (national level), between two </w:t>
      </w:r>
      <w:r w:rsidR="00E31D0E" w:rsidRPr="00316837">
        <w:rPr>
          <w:rFonts w:eastAsia="Calibri"/>
          <w:szCs w:val="22"/>
        </w:rPr>
        <w:t xml:space="preserve">or more </w:t>
      </w:r>
      <w:r w:rsidRPr="00316837">
        <w:rPr>
          <w:rFonts w:eastAsia="Calibri"/>
          <w:szCs w:val="22"/>
        </w:rPr>
        <w:t xml:space="preserve">countries (regional level), </w:t>
      </w:r>
      <w:r w:rsidR="00E31D0E" w:rsidRPr="00316837">
        <w:rPr>
          <w:rFonts w:eastAsia="Calibri"/>
          <w:szCs w:val="22"/>
        </w:rPr>
        <w:t>and/</w:t>
      </w:r>
      <w:r w:rsidRPr="00316837">
        <w:rPr>
          <w:rFonts w:eastAsia="Calibri"/>
          <w:szCs w:val="22"/>
        </w:rPr>
        <w:t xml:space="preserve">or between two or more Power Pools (continental level) </w:t>
      </w:r>
      <w:r w:rsidR="00E31D0E" w:rsidRPr="00316837">
        <w:rPr>
          <w:rFonts w:eastAsia="Calibri"/>
          <w:szCs w:val="22"/>
        </w:rPr>
        <w:t>is</w:t>
      </w:r>
      <w:r w:rsidRPr="00316837">
        <w:rPr>
          <w:rFonts w:eastAsia="Calibri"/>
          <w:szCs w:val="22"/>
        </w:rPr>
        <w:t xml:space="preserve"> a problematic issue for the national TSOs, the Control Areas Operators, and the </w:t>
      </w:r>
      <w:r w:rsidR="0057594B" w:rsidRPr="00316837">
        <w:rPr>
          <w:rFonts w:eastAsia="Calibri"/>
          <w:szCs w:val="22"/>
        </w:rPr>
        <w:t>R</w:t>
      </w:r>
      <w:r w:rsidRPr="00316837">
        <w:rPr>
          <w:rFonts w:eastAsia="Calibri"/>
          <w:szCs w:val="22"/>
        </w:rPr>
        <w:t xml:space="preserve">SMOs. Namely, two or more </w:t>
      </w:r>
      <w:r w:rsidR="00E31D0E" w:rsidRPr="00316837">
        <w:rPr>
          <w:rFonts w:eastAsia="Calibri"/>
          <w:szCs w:val="22"/>
        </w:rPr>
        <w:t xml:space="preserve">parts of a </w:t>
      </w:r>
      <w:r w:rsidR="0057594B" w:rsidRPr="00316837">
        <w:rPr>
          <w:rFonts w:eastAsia="Calibri"/>
          <w:szCs w:val="22"/>
        </w:rPr>
        <w:t xml:space="preserve">single </w:t>
      </w:r>
      <w:r w:rsidR="00E31D0E" w:rsidRPr="00316837">
        <w:rPr>
          <w:rFonts w:eastAsia="Calibri"/>
          <w:szCs w:val="22"/>
        </w:rPr>
        <w:t xml:space="preserve">power system or two or more </w:t>
      </w:r>
      <w:r w:rsidRPr="00316837">
        <w:rPr>
          <w:rFonts w:eastAsia="Calibri"/>
          <w:szCs w:val="22"/>
        </w:rPr>
        <w:t xml:space="preserve">power systems </w:t>
      </w:r>
      <w:r w:rsidR="0057594B" w:rsidRPr="00316837">
        <w:rPr>
          <w:rFonts w:eastAsia="Calibri"/>
          <w:szCs w:val="22"/>
        </w:rPr>
        <w:t xml:space="preserve">or two or more Power Pools </w:t>
      </w:r>
      <w:r w:rsidRPr="00316837">
        <w:rPr>
          <w:rFonts w:eastAsia="Calibri"/>
          <w:szCs w:val="22"/>
        </w:rPr>
        <w:t xml:space="preserve">cannot be connected physically if the generators in </w:t>
      </w:r>
      <w:r w:rsidR="00E31D0E" w:rsidRPr="00316837">
        <w:rPr>
          <w:rFonts w:eastAsia="Calibri"/>
          <w:szCs w:val="22"/>
        </w:rPr>
        <w:t>all parts</w:t>
      </w:r>
      <w:r w:rsidRPr="00316837">
        <w:rPr>
          <w:rFonts w:eastAsia="Calibri"/>
          <w:szCs w:val="22"/>
        </w:rPr>
        <w:t xml:space="preserve"> </w:t>
      </w:r>
      <w:r w:rsidR="0057594B" w:rsidRPr="00316837">
        <w:rPr>
          <w:rFonts w:eastAsia="Calibri"/>
          <w:szCs w:val="22"/>
        </w:rPr>
        <w:t xml:space="preserve">or power systems or Power Pools </w:t>
      </w:r>
      <w:r w:rsidRPr="00316837">
        <w:rPr>
          <w:rFonts w:eastAsia="Calibri"/>
          <w:szCs w:val="22"/>
        </w:rPr>
        <w:t xml:space="preserve">are not rotating approximately at the same speed (frequency). This implies that the frequency of one </w:t>
      </w:r>
      <w:r w:rsidR="0057594B" w:rsidRPr="00316837">
        <w:rPr>
          <w:rFonts w:eastAsia="Calibri"/>
          <w:szCs w:val="22"/>
        </w:rPr>
        <w:t xml:space="preserve">part or </w:t>
      </w:r>
      <w:r w:rsidRPr="00316837">
        <w:rPr>
          <w:rFonts w:eastAsia="Calibri"/>
          <w:szCs w:val="22"/>
        </w:rPr>
        <w:t xml:space="preserve">power system </w:t>
      </w:r>
      <w:r w:rsidR="0057594B" w:rsidRPr="00316837">
        <w:rPr>
          <w:rFonts w:eastAsia="Calibri"/>
          <w:szCs w:val="22"/>
        </w:rPr>
        <w:t xml:space="preserve">or Power Pool </w:t>
      </w:r>
      <w:r w:rsidRPr="00316837">
        <w:rPr>
          <w:rFonts w:eastAsia="Calibri"/>
          <w:szCs w:val="22"/>
        </w:rPr>
        <w:t xml:space="preserve">will need to be adjusted to match that of the other one before the circuit breaker can be closed to link them. </w:t>
      </w:r>
    </w:p>
    <w:p w14:paraId="72C6AD88" w14:textId="0540EE11" w:rsidR="006D3CEF" w:rsidRPr="00316837" w:rsidRDefault="006D3CEF" w:rsidP="006D3CEF">
      <w:pPr>
        <w:rPr>
          <w:rFonts w:eastAsia="Calibri"/>
          <w:szCs w:val="22"/>
        </w:rPr>
      </w:pPr>
      <w:r w:rsidRPr="00316837">
        <w:rPr>
          <w:rFonts w:eastAsia="Calibri"/>
          <w:szCs w:val="22"/>
        </w:rPr>
        <w:t>Coordination of a change in frequency requires</w:t>
      </w:r>
      <w:r w:rsidRPr="00316837">
        <w:t xml:space="preserve"> </w:t>
      </w:r>
      <w:r w:rsidRPr="00316837">
        <w:rPr>
          <w:rFonts w:eastAsia="Calibri"/>
          <w:szCs w:val="22"/>
        </w:rPr>
        <w:t xml:space="preserve">that designated generators in the designated </w:t>
      </w:r>
      <w:r w:rsidR="0057594B" w:rsidRPr="00316837">
        <w:rPr>
          <w:rFonts w:eastAsia="Calibri"/>
          <w:szCs w:val="22"/>
        </w:rPr>
        <w:t xml:space="preserve">part or </w:t>
      </w:r>
      <w:r w:rsidRPr="00316837">
        <w:rPr>
          <w:rFonts w:eastAsia="Calibri"/>
          <w:szCs w:val="22"/>
        </w:rPr>
        <w:t xml:space="preserve">power system </w:t>
      </w:r>
      <w:r w:rsidR="0057594B" w:rsidRPr="00316837">
        <w:rPr>
          <w:rFonts w:eastAsia="Calibri"/>
          <w:szCs w:val="22"/>
        </w:rPr>
        <w:t xml:space="preserve">or Power Pool </w:t>
      </w:r>
      <w:r w:rsidRPr="00316837">
        <w:rPr>
          <w:rFonts w:eastAsia="Calibri"/>
          <w:szCs w:val="22"/>
        </w:rPr>
        <w:t xml:space="preserve">all need to change their generation output in accordance with an agreed procedure to contribute to the frequency change required. When the targeted frequency in the other </w:t>
      </w:r>
      <w:r w:rsidR="0057594B" w:rsidRPr="00316837">
        <w:rPr>
          <w:rFonts w:eastAsia="Calibri"/>
          <w:szCs w:val="22"/>
        </w:rPr>
        <w:t xml:space="preserve">part or </w:t>
      </w:r>
      <w:r w:rsidRPr="00316837">
        <w:rPr>
          <w:rFonts w:eastAsia="Calibri"/>
          <w:szCs w:val="22"/>
        </w:rPr>
        <w:t xml:space="preserve">power system </w:t>
      </w:r>
      <w:r w:rsidR="0057594B" w:rsidRPr="00316837">
        <w:rPr>
          <w:rFonts w:eastAsia="Calibri"/>
          <w:szCs w:val="22"/>
        </w:rPr>
        <w:t xml:space="preserve">or Power Pool </w:t>
      </w:r>
      <w:r w:rsidRPr="00316837">
        <w:rPr>
          <w:rFonts w:eastAsia="Calibri"/>
          <w:szCs w:val="22"/>
        </w:rPr>
        <w:t xml:space="preserve">is changing constantly and each consists of a number of control centres, the synchronisation </w:t>
      </w:r>
      <w:r w:rsidR="0057594B" w:rsidRPr="00316837">
        <w:rPr>
          <w:rFonts w:eastAsia="Calibri"/>
          <w:szCs w:val="22"/>
        </w:rPr>
        <w:t>becomes</w:t>
      </w:r>
      <w:r w:rsidRPr="00316837">
        <w:rPr>
          <w:rFonts w:eastAsia="Calibri"/>
          <w:szCs w:val="22"/>
        </w:rPr>
        <w:t xml:space="preserve"> complex to achieve and requires some form of automation. </w:t>
      </w:r>
    </w:p>
    <w:p w14:paraId="2355FA18" w14:textId="1F51C4D9" w:rsidR="006D3CEF" w:rsidRPr="00316837" w:rsidRDefault="006D3CEF" w:rsidP="006D3CEF">
      <w:pPr>
        <w:rPr>
          <w:rFonts w:eastAsia="Calibri"/>
          <w:szCs w:val="22"/>
        </w:rPr>
      </w:pPr>
      <w:r w:rsidRPr="00316837">
        <w:rPr>
          <w:rFonts w:eastAsia="Calibri"/>
          <w:szCs w:val="22"/>
        </w:rPr>
        <w:t xml:space="preserve">For the synchronisation to become a success, all the existing codes, standards and guidelines within each </w:t>
      </w:r>
      <w:r w:rsidR="0057594B" w:rsidRPr="00316837">
        <w:rPr>
          <w:rFonts w:eastAsia="Calibri"/>
          <w:szCs w:val="22"/>
        </w:rPr>
        <w:t xml:space="preserve">part or </w:t>
      </w:r>
      <w:r w:rsidRPr="00316837">
        <w:rPr>
          <w:rFonts w:eastAsia="Calibri"/>
          <w:szCs w:val="22"/>
        </w:rPr>
        <w:t xml:space="preserve">power system </w:t>
      </w:r>
      <w:r w:rsidR="0057594B" w:rsidRPr="00316837">
        <w:rPr>
          <w:rFonts w:eastAsia="Calibri"/>
          <w:szCs w:val="22"/>
        </w:rPr>
        <w:t xml:space="preserve">or Power Pool </w:t>
      </w:r>
      <w:r w:rsidRPr="00316837">
        <w:rPr>
          <w:rFonts w:eastAsia="Calibri"/>
          <w:szCs w:val="22"/>
        </w:rPr>
        <w:t xml:space="preserve">should be harmonised. </w:t>
      </w:r>
      <w:r w:rsidR="00E31D0E" w:rsidRPr="00316837">
        <w:rPr>
          <w:rFonts w:eastAsia="Calibri"/>
          <w:szCs w:val="22"/>
        </w:rPr>
        <w:t>Moreover, t</w:t>
      </w:r>
      <w:r w:rsidRPr="00316837">
        <w:rPr>
          <w:rFonts w:eastAsia="Calibri"/>
          <w:szCs w:val="22"/>
        </w:rPr>
        <w:t xml:space="preserve">he operating regime in each </w:t>
      </w:r>
      <w:r w:rsidR="0057594B" w:rsidRPr="00316837">
        <w:rPr>
          <w:rFonts w:eastAsia="Calibri"/>
          <w:szCs w:val="22"/>
        </w:rPr>
        <w:t xml:space="preserve">part or </w:t>
      </w:r>
      <w:r w:rsidRPr="00316837">
        <w:rPr>
          <w:rFonts w:eastAsia="Calibri"/>
          <w:szCs w:val="22"/>
        </w:rPr>
        <w:t xml:space="preserve">power system </w:t>
      </w:r>
      <w:r w:rsidR="0057594B" w:rsidRPr="00316837">
        <w:rPr>
          <w:rFonts w:eastAsia="Calibri"/>
          <w:szCs w:val="22"/>
        </w:rPr>
        <w:t xml:space="preserve">or Power Pool </w:t>
      </w:r>
      <w:r w:rsidRPr="00316837">
        <w:rPr>
          <w:rFonts w:eastAsia="Calibri"/>
          <w:szCs w:val="22"/>
        </w:rPr>
        <w:t xml:space="preserve">and between them should be considered. Furthermore, the prior power system studies should provide possible electricity transfer scenarios over the interconnector, both in steady-state and dynamically during credible contingencies. The studies should also inform the appropriate steps to be taken to ensure control devices are correctly set and operating properly. The studies should furthermore provide information on how transfer capacity can be increased to ensure the trading. </w:t>
      </w:r>
    </w:p>
    <w:p w14:paraId="5AFD001D" w14:textId="423E5817" w:rsidR="00E31D0E" w:rsidRPr="00316837" w:rsidRDefault="006D3CEF" w:rsidP="006D3CEF">
      <w:pPr>
        <w:rPr>
          <w:rFonts w:eastAsia="Calibri"/>
          <w:szCs w:val="22"/>
        </w:rPr>
      </w:pPr>
      <w:r w:rsidRPr="00316837">
        <w:rPr>
          <w:rFonts w:eastAsia="Calibri"/>
          <w:szCs w:val="22"/>
        </w:rPr>
        <w:lastRenderedPageBreak/>
        <w:t>A set of minimum requirements for the reliable and predictable synchron</w:t>
      </w:r>
      <w:r w:rsidR="00E31D0E" w:rsidRPr="00316837">
        <w:rPr>
          <w:rFonts w:eastAsia="Calibri"/>
          <w:szCs w:val="22"/>
        </w:rPr>
        <w:t xml:space="preserve">isation </w:t>
      </w:r>
      <w:r w:rsidRPr="00316837">
        <w:rPr>
          <w:rFonts w:eastAsia="Calibri"/>
          <w:szCs w:val="22"/>
        </w:rPr>
        <w:t xml:space="preserve">of the power systems should be developed. </w:t>
      </w:r>
      <w:r w:rsidR="00E31D0E" w:rsidRPr="00316837">
        <w:rPr>
          <w:rFonts w:eastAsia="Calibri"/>
          <w:szCs w:val="22"/>
        </w:rPr>
        <w:t xml:space="preserve">Minimum synchronisation requirements as well as reclosing requirements should be defined at all the possible synchronisation circuits to ensure stability for various points along the interconnector. These requirements should be preliminary assessed with the use of different synchronisation and reclosure scenarios, testing the response at various phase angle differences at the moment of synchronisation and reclosure. </w:t>
      </w:r>
      <w:r w:rsidRPr="00316837">
        <w:rPr>
          <w:rFonts w:eastAsia="Calibri"/>
          <w:szCs w:val="22"/>
        </w:rPr>
        <w:t>Th</w:t>
      </w:r>
      <w:r w:rsidR="00E31D0E" w:rsidRPr="00316837">
        <w:rPr>
          <w:rFonts w:eastAsia="Calibri"/>
          <w:szCs w:val="22"/>
        </w:rPr>
        <w:t xml:space="preserve">ey </w:t>
      </w:r>
      <w:r w:rsidRPr="00316837">
        <w:rPr>
          <w:rFonts w:eastAsia="Calibri"/>
          <w:szCs w:val="22"/>
        </w:rPr>
        <w:t xml:space="preserve">should cover those aspects of the operation and technical coordination that are envisaged as essential in ensuring that the </w:t>
      </w:r>
      <w:r w:rsidR="0057594B" w:rsidRPr="00316837">
        <w:rPr>
          <w:rFonts w:eastAsia="Calibri"/>
          <w:szCs w:val="22"/>
        </w:rPr>
        <w:t xml:space="preserve">power </w:t>
      </w:r>
      <w:r w:rsidRPr="00316837">
        <w:rPr>
          <w:rFonts w:eastAsia="Calibri"/>
          <w:szCs w:val="22"/>
        </w:rPr>
        <w:t xml:space="preserve">can </w:t>
      </w:r>
      <w:r w:rsidR="0057594B" w:rsidRPr="00316837">
        <w:rPr>
          <w:rFonts w:eastAsia="Calibri"/>
          <w:szCs w:val="22"/>
        </w:rPr>
        <w:t xml:space="preserve">be </w:t>
      </w:r>
      <w:r w:rsidRPr="00316837">
        <w:rPr>
          <w:rFonts w:eastAsia="Calibri"/>
          <w:szCs w:val="22"/>
        </w:rPr>
        <w:t>transmit</w:t>
      </w:r>
      <w:r w:rsidR="0057594B" w:rsidRPr="00316837">
        <w:rPr>
          <w:rFonts w:eastAsia="Calibri"/>
          <w:szCs w:val="22"/>
        </w:rPr>
        <w:t>ted</w:t>
      </w:r>
      <w:r w:rsidRPr="00316837">
        <w:rPr>
          <w:rFonts w:eastAsia="Calibri"/>
          <w:szCs w:val="22"/>
        </w:rPr>
        <w:t xml:space="preserve"> in accordance with agreed electricity transactions over the interconnector. </w:t>
      </w:r>
    </w:p>
    <w:p w14:paraId="222C122D" w14:textId="6CC63FFF" w:rsidR="006D3CEF" w:rsidRPr="00316837" w:rsidRDefault="006D3CEF" w:rsidP="006D3CEF">
      <w:pPr>
        <w:rPr>
          <w:rFonts w:eastAsia="Calibri"/>
          <w:szCs w:val="22"/>
        </w:rPr>
      </w:pPr>
      <w:r w:rsidRPr="00316837">
        <w:rPr>
          <w:rFonts w:eastAsia="Calibri"/>
          <w:szCs w:val="22"/>
        </w:rPr>
        <w:t>Upon setting up the minimum requirements, such interconnection should be prepared through a synchronisation procedure. The synchronisation procedure should be developed, in consultation with the affected national TSOs, the Control Area Operators and the RSMOs, and include the responsible entity(s), the mechanism of dispatch, synchronising technical parameters (as informed by the power system studies), regulation control requirements, mandatory response</w:t>
      </w:r>
      <w:r w:rsidR="0057594B" w:rsidRPr="00316837">
        <w:rPr>
          <w:rFonts w:eastAsia="Calibri"/>
          <w:szCs w:val="22"/>
        </w:rPr>
        <w:t>,</w:t>
      </w:r>
      <w:r w:rsidRPr="00316837">
        <w:rPr>
          <w:rFonts w:eastAsia="Calibri"/>
          <w:szCs w:val="22"/>
        </w:rPr>
        <w:t xml:space="preserve"> and any monetary compensation required to compensate service providers. </w:t>
      </w:r>
    </w:p>
    <w:p w14:paraId="13C77251" w14:textId="58562D33" w:rsidR="006D3CEF" w:rsidRPr="00316837" w:rsidRDefault="006D3CEF" w:rsidP="006D3CEF">
      <w:pPr>
        <w:rPr>
          <w:rFonts w:eastAsia="Calibri"/>
          <w:szCs w:val="22"/>
        </w:rPr>
      </w:pPr>
      <w:r w:rsidRPr="00316837">
        <w:rPr>
          <w:rFonts w:eastAsia="Calibri"/>
          <w:szCs w:val="22"/>
        </w:rPr>
        <w:t xml:space="preserve">One </w:t>
      </w:r>
      <w:r w:rsidR="0057594B" w:rsidRPr="00316837">
        <w:rPr>
          <w:rFonts w:eastAsia="Calibri"/>
          <w:szCs w:val="22"/>
        </w:rPr>
        <w:t xml:space="preserve">interconnecting entity (part or power system or Power Pool) </w:t>
      </w:r>
      <w:r w:rsidRPr="00316837">
        <w:rPr>
          <w:rFonts w:eastAsia="Calibri"/>
          <w:szCs w:val="22"/>
        </w:rPr>
        <w:t xml:space="preserve">should be identified as the reference </w:t>
      </w:r>
      <w:r w:rsidR="0057594B" w:rsidRPr="00316837">
        <w:rPr>
          <w:rFonts w:eastAsia="Calibri"/>
          <w:szCs w:val="22"/>
        </w:rPr>
        <w:t xml:space="preserve">system </w:t>
      </w:r>
      <w:r w:rsidRPr="00316837">
        <w:rPr>
          <w:rFonts w:eastAsia="Calibri"/>
          <w:szCs w:val="22"/>
        </w:rPr>
        <w:t xml:space="preserve">and the other one as the synchroniser system. The synchroniser system requires a synchronising leader system operator (the national TSO, the Control Area Operator, or the RSMO) who has full control and priority to give instructions to designated synchronising power plants (this can be an ancillary service or mandatory). </w:t>
      </w:r>
    </w:p>
    <w:p w14:paraId="02BE0ED2" w14:textId="02F4954E" w:rsidR="006D3CEF" w:rsidRPr="00316837" w:rsidRDefault="006D3CEF" w:rsidP="006D3CEF">
      <w:pPr>
        <w:rPr>
          <w:rFonts w:eastAsia="Calibri"/>
          <w:szCs w:val="22"/>
        </w:rPr>
      </w:pPr>
      <w:r w:rsidRPr="00316837">
        <w:rPr>
          <w:rFonts w:eastAsia="Calibri"/>
          <w:szCs w:val="22"/>
        </w:rPr>
        <w:t xml:space="preserve">The synchronising leaders should be determined for </w:t>
      </w:r>
      <w:r w:rsidR="0057594B" w:rsidRPr="00316837">
        <w:rPr>
          <w:rFonts w:eastAsia="Calibri"/>
          <w:szCs w:val="22"/>
        </w:rPr>
        <w:t>both</w:t>
      </w:r>
      <w:r w:rsidRPr="00316837">
        <w:rPr>
          <w:rFonts w:eastAsia="Calibri"/>
          <w:szCs w:val="22"/>
        </w:rPr>
        <w:t xml:space="preserve"> interconnecting </w:t>
      </w:r>
      <w:r w:rsidR="0057594B" w:rsidRPr="00316837">
        <w:rPr>
          <w:rFonts w:eastAsia="Calibri"/>
          <w:szCs w:val="22"/>
        </w:rPr>
        <w:t>entities</w:t>
      </w:r>
      <w:r w:rsidRPr="00316837">
        <w:rPr>
          <w:rFonts w:eastAsia="Calibri"/>
          <w:szCs w:val="22"/>
        </w:rPr>
        <w:t xml:space="preserve"> (including the ability for them to lead over other </w:t>
      </w:r>
      <w:r w:rsidR="0057594B" w:rsidRPr="00316837">
        <w:rPr>
          <w:rFonts w:eastAsia="Calibri"/>
          <w:szCs w:val="22"/>
        </w:rPr>
        <w:t xml:space="preserve">operators </w:t>
      </w:r>
      <w:r w:rsidRPr="00316837">
        <w:rPr>
          <w:rFonts w:eastAsia="Calibri"/>
          <w:szCs w:val="22"/>
        </w:rPr>
        <w:t xml:space="preserve">and have view of all system frequencies depending on where the separation occurred). </w:t>
      </w:r>
      <w:r w:rsidR="0057594B" w:rsidRPr="00316837">
        <w:rPr>
          <w:rFonts w:eastAsia="Calibri"/>
          <w:szCs w:val="22"/>
        </w:rPr>
        <w:t xml:space="preserve">Synchronising facilities should be installed at the interconnecting substations, as well as other points on the interconnector where system separation is possible. </w:t>
      </w:r>
      <w:r w:rsidRPr="00316837">
        <w:rPr>
          <w:rFonts w:eastAsia="Calibri"/>
          <w:szCs w:val="22"/>
        </w:rPr>
        <w:t xml:space="preserve">A synchronising check list should be developed to assist the operators. </w:t>
      </w:r>
    </w:p>
    <w:p w14:paraId="1F3D02D4" w14:textId="2987D58F" w:rsidR="009850A7" w:rsidRPr="00316837" w:rsidRDefault="009850A7" w:rsidP="009850A7">
      <w:pPr>
        <w:rPr>
          <w:rFonts w:eastAsia="Calibri"/>
          <w:bCs/>
          <w:szCs w:val="22"/>
        </w:rPr>
      </w:pPr>
      <w:r w:rsidRPr="00316837">
        <w:rPr>
          <w:rFonts w:eastAsia="Calibri"/>
          <w:bCs/>
          <w:szCs w:val="22"/>
        </w:rPr>
        <w:t xml:space="preserve">In line with the above, the following actions will be undertaken to prepare for the synchronisation: </w:t>
      </w:r>
    </w:p>
    <w:p w14:paraId="02A23A23" w14:textId="77777777" w:rsidR="009850A7" w:rsidRPr="00316837" w:rsidRDefault="009850A7" w:rsidP="00E92788">
      <w:pPr>
        <w:pStyle w:val="ListParagraph"/>
        <w:numPr>
          <w:ilvl w:val="0"/>
          <w:numId w:val="7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Conduct studies to determine optimal synchronising procedure with consideration of available generation sources and different pre-synchronising scenarios; </w:t>
      </w:r>
    </w:p>
    <w:p w14:paraId="249D1042" w14:textId="77777777" w:rsidR="009850A7" w:rsidRPr="00316837" w:rsidRDefault="009850A7" w:rsidP="00E92788">
      <w:pPr>
        <w:pStyle w:val="ListParagraph"/>
        <w:numPr>
          <w:ilvl w:val="0"/>
          <w:numId w:val="7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Develop procedure for synchronising, with consideration of the available generation and control centres; </w:t>
      </w:r>
    </w:p>
    <w:p w14:paraId="388568A7" w14:textId="7708D4E1" w:rsidR="009850A7" w:rsidRPr="00316837" w:rsidRDefault="009850A7" w:rsidP="00E92788">
      <w:pPr>
        <w:pStyle w:val="ListParagraph"/>
        <w:numPr>
          <w:ilvl w:val="0"/>
          <w:numId w:val="7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Workshop and agree on procedure; </w:t>
      </w:r>
    </w:p>
    <w:p w14:paraId="63FDD646" w14:textId="77777777" w:rsidR="009850A7" w:rsidRPr="00316837" w:rsidRDefault="009850A7" w:rsidP="00E92788">
      <w:pPr>
        <w:pStyle w:val="ListParagraph"/>
        <w:numPr>
          <w:ilvl w:val="0"/>
          <w:numId w:val="7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Reach agreement of synchronising leader(s) and roles; and </w:t>
      </w:r>
    </w:p>
    <w:p w14:paraId="7C107A9E" w14:textId="1B4585D1" w:rsidR="009850A7" w:rsidRPr="00316837" w:rsidRDefault="009850A7" w:rsidP="00E92788">
      <w:pPr>
        <w:pStyle w:val="ListParagraph"/>
        <w:numPr>
          <w:ilvl w:val="0"/>
          <w:numId w:val="7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Implement control systems and testing of procedures. </w:t>
      </w:r>
    </w:p>
    <w:p w14:paraId="3D7DD1D8" w14:textId="77777777" w:rsidR="00AD0D40" w:rsidRPr="00316837" w:rsidRDefault="00AD0D40" w:rsidP="00AD0D40">
      <w:pPr>
        <w:rPr>
          <w:rFonts w:eastAsia="Calibri"/>
          <w:szCs w:val="22"/>
        </w:rPr>
      </w:pPr>
      <w:r w:rsidRPr="00316837">
        <w:rPr>
          <w:rFonts w:eastAsia="Calibri"/>
          <w:szCs w:val="22"/>
        </w:rPr>
        <w:t xml:space="preserve">The current status of synchronisation per Power Pool is the following: </w:t>
      </w:r>
    </w:p>
    <w:p w14:paraId="1EE83113" w14:textId="77777777" w:rsidR="00AD0D40" w:rsidRPr="00316837" w:rsidRDefault="00AD0D40" w:rsidP="00E92788">
      <w:pPr>
        <w:pStyle w:val="ListParagraph"/>
        <w:numPr>
          <w:ilvl w:val="0"/>
          <w:numId w:val="7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SAPP. 12 of the 16 SADC Member States are covered, 9 of which are interconnected at transmission level and actively operate in SAPP. Another 3 (Angola, Malawi, and Tanzania) are at various stages of joining in the interconnection. The 2017 SAPP Pool Plan envisages a development of the main transmission corridors with the aim to integrate new generation projects that are committed. SAPP defined the high priority generation and transmission projects, and identified required interconnectors and their transfer limits. The projects to interconnect the three non-operating members, which are not yet interconnected to the SAPP grid, are made the SAPP priority transmission projects. </w:t>
      </w:r>
    </w:p>
    <w:p w14:paraId="4CAF6511" w14:textId="5EC349DD" w:rsidR="00AD0D40" w:rsidRPr="00316837" w:rsidRDefault="00AD0D40" w:rsidP="00E92788">
      <w:pPr>
        <w:pStyle w:val="ListParagraph"/>
        <w:numPr>
          <w:ilvl w:val="0"/>
          <w:numId w:val="78"/>
        </w:numPr>
        <w:spacing w:before="160" w:after="0" w:line="288" w:lineRule="auto"/>
        <w:rPr>
          <w:rFonts w:ascii="Arial" w:hAnsi="Arial" w:cs="Arial"/>
          <w:sz w:val="20"/>
          <w:szCs w:val="20"/>
          <w:lang w:val="en-GB"/>
        </w:rPr>
      </w:pPr>
      <w:r w:rsidRPr="00316837">
        <w:rPr>
          <w:rFonts w:ascii="Arial" w:hAnsi="Arial" w:cs="Arial"/>
          <w:sz w:val="20"/>
          <w:szCs w:val="20"/>
          <w:lang w:val="en-GB"/>
        </w:rPr>
        <w:t>WAPP. 14 of the 15 ECOWAS Member States are covered. Although there are some interconnections among different ECOWAS Member States, WAPP does not operate as a single synchronous zone due to power system stability issues. More precisely, 9 ECOWAS Member States are electrically interconnected, but operate as three synchronous networks (Eastern, Central, and Western) with predictable directions of electricity flows. The 2018 WAPP Masterplan aims at ensuring the synchronisation and stability of the power system in the short-term, improving the integration of variable renewable energy sources in the medium-term, and complying with the (</w:t>
      </w:r>
      <w:r w:rsidR="00B6101C" w:rsidRPr="00316837">
        <w:rPr>
          <w:rFonts w:ascii="Arial" w:hAnsi="Arial" w:cs="Arial"/>
          <w:sz w:val="20"/>
          <w:szCs w:val="20"/>
          <w:lang w:val="en-GB"/>
        </w:rPr>
        <w:t>N</w:t>
      </w:r>
      <w:r w:rsidRPr="00316837">
        <w:rPr>
          <w:rFonts w:ascii="Arial" w:hAnsi="Arial" w:cs="Arial"/>
          <w:sz w:val="20"/>
          <w:szCs w:val="20"/>
          <w:lang w:val="en-GB"/>
        </w:rPr>
        <w:t xml:space="preserve">-1) security criterion </w:t>
      </w:r>
      <w:r w:rsidRPr="00316837">
        <w:rPr>
          <w:rFonts w:ascii="Arial" w:hAnsi="Arial" w:cs="Arial"/>
          <w:sz w:val="20"/>
          <w:szCs w:val="20"/>
          <w:lang w:val="en-GB"/>
        </w:rPr>
        <w:lastRenderedPageBreak/>
        <w:t xml:space="preserve">in the long-term. The synchronisation project, i.e. integration of the noted three main separated unsynchronised areas and the remaining five not-interconnected (isolated) systems into a single synchronous zone covering the 14 mainland ECOWAS Member States, is ongoing. Three working groups have been established in that direction, namely for: 1) frequency adjustment, 2) protection coordination, and 3) network reliability assessment. These advise on the implementation of the system services market, i.e. the establishment of primary, secondary and tertiary reserves, the maintenance of the system voltage plan, and the provision of mutual support in emergencies (black-start capability). A tentative objective for the synchronisation is set at 2021-2022. </w:t>
      </w:r>
    </w:p>
    <w:p w14:paraId="7FC51BBB" w14:textId="77777777" w:rsidR="00AD0D40" w:rsidRPr="00316837" w:rsidRDefault="00AD0D40" w:rsidP="00E92788">
      <w:pPr>
        <w:pStyle w:val="ListParagraph"/>
        <w:numPr>
          <w:ilvl w:val="0"/>
          <w:numId w:val="7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EAPP. 12 Member States are covered. In 2021, the regional electricity system and market operation in the Eastern Africa Region is at a critical juncture since many national transmission systems will soon be interconnected and many of the electricity utilities will be enabled for the first time to trade in electricity across borders. Several critical interconnection projects which will serve as the main backbone transmission lines are progressing and are close to completion (Ethiopia-Kenya interconnector; Ethiopia-Sudan interconnector (the second phase), under study; Zambia-Tanzania-Kenya interconnector, under implementation; and Uganda-Tanzania interconnector, under study). The EAPP Ten-Year Strategic Plan (2021-2030) and the Three-Year Action Plan (2021-2024) guide several activities and programmes to ensure the Power Pool’s interconnected grid is operated safely for the purpose of facilitating regional electricity trade. </w:t>
      </w:r>
    </w:p>
    <w:p w14:paraId="47C5DDFA" w14:textId="77777777" w:rsidR="00AD0D40" w:rsidRPr="00316837" w:rsidRDefault="00AD0D40" w:rsidP="00E92788">
      <w:pPr>
        <w:pStyle w:val="ListParagraph"/>
        <w:numPr>
          <w:ilvl w:val="0"/>
          <w:numId w:val="7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CAPP. 11 ECCAS Member States are covered. There is a significant need to strengthen internal transmission networks and construct cross-border interconnections. Of all Power Pools, CAPP is the one with the fewest interconnections to date. The only cross-border high voltage link exists between Congo and D.R. Congo. Part of the D.R. Congo's high-voltage transmission network is connected to SAPP interconnected network. However, many cross-border projects within CAPP will entry into service by 2035. Two types of such projects are distinguished: the priority integration projects and the cross-border electrification projects. The “market” is truly embryonic since the regional electricity network is not synchronised at the level of CAPP. The lack of electricity trade is the norm today – it is currently conducted only sporadically between a few neighbouring CAPP member utilities/states on the basis of bilateral contracts and without any specific rules for the regional trade. </w:t>
      </w:r>
    </w:p>
    <w:p w14:paraId="02029D37" w14:textId="762E2276" w:rsidR="00E31D0E" w:rsidRPr="00316837" w:rsidRDefault="00AD0D40" w:rsidP="00E92788">
      <w:pPr>
        <w:pStyle w:val="ListParagraph"/>
        <w:numPr>
          <w:ilvl w:val="0"/>
          <w:numId w:val="7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COMELEC. 5 AMU Member States are covered. Three synchronous blocks are in operation (Morocco-Algeria-Tunisia; Libya-Egypt; and Mauritania-Senegal). The existing interconnections (intra-Maghreb and Euro-Maghreb) make it possible to facilitate electricity exchanges. The Euro-Maghreb interconnection consists of two 400 kV </w:t>
      </w:r>
      <w:r w:rsidR="001D4932" w:rsidRPr="00316837">
        <w:rPr>
          <w:rFonts w:ascii="Arial" w:hAnsi="Arial" w:cs="Arial"/>
          <w:sz w:val="20"/>
          <w:szCs w:val="20"/>
          <w:lang w:val="en-GB"/>
        </w:rPr>
        <w:t>HV</w:t>
      </w:r>
      <w:r w:rsidRPr="00316837">
        <w:rPr>
          <w:rFonts w:ascii="Arial" w:hAnsi="Arial" w:cs="Arial"/>
          <w:sz w:val="20"/>
          <w:szCs w:val="20"/>
          <w:lang w:val="en-GB"/>
        </w:rPr>
        <w:t>AC submarine links of 1400 MW transit capacity between Morocco and Spain. The regional integration will be pursued depending on the success in mobilisation of funding, through: 1) the preparation for the reliable synchronous operation of the interconnected electricity system of the ELTAM countries (as a part of the extension of the intra-Maghreb interconnection); 2) the development of regional interconnections (COMELEC-WAPP and COMELEC-Europe); and 3) the development of the Maghreb electricity market.</w:t>
      </w:r>
      <w:r w:rsidR="001D4932" w:rsidRPr="00316837">
        <w:rPr>
          <w:rFonts w:ascii="Arial" w:hAnsi="Arial" w:cs="Arial"/>
          <w:sz w:val="20"/>
          <w:szCs w:val="20"/>
          <w:lang w:val="en-GB"/>
        </w:rPr>
        <w:t xml:space="preserve"> </w:t>
      </w:r>
    </w:p>
    <w:p w14:paraId="33428D40" w14:textId="5AA2D336" w:rsidR="00E31D0E" w:rsidRPr="00316837" w:rsidRDefault="00AD0D40" w:rsidP="00483DE9">
      <w:pPr>
        <w:rPr>
          <w:rFonts w:eastAsia="Calibri"/>
          <w:szCs w:val="22"/>
        </w:rPr>
      </w:pPr>
      <w:r w:rsidRPr="00316837">
        <w:rPr>
          <w:rFonts w:eastAsia="Calibri"/>
          <w:szCs w:val="22"/>
        </w:rPr>
        <w:t xml:space="preserve">Based on the above discussions, the Guidelines 5.1 is presented as follows: </w:t>
      </w:r>
    </w:p>
    <w:p w14:paraId="338DA4E5" w14:textId="061073A2" w:rsidR="00AD0D40" w:rsidRPr="00654753" w:rsidRDefault="00AD0D40" w:rsidP="00483DE9">
      <w:pPr>
        <w:rPr>
          <w:rFonts w:eastAsia="Calibri"/>
          <w:szCs w:val="22"/>
        </w:rPr>
      </w:pPr>
      <w:r w:rsidRPr="006273BD">
        <w:rPr>
          <w:rFonts w:eastAsia="Calibri"/>
          <w:noProof/>
          <w:lang w:eastAsia="en-GB"/>
        </w:rPr>
        <w:lastRenderedPageBreak/>
        <mc:AlternateContent>
          <mc:Choice Requires="wps">
            <w:drawing>
              <wp:inline distT="0" distB="0" distL="0" distR="0" wp14:anchorId="4030BC1E" wp14:editId="58B8DB5F">
                <wp:extent cx="6112800" cy="8116311"/>
                <wp:effectExtent l="0" t="0" r="21590" b="18415"/>
                <wp:docPr id="58" name="Text Box 58"/>
                <wp:cNvGraphicFramePr/>
                <a:graphic xmlns:a="http://schemas.openxmlformats.org/drawingml/2006/main">
                  <a:graphicData uri="http://schemas.microsoft.com/office/word/2010/wordprocessingShape">
                    <wps:wsp>
                      <wps:cNvSpPr txBox="1"/>
                      <wps:spPr>
                        <a:xfrm>
                          <a:off x="0" y="0"/>
                          <a:ext cx="6112800" cy="8116311"/>
                        </a:xfrm>
                        <a:prstGeom prst="rect">
                          <a:avLst/>
                        </a:prstGeom>
                        <a:solidFill>
                          <a:srgbClr val="9BBB59">
                            <a:lumMod val="20000"/>
                            <a:lumOff val="80000"/>
                          </a:srgbClr>
                        </a:solidFill>
                        <a:ln w="6350">
                          <a:solidFill>
                            <a:prstClr val="black"/>
                          </a:solidFill>
                        </a:ln>
                        <a:effectLst/>
                      </wps:spPr>
                      <wps:txbx>
                        <w:txbxContent>
                          <w:p w14:paraId="6A792EC6" w14:textId="544D201E" w:rsidR="005276A4" w:rsidRPr="00865FCB" w:rsidRDefault="005276A4" w:rsidP="00AD0D40">
                            <w:pPr>
                              <w:jc w:val="left"/>
                              <w:rPr>
                                <w:bCs/>
                              </w:rPr>
                            </w:pPr>
                            <w:r w:rsidRPr="00865FCB">
                              <w:rPr>
                                <w:bCs/>
                              </w:rPr>
                              <w:t xml:space="preserve">Guidelines </w:t>
                            </w:r>
                            <w:r>
                              <w:rPr>
                                <w:bCs/>
                              </w:rPr>
                              <w:t>5.1:</w:t>
                            </w:r>
                            <w:r w:rsidRPr="00865FCB">
                              <w:rPr>
                                <w:bCs/>
                              </w:rPr>
                              <w:t xml:space="preserve"> </w:t>
                            </w:r>
                            <w:r w:rsidRPr="00AD0D40">
                              <w:rPr>
                                <w:bCs/>
                              </w:rPr>
                              <w:t>Synchronising Procedures</w:t>
                            </w:r>
                            <w:r>
                              <w:rPr>
                                <w:bCs/>
                              </w:rPr>
                              <w:t xml:space="preserve"> </w:t>
                            </w:r>
                          </w:p>
                          <w:p w14:paraId="08C0A49D" w14:textId="661B3C05"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At the given level (national, regional or continental) level, the national TSO or the Control System Operator or the RSMO will coordinate the formation of isolated areas until such time as the synchronisation has occurred.</w:t>
                            </w:r>
                            <w:r>
                              <w:rPr>
                                <w:rFonts w:ascii="Arial" w:hAnsi="Arial" w:cs="Arial"/>
                                <w:bCs/>
                                <w:sz w:val="20"/>
                                <w:szCs w:val="20"/>
                                <w:lang w:val="en-GB"/>
                              </w:rPr>
                              <w:t xml:space="preserve"> </w:t>
                            </w:r>
                          </w:p>
                          <w:p w14:paraId="7119D2D0" w14:textId="77777777" w:rsidR="005276A4" w:rsidRPr="009850A7"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 xml:space="preserve">For example, at the regional level: </w:t>
                            </w:r>
                          </w:p>
                          <w:p w14:paraId="06B96596" w14:textId="77777777" w:rsidR="005276A4" w:rsidRPr="009850A7"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 xml:space="preserve">The RSMO will coordinate the formation of isolated areas where such areas include more than one national system. It will also designate one national TSO to act as the Control Area Operator for such an area; </w:t>
                            </w:r>
                          </w:p>
                          <w:p w14:paraId="117ACDE3" w14:textId="77777777" w:rsidR="005276A4" w:rsidRPr="009850A7"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 xml:space="preserve">When frequency, voltage, and phase angle permit, the RSMO will initiate the synchronisation of the isolated area(s) with the surrounding area(s), properly notifying adjacent systems of the size of the area being connected and the capacity of transmission lines effecting the synchronisation; and </w:t>
                            </w:r>
                          </w:p>
                          <w:p w14:paraId="3DDA6D39" w14:textId="2E29D6EA"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The synchronisation will be performed in line with the synchronising procedure.</w:t>
                            </w:r>
                            <w:r w:rsidR="00316837">
                              <w:rPr>
                                <w:rFonts w:ascii="Arial" w:hAnsi="Arial" w:cs="Arial"/>
                                <w:bCs/>
                                <w:sz w:val="20"/>
                                <w:szCs w:val="20"/>
                                <w:lang w:val="en-GB"/>
                              </w:rPr>
                              <w:t xml:space="preserve"> </w:t>
                            </w:r>
                          </w:p>
                          <w:p w14:paraId="18D59386" w14:textId="6BF180CE"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 xml:space="preserve">The synchronising procedure will be developed in consultation with the affected national TSOs, the Control System Operators, and the RSMOs. This will include the responsible entities, the mechanism of dispatch, the synchronising technical parameters, the regulation control requirements, the mandatory response, and any monetary compensation required to compensate service providers. Synchronising facilities will be installed at the interconnecting substations, </w:t>
                            </w:r>
                            <w:r>
                              <w:rPr>
                                <w:rFonts w:ascii="Arial" w:hAnsi="Arial" w:cs="Arial"/>
                                <w:bCs/>
                                <w:sz w:val="20"/>
                                <w:szCs w:val="20"/>
                                <w:lang w:val="en-GB"/>
                              </w:rPr>
                              <w:t>and</w:t>
                            </w:r>
                            <w:r w:rsidRPr="009850A7">
                              <w:rPr>
                                <w:rFonts w:ascii="Arial" w:hAnsi="Arial" w:cs="Arial"/>
                                <w:bCs/>
                                <w:sz w:val="20"/>
                                <w:szCs w:val="20"/>
                                <w:lang w:val="en-GB"/>
                              </w:rPr>
                              <w:t xml:space="preserve"> other points on the interconnector where system separation is possible.</w:t>
                            </w:r>
                            <w:r>
                              <w:rPr>
                                <w:rFonts w:ascii="Arial" w:hAnsi="Arial" w:cs="Arial"/>
                                <w:bCs/>
                                <w:sz w:val="20"/>
                                <w:szCs w:val="20"/>
                                <w:lang w:val="en-GB"/>
                              </w:rPr>
                              <w:t xml:space="preserve"> </w:t>
                            </w:r>
                          </w:p>
                          <w:p w14:paraId="31B1575D" w14:textId="646AA392"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One system operator (the national TSO or the Control Area Operator or the RSMO depending on the level at which the synchronisation is to be realised) will be identified as the reference system operator and the other one as the synchroniser system operator. The synchroniser system operator will require a synchronising leader who has full control and priority to give instructions to designated synchronising power stations (this can be an ancillary service or mandatory).</w:t>
                            </w:r>
                            <w:r>
                              <w:rPr>
                                <w:rFonts w:ascii="Arial" w:hAnsi="Arial" w:cs="Arial"/>
                                <w:bCs/>
                                <w:sz w:val="20"/>
                                <w:szCs w:val="20"/>
                                <w:lang w:val="en-GB"/>
                              </w:rPr>
                              <w:t xml:space="preserve"> </w:t>
                            </w:r>
                          </w:p>
                          <w:p w14:paraId="6A121026" w14:textId="3A22EDA1"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The synchronising leaders will be determined for both interconnecting entities (including the ability for them to lead over other operators and have view of all system frequencies depending on where the separation occurred). A synchronising check list will be developed to assist the operators.</w:t>
                            </w:r>
                            <w:r>
                              <w:rPr>
                                <w:rFonts w:ascii="Arial" w:hAnsi="Arial" w:cs="Arial"/>
                                <w:bCs/>
                                <w:sz w:val="20"/>
                                <w:szCs w:val="20"/>
                                <w:lang w:val="en-GB"/>
                              </w:rPr>
                              <w:t xml:space="preserve"> </w:t>
                            </w:r>
                          </w:p>
                          <w:p w14:paraId="655E1549" w14:textId="69030F5B"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The synchronising leader will be the national TSO that has access to switching at the synchronising point, frequency measurements from both regions, voltage measurements from the synchronising substations, and ability to control voltages at the synchronising points. The synchronising leader will establish the target value of frequency, the maximum frequency difference, the maximum active and reactive power exchange upon closing, and the operating mode on the frequency controller.</w:t>
                            </w:r>
                            <w:r>
                              <w:rPr>
                                <w:rFonts w:ascii="Arial" w:hAnsi="Arial" w:cs="Arial"/>
                                <w:bCs/>
                                <w:sz w:val="20"/>
                                <w:szCs w:val="20"/>
                                <w:lang w:val="en-GB"/>
                              </w:rPr>
                              <w:t xml:space="preserve"> </w:t>
                            </w:r>
                          </w:p>
                          <w:p w14:paraId="1E078377" w14:textId="3570F60B"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Plausible synchronising conditions can be as follows: system frequencies within 0.2 Hz, with closing angle of less than 20 degrees. The synchronising modes can be improved by additional compensation to compensate for power swings.</w:t>
                            </w:r>
                            <w:r>
                              <w:rPr>
                                <w:rFonts w:ascii="Arial" w:hAnsi="Arial" w:cs="Arial"/>
                                <w:bCs/>
                                <w:sz w:val="20"/>
                                <w:szCs w:val="20"/>
                                <w:lang w:val="en-GB"/>
                              </w:rPr>
                              <w:t xml:space="preserve"> </w:t>
                            </w:r>
                          </w:p>
                          <w:p w14:paraId="75BAA539" w14:textId="276D82C6"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The synchronising procedure will be defined and well-documented, including the specific multi-country synchronising procedure. This will have to be adequate to attend to the demands that will be placed in order to synchronise (and resynchronise after system separation).</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30BC1E" id="Text Box 58" o:spid="_x0000_s1049" type="#_x0000_t202" style="width:481.3pt;height:6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" fillcolor="#ebf1de" strokeweight=".5pt">
                <v:textbox>
                  <w:txbxContent>
                    <w:p w14:paraId="6A792EC6" w14:textId="544D201E" w:rsidR="005276A4" w:rsidRPr="00865FCB" w:rsidRDefault="005276A4" w:rsidP="00AD0D40">
                      <w:pPr>
                        <w:jc w:val="left"/>
                        <w:rPr>
                          <w:bCs/>
                        </w:rPr>
                      </w:pPr>
                      <w:r w:rsidRPr="00865FCB">
                        <w:rPr>
                          <w:bCs/>
                        </w:rPr>
                        <w:t xml:space="preserve">Guidelines </w:t>
                      </w:r>
                      <w:r>
                        <w:rPr>
                          <w:bCs/>
                        </w:rPr>
                        <w:t>5.1:</w:t>
                      </w:r>
                      <w:r w:rsidRPr="00865FCB">
                        <w:rPr>
                          <w:bCs/>
                        </w:rPr>
                        <w:t xml:space="preserve"> </w:t>
                      </w:r>
                      <w:r w:rsidRPr="00AD0D40">
                        <w:rPr>
                          <w:bCs/>
                        </w:rPr>
                        <w:t>Synchronising Procedures</w:t>
                      </w:r>
                      <w:r>
                        <w:rPr>
                          <w:bCs/>
                        </w:rPr>
                        <w:t xml:space="preserve"> </w:t>
                      </w:r>
                    </w:p>
                    <w:p w14:paraId="08C0A49D" w14:textId="661B3C05"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At the given level (national, regional or continental) level, the national TSO or the Control System Operator or the RSMO will coordinate the formation of isolated areas until such time as the synchronisation has occurred.</w:t>
                      </w:r>
                      <w:r>
                        <w:rPr>
                          <w:rFonts w:ascii="Arial" w:hAnsi="Arial" w:cs="Arial"/>
                          <w:bCs/>
                          <w:sz w:val="20"/>
                          <w:szCs w:val="20"/>
                          <w:lang w:val="en-GB"/>
                        </w:rPr>
                        <w:t xml:space="preserve"> </w:t>
                      </w:r>
                    </w:p>
                    <w:p w14:paraId="7119D2D0" w14:textId="77777777" w:rsidR="005276A4" w:rsidRPr="009850A7"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 xml:space="preserve">For example, at the regional level: </w:t>
                      </w:r>
                    </w:p>
                    <w:p w14:paraId="06B96596" w14:textId="77777777" w:rsidR="005276A4" w:rsidRPr="009850A7"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 xml:space="preserve">The RSMO will coordinate the formation of isolated areas where such areas include more than one national system. It will also designate one national TSO to act as the Control Area Operator for such an area; </w:t>
                      </w:r>
                    </w:p>
                    <w:p w14:paraId="117ACDE3" w14:textId="77777777" w:rsidR="005276A4" w:rsidRPr="009850A7"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 xml:space="preserve">When frequency, voltage, and phase angle permit, the RSMO will initiate the synchronisation of the isolated area(s) with the surrounding area(s), properly notifying adjacent systems of the size of the area being connected and the capacity of transmission lines effecting the synchronisation; and </w:t>
                      </w:r>
                    </w:p>
                    <w:p w14:paraId="3DDA6D39" w14:textId="2E29D6EA"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The synchronisation will be performed in line with the synchronising procedure.</w:t>
                      </w:r>
                      <w:r w:rsidR="00316837">
                        <w:rPr>
                          <w:rFonts w:ascii="Arial" w:hAnsi="Arial" w:cs="Arial"/>
                          <w:bCs/>
                          <w:sz w:val="20"/>
                          <w:szCs w:val="20"/>
                          <w:lang w:val="en-GB"/>
                        </w:rPr>
                        <w:t xml:space="preserve"> </w:t>
                      </w:r>
                    </w:p>
                    <w:p w14:paraId="18D59386" w14:textId="6BF180CE"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 xml:space="preserve">The synchronising procedure will be developed in consultation with the affected national TSOs, the Control System Operators, and the RSMOs. This will include the responsible entities, the mechanism of dispatch, the synchronising technical parameters, the regulation control requirements, the mandatory response, and any monetary compensation required to compensate service providers. Synchronising facilities will be installed at the interconnecting substations, </w:t>
                      </w:r>
                      <w:r>
                        <w:rPr>
                          <w:rFonts w:ascii="Arial" w:hAnsi="Arial" w:cs="Arial"/>
                          <w:bCs/>
                          <w:sz w:val="20"/>
                          <w:szCs w:val="20"/>
                          <w:lang w:val="en-GB"/>
                        </w:rPr>
                        <w:t>and</w:t>
                      </w:r>
                      <w:r w:rsidRPr="009850A7">
                        <w:rPr>
                          <w:rFonts w:ascii="Arial" w:hAnsi="Arial" w:cs="Arial"/>
                          <w:bCs/>
                          <w:sz w:val="20"/>
                          <w:szCs w:val="20"/>
                          <w:lang w:val="en-GB"/>
                        </w:rPr>
                        <w:t xml:space="preserve"> other points on the interconnector where system separation is possible.</w:t>
                      </w:r>
                      <w:r>
                        <w:rPr>
                          <w:rFonts w:ascii="Arial" w:hAnsi="Arial" w:cs="Arial"/>
                          <w:bCs/>
                          <w:sz w:val="20"/>
                          <w:szCs w:val="20"/>
                          <w:lang w:val="en-GB"/>
                        </w:rPr>
                        <w:t xml:space="preserve"> </w:t>
                      </w:r>
                    </w:p>
                    <w:p w14:paraId="31B1575D" w14:textId="646AA392"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One system operator (the national TSO or the Control Area Operator or the RSMO depending on the level at which the synchronisation is to be realised) will be identified as the reference system operator and the other one as the synchroniser system operator. The synchroniser system operator will require a synchronising leader who has full control and priority to give instructions to designated synchronising power stations (this can be an ancillary service or mandatory).</w:t>
                      </w:r>
                      <w:r>
                        <w:rPr>
                          <w:rFonts w:ascii="Arial" w:hAnsi="Arial" w:cs="Arial"/>
                          <w:bCs/>
                          <w:sz w:val="20"/>
                          <w:szCs w:val="20"/>
                          <w:lang w:val="en-GB"/>
                        </w:rPr>
                        <w:t xml:space="preserve"> </w:t>
                      </w:r>
                    </w:p>
                    <w:p w14:paraId="6A121026" w14:textId="3A22EDA1"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The synchronising leaders will be determined for both interconnecting entities (including the ability for them to lead over other operators and have view of all system frequencies depending on where the separation occurred). A synchronising check list will be developed to assist the operators.</w:t>
                      </w:r>
                      <w:r>
                        <w:rPr>
                          <w:rFonts w:ascii="Arial" w:hAnsi="Arial" w:cs="Arial"/>
                          <w:bCs/>
                          <w:sz w:val="20"/>
                          <w:szCs w:val="20"/>
                          <w:lang w:val="en-GB"/>
                        </w:rPr>
                        <w:t xml:space="preserve"> </w:t>
                      </w:r>
                    </w:p>
                    <w:p w14:paraId="655E1549" w14:textId="69030F5B"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The synchronising leader will be the national TSO that has access to switching at the synchronising point, frequency measurements from both regions, voltage measurements from the synchronising substations, and ability to control voltages at the synchronising points. The synchronising leader will establish the target value of frequency, the maximum frequency difference, the maximum active and reactive power exchange upon closing, and the operating mode on the frequency controller.</w:t>
                      </w:r>
                      <w:r>
                        <w:rPr>
                          <w:rFonts w:ascii="Arial" w:hAnsi="Arial" w:cs="Arial"/>
                          <w:bCs/>
                          <w:sz w:val="20"/>
                          <w:szCs w:val="20"/>
                          <w:lang w:val="en-GB"/>
                        </w:rPr>
                        <w:t xml:space="preserve"> </w:t>
                      </w:r>
                    </w:p>
                    <w:p w14:paraId="1E078377" w14:textId="3570F60B"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Plausible synchronising conditions can be as follows: system frequencies within 0.2 Hz, with closing angle of less than 20 degrees. The synchronising modes can be improved by additional compensation to compensate for power swings.</w:t>
                      </w:r>
                      <w:r>
                        <w:rPr>
                          <w:rFonts w:ascii="Arial" w:hAnsi="Arial" w:cs="Arial"/>
                          <w:bCs/>
                          <w:sz w:val="20"/>
                          <w:szCs w:val="20"/>
                          <w:lang w:val="en-GB"/>
                        </w:rPr>
                        <w:t xml:space="preserve"> </w:t>
                      </w:r>
                    </w:p>
                    <w:p w14:paraId="75BAA539" w14:textId="276D82C6"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9850A7">
                        <w:rPr>
                          <w:rFonts w:ascii="Arial" w:hAnsi="Arial" w:cs="Arial"/>
                          <w:bCs/>
                          <w:sz w:val="20"/>
                          <w:szCs w:val="20"/>
                          <w:lang w:val="en-GB"/>
                        </w:rPr>
                        <w:t>The synchronising procedure will be defined and well-documented, including the specific multi-country synchronising procedure. This will have to be adequate to attend to the demands that will be placed in order to synchronise (and resynchronise after system separation).</w:t>
                      </w:r>
                      <w:r>
                        <w:rPr>
                          <w:rFonts w:ascii="Arial" w:hAnsi="Arial" w:cs="Arial"/>
                          <w:bCs/>
                          <w:sz w:val="20"/>
                          <w:szCs w:val="20"/>
                          <w:lang w:val="en-GB"/>
                        </w:rPr>
                        <w:t xml:space="preserve"> </w:t>
                      </w:r>
                    </w:p>
                  </w:txbxContent>
                </v:textbox>
                <w10:anchorlock/>
              </v:shape>
            </w:pict>
          </mc:Fallback>
        </mc:AlternateContent>
      </w:r>
    </w:p>
    <w:p w14:paraId="403E567C" w14:textId="5333F8DC" w:rsidR="00744D32" w:rsidRPr="00316837" w:rsidRDefault="00744D32" w:rsidP="00744D32">
      <w:pPr>
        <w:pStyle w:val="Heading3"/>
        <w:rPr>
          <w:rFonts w:eastAsia="Calibri"/>
        </w:rPr>
      </w:pPr>
      <w:bookmarkStart w:id="192" w:name="_Toc77260321"/>
      <w:r w:rsidRPr="00654753">
        <w:rPr>
          <w:rFonts w:eastAsia="Calibri"/>
        </w:rPr>
        <w:t>Guidelines 5.2: Operational Data</w:t>
      </w:r>
      <w:bookmarkEnd w:id="192"/>
      <w:r w:rsidRPr="00654753">
        <w:rPr>
          <w:rFonts w:eastAsia="Calibri"/>
        </w:rPr>
        <w:t xml:space="preserve"> </w:t>
      </w:r>
    </w:p>
    <w:p w14:paraId="5F26FAE9" w14:textId="5967A4A9" w:rsidR="001E24BC" w:rsidRPr="00316837" w:rsidRDefault="001E24BC" w:rsidP="001B5968">
      <w:pPr>
        <w:rPr>
          <w:rFonts w:eastAsia="Calibri"/>
          <w:szCs w:val="22"/>
        </w:rPr>
      </w:pPr>
      <w:r w:rsidRPr="00316837">
        <w:rPr>
          <w:rFonts w:eastAsia="Calibri"/>
          <w:szCs w:val="22"/>
        </w:rPr>
        <w:t>A standard should be developed that specifies the minimum operational data to be shared between adjacent and non-adjacent system operators (the national TSOs, the Control Area Operators, and the RSMOs, depending at which level their synchronisation is realised and subsequent common operation carried out after the synchronisation)</w:t>
      </w:r>
      <w:r w:rsidR="0064529C" w:rsidRPr="00316837">
        <w:rPr>
          <w:rFonts w:eastAsia="Calibri"/>
          <w:szCs w:val="22"/>
        </w:rPr>
        <w:t>. Moreover</w:t>
      </w:r>
      <w:r w:rsidRPr="00316837">
        <w:rPr>
          <w:rFonts w:eastAsia="Calibri"/>
          <w:szCs w:val="22"/>
        </w:rPr>
        <w:t xml:space="preserve">, the means of communicating these data </w:t>
      </w:r>
      <w:r w:rsidR="0064529C" w:rsidRPr="00316837">
        <w:rPr>
          <w:rFonts w:eastAsia="Calibri"/>
          <w:szCs w:val="22"/>
        </w:rPr>
        <w:t xml:space="preserve">should be developed too </w:t>
      </w:r>
      <w:r w:rsidRPr="00316837">
        <w:rPr>
          <w:rFonts w:eastAsia="Calibri"/>
          <w:szCs w:val="22"/>
        </w:rPr>
        <w:t xml:space="preserve">for which </w:t>
      </w:r>
      <w:r w:rsidRPr="00316837">
        <w:rPr>
          <w:rFonts w:eastAsia="Calibri"/>
          <w:szCs w:val="22"/>
        </w:rPr>
        <w:lastRenderedPageBreak/>
        <w:t xml:space="preserve">the information exchange protocol should be devised. </w:t>
      </w:r>
      <w:r w:rsidR="00184DCE" w:rsidRPr="00316837">
        <w:rPr>
          <w:rFonts w:eastAsia="Calibri"/>
          <w:szCs w:val="22"/>
        </w:rPr>
        <w:t>Data format, transmission media</w:t>
      </w:r>
      <w:r w:rsidR="0064529C" w:rsidRPr="00316837">
        <w:rPr>
          <w:rFonts w:eastAsia="Calibri"/>
          <w:szCs w:val="22"/>
        </w:rPr>
        <w:t xml:space="preserve"> and</w:t>
      </w:r>
      <w:r w:rsidR="00184DCE" w:rsidRPr="00316837">
        <w:rPr>
          <w:rFonts w:eastAsia="Calibri"/>
          <w:szCs w:val="22"/>
        </w:rPr>
        <w:t xml:space="preserve"> protocol, security aspects and other communication means required for communication between system operators should be put in place. </w:t>
      </w:r>
      <w:r w:rsidR="001B5968" w:rsidRPr="00316837">
        <w:rPr>
          <w:rFonts w:eastAsia="Calibri"/>
          <w:szCs w:val="22"/>
        </w:rPr>
        <w:t xml:space="preserve">The protocol and channels should allow for operational data sharing between system operators. </w:t>
      </w:r>
    </w:p>
    <w:p w14:paraId="35E4901F" w14:textId="06C07A88" w:rsidR="001B5968" w:rsidRPr="00316837" w:rsidRDefault="001E24BC" w:rsidP="001B5968">
      <w:pPr>
        <w:rPr>
          <w:rFonts w:eastAsia="Calibri"/>
          <w:szCs w:val="22"/>
        </w:rPr>
      </w:pPr>
      <w:r w:rsidRPr="00316837">
        <w:rPr>
          <w:rFonts w:eastAsia="Calibri"/>
          <w:szCs w:val="22"/>
        </w:rPr>
        <w:t>The information exchange should have a hierarchy</w:t>
      </w:r>
      <w:r w:rsidR="0064529C" w:rsidRPr="00316837">
        <w:rPr>
          <w:rFonts w:eastAsia="Calibri"/>
          <w:szCs w:val="22"/>
        </w:rPr>
        <w:t xml:space="preserve">, where all included </w:t>
      </w:r>
      <w:r w:rsidRPr="00316837">
        <w:rPr>
          <w:rFonts w:eastAsia="Calibri"/>
          <w:szCs w:val="22"/>
        </w:rPr>
        <w:t xml:space="preserve">sources of the information (i.e. the generators and system devices) communicate directly to the respective </w:t>
      </w:r>
      <w:r w:rsidR="001B5968" w:rsidRPr="00316837">
        <w:rPr>
          <w:rFonts w:eastAsia="Calibri"/>
          <w:szCs w:val="22"/>
        </w:rPr>
        <w:t xml:space="preserve">adjacent </w:t>
      </w:r>
      <w:r w:rsidRPr="00316837">
        <w:rPr>
          <w:rFonts w:eastAsia="Calibri"/>
          <w:szCs w:val="22"/>
        </w:rPr>
        <w:t>national TSOs, the Control Area Operators, and the RSMOs, depending on the level of the synchronisation and subsequent common operation</w:t>
      </w:r>
      <w:r w:rsidR="001B5968" w:rsidRPr="00316837">
        <w:rPr>
          <w:rFonts w:eastAsia="Calibri"/>
          <w:szCs w:val="22"/>
        </w:rPr>
        <w:t xml:space="preserve"> (national, regional or continental)</w:t>
      </w:r>
      <w:r w:rsidRPr="00316837">
        <w:rPr>
          <w:rFonts w:eastAsia="Calibri"/>
          <w:szCs w:val="22"/>
        </w:rPr>
        <w:t xml:space="preserve">. </w:t>
      </w:r>
      <w:r w:rsidR="001B5968" w:rsidRPr="00316837">
        <w:rPr>
          <w:rFonts w:eastAsia="Calibri"/>
          <w:szCs w:val="22"/>
        </w:rPr>
        <w:t xml:space="preserve">There is also benefit in sharing certain operational data amongst non-adjacent system operators. </w:t>
      </w:r>
    </w:p>
    <w:p w14:paraId="1B4815C8" w14:textId="21295799" w:rsidR="0064529C" w:rsidRPr="00316837" w:rsidRDefault="001B5968" w:rsidP="001E24BC">
      <w:pPr>
        <w:rPr>
          <w:rFonts w:eastAsia="Calibri"/>
          <w:szCs w:val="22"/>
        </w:rPr>
      </w:pPr>
      <w:r w:rsidRPr="00316837">
        <w:rPr>
          <w:rFonts w:eastAsia="Calibri"/>
          <w:szCs w:val="22"/>
        </w:rPr>
        <w:t>For example, specifically for the synchronisation between Power Pools</w:t>
      </w:r>
      <w:r w:rsidR="0064529C" w:rsidRPr="00316837">
        <w:rPr>
          <w:rFonts w:eastAsia="Calibri"/>
          <w:szCs w:val="22"/>
        </w:rPr>
        <w:t xml:space="preserve">: </w:t>
      </w:r>
    </w:p>
    <w:p w14:paraId="12342C23" w14:textId="77777777" w:rsidR="0064529C" w:rsidRPr="00316837" w:rsidRDefault="001B5968" w:rsidP="00E92788">
      <w:pPr>
        <w:pStyle w:val="ListParagraph"/>
        <w:numPr>
          <w:ilvl w:val="0"/>
          <w:numId w:val="7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generators should communicate </w:t>
      </w:r>
      <w:r w:rsidR="0064529C" w:rsidRPr="00316837">
        <w:rPr>
          <w:rFonts w:ascii="Arial" w:hAnsi="Arial" w:cs="Arial"/>
          <w:sz w:val="20"/>
          <w:szCs w:val="20"/>
          <w:lang w:val="en-GB"/>
        </w:rPr>
        <w:t>directly to</w:t>
      </w:r>
      <w:r w:rsidRPr="00316837">
        <w:rPr>
          <w:rFonts w:ascii="Arial" w:hAnsi="Arial" w:cs="Arial"/>
          <w:sz w:val="20"/>
          <w:szCs w:val="20"/>
          <w:lang w:val="en-GB"/>
        </w:rPr>
        <w:t xml:space="preserve"> the respective Control Area Operator by way of voice on AGC</w:t>
      </w:r>
      <w:r w:rsidR="0064529C" w:rsidRPr="00316837">
        <w:rPr>
          <w:rFonts w:ascii="Arial" w:hAnsi="Arial" w:cs="Arial"/>
          <w:sz w:val="20"/>
          <w:szCs w:val="20"/>
          <w:lang w:val="en-GB"/>
        </w:rPr>
        <w:t xml:space="preserve">, </w:t>
      </w:r>
    </w:p>
    <w:p w14:paraId="109A9BEF" w14:textId="499BD19F" w:rsidR="0064529C" w:rsidRPr="00316837" w:rsidRDefault="0064529C" w:rsidP="00E92788">
      <w:pPr>
        <w:pStyle w:val="ListParagraph"/>
        <w:numPr>
          <w:ilvl w:val="0"/>
          <w:numId w:val="79"/>
        </w:numPr>
        <w:spacing w:before="160" w:after="0" w:line="288" w:lineRule="auto"/>
        <w:rPr>
          <w:rFonts w:ascii="Arial" w:hAnsi="Arial" w:cs="Arial"/>
          <w:sz w:val="20"/>
          <w:szCs w:val="20"/>
          <w:lang w:val="en-GB"/>
        </w:rPr>
      </w:pPr>
      <w:r w:rsidRPr="00316837">
        <w:rPr>
          <w:rFonts w:ascii="Arial" w:hAnsi="Arial" w:cs="Arial"/>
          <w:sz w:val="20"/>
          <w:szCs w:val="20"/>
          <w:lang w:val="en-GB"/>
        </w:rPr>
        <w:t>t</w:t>
      </w:r>
      <w:r w:rsidR="001E24BC" w:rsidRPr="00316837">
        <w:rPr>
          <w:rFonts w:ascii="Arial" w:hAnsi="Arial" w:cs="Arial"/>
          <w:sz w:val="20"/>
          <w:szCs w:val="20"/>
          <w:lang w:val="en-GB"/>
        </w:rPr>
        <w:t>he</w:t>
      </w:r>
      <w:r w:rsidR="001B5968" w:rsidRPr="00316837">
        <w:rPr>
          <w:rFonts w:ascii="Arial" w:hAnsi="Arial" w:cs="Arial"/>
          <w:sz w:val="20"/>
          <w:szCs w:val="20"/>
          <w:lang w:val="en-GB"/>
        </w:rPr>
        <w:t xml:space="preserve"> Control Area Operators </w:t>
      </w:r>
      <w:r w:rsidR="001E24BC" w:rsidRPr="00316837">
        <w:rPr>
          <w:rFonts w:ascii="Arial" w:hAnsi="Arial" w:cs="Arial"/>
          <w:sz w:val="20"/>
          <w:szCs w:val="20"/>
          <w:lang w:val="en-GB"/>
        </w:rPr>
        <w:t xml:space="preserve">should communicate with the neighbouring </w:t>
      </w:r>
      <w:r w:rsidR="001B5968" w:rsidRPr="00316837">
        <w:rPr>
          <w:rFonts w:ascii="Arial" w:hAnsi="Arial" w:cs="Arial"/>
          <w:sz w:val="20"/>
          <w:szCs w:val="20"/>
          <w:lang w:val="en-GB"/>
        </w:rPr>
        <w:t>ones by way of voice on the synchronisation, and</w:t>
      </w:r>
      <w:r w:rsidR="001E24BC" w:rsidRPr="00316837">
        <w:rPr>
          <w:rFonts w:ascii="Arial" w:hAnsi="Arial" w:cs="Arial"/>
          <w:sz w:val="20"/>
          <w:szCs w:val="20"/>
          <w:lang w:val="en-GB"/>
        </w:rPr>
        <w:t xml:space="preserve"> </w:t>
      </w:r>
      <w:r w:rsidR="001B5968" w:rsidRPr="00316837">
        <w:rPr>
          <w:rFonts w:ascii="Arial" w:hAnsi="Arial" w:cs="Arial"/>
          <w:sz w:val="20"/>
          <w:szCs w:val="20"/>
          <w:lang w:val="en-GB"/>
        </w:rPr>
        <w:t xml:space="preserve">with </w:t>
      </w:r>
      <w:r w:rsidR="001E24BC" w:rsidRPr="00316837">
        <w:rPr>
          <w:rFonts w:ascii="Arial" w:hAnsi="Arial" w:cs="Arial"/>
          <w:sz w:val="20"/>
          <w:szCs w:val="20"/>
          <w:lang w:val="en-GB"/>
        </w:rPr>
        <w:t xml:space="preserve">the respective </w:t>
      </w:r>
      <w:r w:rsidR="001B5968" w:rsidRPr="00316837">
        <w:rPr>
          <w:rFonts w:ascii="Arial" w:hAnsi="Arial" w:cs="Arial"/>
          <w:sz w:val="20"/>
          <w:szCs w:val="20"/>
          <w:lang w:val="en-GB"/>
        </w:rPr>
        <w:t xml:space="preserve">RSMO’s </w:t>
      </w:r>
      <w:r w:rsidR="001E24BC" w:rsidRPr="00316837">
        <w:rPr>
          <w:rFonts w:ascii="Arial" w:hAnsi="Arial" w:cs="Arial"/>
          <w:sz w:val="20"/>
          <w:szCs w:val="20"/>
          <w:lang w:val="en-GB"/>
        </w:rPr>
        <w:t>coordination centre</w:t>
      </w:r>
      <w:r w:rsidR="001B5968" w:rsidRPr="00316837">
        <w:rPr>
          <w:rFonts w:ascii="Arial" w:hAnsi="Arial" w:cs="Arial"/>
          <w:sz w:val="20"/>
          <w:szCs w:val="20"/>
          <w:lang w:val="en-GB"/>
        </w:rPr>
        <w:t xml:space="preserve"> by way of voice on frequency, tie-line power flows, and time</w:t>
      </w:r>
      <w:r w:rsidRPr="00316837">
        <w:rPr>
          <w:rFonts w:ascii="Arial" w:hAnsi="Arial" w:cs="Arial"/>
          <w:sz w:val="20"/>
          <w:szCs w:val="20"/>
          <w:lang w:val="en-GB"/>
        </w:rPr>
        <w:t>,</w:t>
      </w:r>
      <w:r w:rsidR="001D4932" w:rsidRPr="00316837">
        <w:rPr>
          <w:rFonts w:ascii="Arial" w:hAnsi="Arial" w:cs="Arial"/>
          <w:sz w:val="20"/>
          <w:szCs w:val="20"/>
          <w:lang w:val="en-GB"/>
        </w:rPr>
        <w:t xml:space="preserve"> </w:t>
      </w:r>
    </w:p>
    <w:p w14:paraId="0C5C6047" w14:textId="77777777" w:rsidR="0064529C" w:rsidRPr="00316837" w:rsidRDefault="0064529C" w:rsidP="00E92788">
      <w:pPr>
        <w:pStyle w:val="ListParagraph"/>
        <w:numPr>
          <w:ilvl w:val="0"/>
          <w:numId w:val="79"/>
        </w:numPr>
        <w:spacing w:before="160" w:after="0" w:line="288" w:lineRule="auto"/>
        <w:rPr>
          <w:rFonts w:ascii="Arial" w:hAnsi="Arial" w:cs="Arial"/>
          <w:sz w:val="20"/>
          <w:szCs w:val="20"/>
          <w:lang w:val="en-GB"/>
        </w:rPr>
      </w:pPr>
      <w:r w:rsidRPr="00316837">
        <w:rPr>
          <w:rFonts w:ascii="Arial" w:hAnsi="Arial" w:cs="Arial"/>
          <w:sz w:val="20"/>
          <w:szCs w:val="20"/>
          <w:lang w:val="en-GB"/>
        </w:rPr>
        <w:t>t</w:t>
      </w:r>
      <w:r w:rsidR="001B5968" w:rsidRPr="00316837">
        <w:rPr>
          <w:rFonts w:ascii="Arial" w:hAnsi="Arial" w:cs="Arial"/>
          <w:sz w:val="20"/>
          <w:szCs w:val="20"/>
          <w:lang w:val="en-GB"/>
        </w:rPr>
        <w:t>he Control Area Operators should also communicate with the respective synchronising leaders by way of voice on AGC, and the two synchronising leaders should communicate with each other directly by way of voice on frequency and synchronisation</w:t>
      </w:r>
      <w:r w:rsidRPr="00316837">
        <w:rPr>
          <w:rFonts w:ascii="Arial" w:hAnsi="Arial" w:cs="Arial"/>
          <w:sz w:val="20"/>
          <w:szCs w:val="20"/>
          <w:lang w:val="en-GB"/>
        </w:rPr>
        <w:t>,</w:t>
      </w:r>
      <w:r w:rsidR="001B5968" w:rsidRPr="00316837">
        <w:rPr>
          <w:rFonts w:ascii="Arial" w:hAnsi="Arial" w:cs="Arial"/>
          <w:sz w:val="20"/>
          <w:szCs w:val="20"/>
          <w:lang w:val="en-GB"/>
        </w:rPr>
        <w:t xml:space="preserve"> </w:t>
      </w:r>
    </w:p>
    <w:p w14:paraId="31AE81E3" w14:textId="77777777" w:rsidR="0064529C" w:rsidRPr="00316837" w:rsidRDefault="0064529C" w:rsidP="00E92788">
      <w:pPr>
        <w:pStyle w:val="ListParagraph"/>
        <w:numPr>
          <w:ilvl w:val="0"/>
          <w:numId w:val="79"/>
        </w:numPr>
        <w:spacing w:before="160" w:after="0" w:line="288" w:lineRule="auto"/>
        <w:rPr>
          <w:rFonts w:ascii="Arial" w:hAnsi="Arial" w:cs="Arial"/>
          <w:sz w:val="20"/>
          <w:szCs w:val="20"/>
          <w:lang w:val="en-GB"/>
        </w:rPr>
      </w:pPr>
      <w:r w:rsidRPr="00316837">
        <w:rPr>
          <w:rFonts w:ascii="Arial" w:hAnsi="Arial" w:cs="Arial"/>
          <w:sz w:val="20"/>
          <w:szCs w:val="20"/>
          <w:lang w:val="en-GB"/>
        </w:rPr>
        <w:t>t</w:t>
      </w:r>
      <w:r w:rsidR="001B5968" w:rsidRPr="00316837">
        <w:rPr>
          <w:rFonts w:ascii="Arial" w:hAnsi="Arial" w:cs="Arial"/>
          <w:sz w:val="20"/>
          <w:szCs w:val="20"/>
          <w:lang w:val="en-GB"/>
        </w:rPr>
        <w:t xml:space="preserve">he two RSMOs’ coordination centres should communicate with each other both operationally (by way of voice on tie-line power flows and time) and on the market platform, including with the market operator on tie-lines power flows. </w:t>
      </w:r>
    </w:p>
    <w:p w14:paraId="7B4A2002" w14:textId="1942C5E4" w:rsidR="001E24BC" w:rsidRPr="00316837" w:rsidRDefault="001B5968" w:rsidP="001E24BC">
      <w:pPr>
        <w:rPr>
          <w:rFonts w:eastAsia="Calibri"/>
          <w:szCs w:val="22"/>
        </w:rPr>
      </w:pPr>
      <w:r w:rsidRPr="00316837">
        <w:rPr>
          <w:rFonts w:eastAsia="Calibri"/>
          <w:szCs w:val="22"/>
        </w:rPr>
        <w:t>Their</w:t>
      </w:r>
      <w:r w:rsidR="001E24BC" w:rsidRPr="00316837">
        <w:rPr>
          <w:rFonts w:eastAsia="Calibri"/>
          <w:szCs w:val="22"/>
        </w:rPr>
        <w:t xml:space="preserve"> joint ‘operations assessment centre’ should be established to look at real-time data of the power systems and advise on the allowable flows that can occur on the system on a near real-time basis.</w:t>
      </w:r>
      <w:r w:rsidRPr="00316837">
        <w:rPr>
          <w:rFonts w:eastAsia="Calibri"/>
          <w:szCs w:val="22"/>
        </w:rPr>
        <w:t xml:space="preserve"> </w:t>
      </w:r>
    </w:p>
    <w:p w14:paraId="524F2C2D" w14:textId="77777777" w:rsidR="001E24BC" w:rsidRPr="00316837" w:rsidRDefault="001E24BC" w:rsidP="001E24BC">
      <w:pPr>
        <w:rPr>
          <w:rFonts w:eastAsia="Calibri"/>
          <w:szCs w:val="22"/>
        </w:rPr>
      </w:pPr>
      <w:r w:rsidRPr="00316837">
        <w:rPr>
          <w:rFonts w:eastAsia="Calibri"/>
          <w:szCs w:val="22"/>
        </w:rPr>
        <w:t xml:space="preserve">Minimum data to be exchanged should define in real-time: </w:t>
      </w:r>
    </w:p>
    <w:p w14:paraId="4056B365" w14:textId="5AB670DD" w:rsidR="001E24BC" w:rsidRPr="00316837" w:rsidRDefault="001E24BC" w:rsidP="00E92788">
      <w:pPr>
        <w:pStyle w:val="ListParagraph"/>
        <w:numPr>
          <w:ilvl w:val="0"/>
          <w:numId w:val="80"/>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synchronising data, </w:t>
      </w:r>
    </w:p>
    <w:p w14:paraId="4E6B9154" w14:textId="6B84CE7B" w:rsidR="001E24BC" w:rsidRPr="00316837" w:rsidRDefault="001E24BC" w:rsidP="00E92788">
      <w:pPr>
        <w:pStyle w:val="ListParagraph"/>
        <w:numPr>
          <w:ilvl w:val="0"/>
          <w:numId w:val="80"/>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tie-line flow data, </w:t>
      </w:r>
    </w:p>
    <w:p w14:paraId="42C52FD1" w14:textId="64B4DF22" w:rsidR="001E24BC" w:rsidRPr="00316837" w:rsidRDefault="001E24BC" w:rsidP="00E92788">
      <w:pPr>
        <w:pStyle w:val="ListParagraph"/>
        <w:numPr>
          <w:ilvl w:val="0"/>
          <w:numId w:val="80"/>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voltage data, and </w:t>
      </w:r>
    </w:p>
    <w:p w14:paraId="01D7E374" w14:textId="4DB272D3" w:rsidR="001E24BC" w:rsidRPr="00316837" w:rsidRDefault="001E24BC" w:rsidP="00E92788">
      <w:pPr>
        <w:pStyle w:val="ListParagraph"/>
        <w:numPr>
          <w:ilvl w:val="0"/>
          <w:numId w:val="80"/>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system status data. </w:t>
      </w:r>
    </w:p>
    <w:p w14:paraId="2754C398" w14:textId="5FB080B7" w:rsidR="001E24BC" w:rsidRPr="00316837" w:rsidRDefault="001E24BC" w:rsidP="001E24BC">
      <w:pPr>
        <w:rPr>
          <w:rFonts w:eastAsia="Calibri"/>
          <w:szCs w:val="22"/>
        </w:rPr>
      </w:pPr>
      <w:r w:rsidRPr="00316837">
        <w:rPr>
          <w:rFonts w:eastAsia="Calibri"/>
          <w:szCs w:val="22"/>
        </w:rPr>
        <w:t xml:space="preserve">Data receivers should be the control centres </w:t>
      </w:r>
      <w:r w:rsidR="001B5968" w:rsidRPr="00316837">
        <w:rPr>
          <w:rFonts w:eastAsia="Calibri"/>
          <w:szCs w:val="22"/>
        </w:rPr>
        <w:t xml:space="preserve">of the national TSOs and the Control Area Operators, as well as the RSMOs’ </w:t>
      </w:r>
      <w:r w:rsidRPr="00316837">
        <w:rPr>
          <w:rFonts w:eastAsia="Calibri"/>
          <w:szCs w:val="22"/>
        </w:rPr>
        <w:t>coordination centres. The required systems for data processing and storage should be installed</w:t>
      </w:r>
      <w:r w:rsidR="001B5968" w:rsidRPr="00316837">
        <w:rPr>
          <w:rFonts w:eastAsia="Calibri"/>
          <w:szCs w:val="22"/>
        </w:rPr>
        <w:t xml:space="preserve"> thereat</w:t>
      </w:r>
      <w:r w:rsidRPr="00316837">
        <w:rPr>
          <w:rFonts w:eastAsia="Calibri"/>
          <w:szCs w:val="22"/>
        </w:rPr>
        <w:t xml:space="preserve">. </w:t>
      </w:r>
    </w:p>
    <w:p w14:paraId="1146C619" w14:textId="79C5A17E" w:rsidR="0064529C" w:rsidRPr="00316837" w:rsidRDefault="0064529C" w:rsidP="001E24BC">
      <w:pPr>
        <w:rPr>
          <w:rFonts w:eastAsia="Calibri"/>
          <w:szCs w:val="22"/>
        </w:rPr>
      </w:pPr>
      <w:r w:rsidRPr="00316837">
        <w:rPr>
          <w:rFonts w:eastAsia="Calibri"/>
          <w:szCs w:val="22"/>
        </w:rPr>
        <w:t>In line with the above, the following actions will be undertaken to prepare for the exchange of operational data:</w:t>
      </w:r>
      <w:r w:rsidR="001D4932" w:rsidRPr="00316837">
        <w:rPr>
          <w:rFonts w:eastAsia="Calibri"/>
          <w:szCs w:val="22"/>
        </w:rPr>
        <w:t xml:space="preserve"> </w:t>
      </w:r>
    </w:p>
    <w:p w14:paraId="5757D9D0" w14:textId="77777777" w:rsidR="00193C13" w:rsidRPr="00316837" w:rsidRDefault="00E31D0E" w:rsidP="00E92788">
      <w:pPr>
        <w:pStyle w:val="ListParagraph"/>
        <w:numPr>
          <w:ilvl w:val="0"/>
          <w:numId w:val="81"/>
        </w:numPr>
        <w:spacing w:before="160" w:after="0" w:line="288" w:lineRule="auto"/>
        <w:rPr>
          <w:rFonts w:ascii="Arial" w:hAnsi="Arial" w:cs="Arial"/>
          <w:sz w:val="20"/>
          <w:szCs w:val="20"/>
          <w:lang w:val="en-GB"/>
        </w:rPr>
      </w:pPr>
      <w:r w:rsidRPr="00316837">
        <w:rPr>
          <w:rFonts w:ascii="Arial" w:hAnsi="Arial" w:cs="Arial"/>
          <w:sz w:val="20"/>
          <w:szCs w:val="20"/>
          <w:lang w:val="en-GB"/>
        </w:rPr>
        <w:t>Verif</w:t>
      </w:r>
      <w:r w:rsidR="0064529C" w:rsidRPr="00316837">
        <w:rPr>
          <w:rFonts w:ascii="Arial" w:hAnsi="Arial" w:cs="Arial"/>
          <w:sz w:val="20"/>
          <w:szCs w:val="20"/>
          <w:lang w:val="en-GB"/>
        </w:rPr>
        <w:t>y</w:t>
      </w:r>
      <w:r w:rsidRPr="00316837">
        <w:rPr>
          <w:rFonts w:ascii="Arial" w:hAnsi="Arial" w:cs="Arial"/>
          <w:sz w:val="20"/>
          <w:szCs w:val="20"/>
          <w:lang w:val="en-GB"/>
        </w:rPr>
        <w:t xml:space="preserve"> existing data and formats</w:t>
      </w:r>
      <w:r w:rsidR="00193C13" w:rsidRPr="00316837">
        <w:rPr>
          <w:rFonts w:ascii="Arial" w:hAnsi="Arial" w:cs="Arial"/>
          <w:sz w:val="20"/>
          <w:szCs w:val="20"/>
          <w:lang w:val="en-GB"/>
        </w:rPr>
        <w:t xml:space="preserve"> to harmonise </w:t>
      </w:r>
      <w:r w:rsidRPr="00316837">
        <w:rPr>
          <w:rFonts w:ascii="Arial" w:hAnsi="Arial" w:cs="Arial"/>
          <w:sz w:val="20"/>
          <w:szCs w:val="20"/>
          <w:lang w:val="en-GB"/>
        </w:rPr>
        <w:t>the data architecture and</w:t>
      </w:r>
      <w:r w:rsidR="001B5968" w:rsidRPr="00316837">
        <w:rPr>
          <w:rFonts w:ascii="Arial" w:hAnsi="Arial" w:cs="Arial"/>
          <w:sz w:val="20"/>
          <w:szCs w:val="20"/>
          <w:lang w:val="en-GB"/>
        </w:rPr>
        <w:t xml:space="preserve"> </w:t>
      </w:r>
      <w:r w:rsidRPr="00316837">
        <w:rPr>
          <w:rFonts w:ascii="Arial" w:hAnsi="Arial" w:cs="Arial"/>
          <w:sz w:val="20"/>
          <w:szCs w:val="20"/>
          <w:lang w:val="en-GB"/>
        </w:rPr>
        <w:t>required data flows</w:t>
      </w:r>
      <w:r w:rsidR="00193C13" w:rsidRPr="00316837">
        <w:rPr>
          <w:rFonts w:ascii="Arial" w:hAnsi="Arial" w:cs="Arial"/>
          <w:sz w:val="20"/>
          <w:szCs w:val="20"/>
          <w:lang w:val="en-GB"/>
        </w:rPr>
        <w:t xml:space="preserve">; </w:t>
      </w:r>
    </w:p>
    <w:p w14:paraId="06429D7A" w14:textId="574D0415" w:rsidR="00E31D0E" w:rsidRPr="00316837" w:rsidRDefault="00E31D0E" w:rsidP="00E92788">
      <w:pPr>
        <w:pStyle w:val="ListParagraph"/>
        <w:numPr>
          <w:ilvl w:val="0"/>
          <w:numId w:val="81"/>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Workshop to determine the desired outcomes, </w:t>
      </w:r>
      <w:r w:rsidR="00193C13" w:rsidRPr="00316837">
        <w:rPr>
          <w:rFonts w:ascii="Arial" w:hAnsi="Arial" w:cs="Arial"/>
          <w:sz w:val="20"/>
          <w:szCs w:val="20"/>
          <w:lang w:val="en-GB"/>
        </w:rPr>
        <w:t>and d</w:t>
      </w:r>
      <w:r w:rsidRPr="00316837">
        <w:rPr>
          <w:rFonts w:ascii="Arial" w:hAnsi="Arial" w:cs="Arial"/>
          <w:sz w:val="20"/>
          <w:szCs w:val="20"/>
          <w:lang w:val="en-GB"/>
        </w:rPr>
        <w:t>raft minimum data</w:t>
      </w:r>
      <w:r w:rsidR="001B5968" w:rsidRPr="00316837">
        <w:rPr>
          <w:rFonts w:ascii="Arial" w:hAnsi="Arial" w:cs="Arial"/>
          <w:sz w:val="20"/>
          <w:szCs w:val="20"/>
          <w:lang w:val="en-GB"/>
        </w:rPr>
        <w:t xml:space="preserve"> </w:t>
      </w:r>
      <w:r w:rsidRPr="00316837">
        <w:rPr>
          <w:rFonts w:ascii="Arial" w:hAnsi="Arial" w:cs="Arial"/>
          <w:sz w:val="20"/>
          <w:szCs w:val="20"/>
          <w:lang w:val="en-GB"/>
        </w:rPr>
        <w:t xml:space="preserve">requirements and </w:t>
      </w:r>
      <w:r w:rsidR="00193C13" w:rsidRPr="00316837">
        <w:rPr>
          <w:rFonts w:ascii="Arial" w:hAnsi="Arial" w:cs="Arial"/>
          <w:sz w:val="20"/>
          <w:szCs w:val="20"/>
          <w:lang w:val="en-GB"/>
        </w:rPr>
        <w:t xml:space="preserve">acquire </w:t>
      </w:r>
      <w:r w:rsidRPr="00316837">
        <w:rPr>
          <w:rFonts w:ascii="Arial" w:hAnsi="Arial" w:cs="Arial"/>
          <w:sz w:val="20"/>
          <w:szCs w:val="20"/>
          <w:lang w:val="en-GB"/>
        </w:rPr>
        <w:t>approval</w:t>
      </w:r>
      <w:r w:rsidR="00193C13" w:rsidRPr="00316837">
        <w:rPr>
          <w:rFonts w:ascii="Arial" w:hAnsi="Arial" w:cs="Arial"/>
          <w:sz w:val="20"/>
          <w:szCs w:val="20"/>
          <w:lang w:val="en-GB"/>
        </w:rPr>
        <w:t xml:space="preserve">; </w:t>
      </w:r>
    </w:p>
    <w:p w14:paraId="5336CAB0" w14:textId="2DD14BB8" w:rsidR="00E31D0E" w:rsidRPr="00316837" w:rsidRDefault="00E31D0E" w:rsidP="00E92788">
      <w:pPr>
        <w:pStyle w:val="ListParagraph"/>
        <w:numPr>
          <w:ilvl w:val="0"/>
          <w:numId w:val="81"/>
        </w:numPr>
        <w:spacing w:before="160" w:after="0" w:line="288" w:lineRule="auto"/>
        <w:rPr>
          <w:rFonts w:ascii="Arial" w:hAnsi="Arial" w:cs="Arial"/>
          <w:sz w:val="20"/>
          <w:szCs w:val="20"/>
          <w:lang w:val="en-GB"/>
        </w:rPr>
      </w:pPr>
      <w:r w:rsidRPr="00316837">
        <w:rPr>
          <w:rFonts w:ascii="Arial" w:hAnsi="Arial" w:cs="Arial"/>
          <w:sz w:val="20"/>
          <w:szCs w:val="20"/>
          <w:lang w:val="en-GB"/>
        </w:rPr>
        <w:t>Obtain funding and procure services for installation of the required SCADA and communications infrastructure</w:t>
      </w:r>
      <w:r w:rsidR="001B5968" w:rsidRPr="00316837">
        <w:rPr>
          <w:rFonts w:ascii="Arial" w:hAnsi="Arial" w:cs="Arial"/>
          <w:sz w:val="20"/>
          <w:szCs w:val="20"/>
          <w:lang w:val="en-GB"/>
        </w:rPr>
        <w:t xml:space="preserve"> </w:t>
      </w:r>
      <w:r w:rsidRPr="00316837">
        <w:rPr>
          <w:rFonts w:ascii="Arial" w:hAnsi="Arial" w:cs="Arial"/>
          <w:sz w:val="20"/>
          <w:szCs w:val="20"/>
          <w:lang w:val="en-GB"/>
        </w:rPr>
        <w:t>to support the data transfer and storage</w:t>
      </w:r>
      <w:r w:rsidR="00193C13" w:rsidRPr="00316837">
        <w:rPr>
          <w:rFonts w:ascii="Arial" w:hAnsi="Arial" w:cs="Arial"/>
          <w:sz w:val="20"/>
          <w:szCs w:val="20"/>
          <w:lang w:val="en-GB"/>
        </w:rPr>
        <w:t>; and</w:t>
      </w:r>
      <w:r w:rsidR="001D4932" w:rsidRPr="00316837">
        <w:rPr>
          <w:rFonts w:ascii="Arial" w:hAnsi="Arial" w:cs="Arial"/>
          <w:sz w:val="20"/>
          <w:szCs w:val="20"/>
          <w:lang w:val="en-GB"/>
        </w:rPr>
        <w:t xml:space="preserve"> </w:t>
      </w:r>
    </w:p>
    <w:p w14:paraId="44BBC9D0" w14:textId="4023A401" w:rsidR="00193C13" w:rsidRPr="00316837" w:rsidRDefault="00193C13" w:rsidP="00E92788">
      <w:pPr>
        <w:pStyle w:val="ListParagraph"/>
        <w:numPr>
          <w:ilvl w:val="0"/>
          <w:numId w:val="81"/>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Implement telecommunications upgrades and expansions, including any operational data and communications that are required in terms of the devised information exchange protocol. </w:t>
      </w:r>
    </w:p>
    <w:p w14:paraId="6303FABD" w14:textId="5152AFE1" w:rsidR="00744D32" w:rsidRPr="00316837" w:rsidRDefault="00193C13" w:rsidP="00483DE9">
      <w:pPr>
        <w:rPr>
          <w:rFonts w:eastAsia="Calibri"/>
          <w:szCs w:val="22"/>
        </w:rPr>
      </w:pPr>
      <w:r w:rsidRPr="00316837">
        <w:rPr>
          <w:rFonts w:eastAsia="Calibri"/>
          <w:szCs w:val="22"/>
        </w:rPr>
        <w:t>Based on the above discussions, the Guidelines 5.2 is presented as follows:</w:t>
      </w:r>
      <w:r w:rsidR="001D4932" w:rsidRPr="00316837">
        <w:rPr>
          <w:rFonts w:eastAsia="Calibri"/>
          <w:szCs w:val="22"/>
        </w:rPr>
        <w:t xml:space="preserve"> </w:t>
      </w:r>
    </w:p>
    <w:p w14:paraId="4D78B631" w14:textId="488B14EE" w:rsidR="00744D32" w:rsidRPr="00654753" w:rsidRDefault="00193C13" w:rsidP="00483DE9">
      <w:pPr>
        <w:rPr>
          <w:rFonts w:eastAsia="Calibri"/>
          <w:szCs w:val="22"/>
        </w:rPr>
      </w:pPr>
      <w:r w:rsidRPr="006273BD">
        <w:rPr>
          <w:rFonts w:eastAsia="Calibri"/>
          <w:noProof/>
          <w:lang w:eastAsia="en-GB"/>
        </w:rPr>
        <w:lastRenderedPageBreak/>
        <mc:AlternateContent>
          <mc:Choice Requires="wps">
            <w:drawing>
              <wp:inline distT="0" distB="0" distL="0" distR="0" wp14:anchorId="1AAEC7C7" wp14:editId="539FD245">
                <wp:extent cx="6112800" cy="5709804"/>
                <wp:effectExtent l="0" t="0" r="21590" b="24765"/>
                <wp:docPr id="25" name="Text Box 25"/>
                <wp:cNvGraphicFramePr/>
                <a:graphic xmlns:a="http://schemas.openxmlformats.org/drawingml/2006/main">
                  <a:graphicData uri="http://schemas.microsoft.com/office/word/2010/wordprocessingShape">
                    <wps:wsp>
                      <wps:cNvSpPr txBox="1"/>
                      <wps:spPr>
                        <a:xfrm>
                          <a:off x="0" y="0"/>
                          <a:ext cx="6112800" cy="5709804"/>
                        </a:xfrm>
                        <a:prstGeom prst="rect">
                          <a:avLst/>
                        </a:prstGeom>
                        <a:solidFill>
                          <a:srgbClr val="9BBB59">
                            <a:lumMod val="20000"/>
                            <a:lumOff val="80000"/>
                          </a:srgbClr>
                        </a:solidFill>
                        <a:ln w="6350">
                          <a:solidFill>
                            <a:prstClr val="black"/>
                          </a:solidFill>
                        </a:ln>
                        <a:effectLst/>
                      </wps:spPr>
                      <wps:txbx>
                        <w:txbxContent>
                          <w:p w14:paraId="5386B681" w14:textId="03BBAA87" w:rsidR="005276A4" w:rsidRPr="00865FCB" w:rsidRDefault="005276A4" w:rsidP="00193C13">
                            <w:pPr>
                              <w:jc w:val="left"/>
                              <w:rPr>
                                <w:bCs/>
                              </w:rPr>
                            </w:pPr>
                            <w:r w:rsidRPr="00865FCB">
                              <w:rPr>
                                <w:bCs/>
                              </w:rPr>
                              <w:t xml:space="preserve">Guidelines </w:t>
                            </w:r>
                            <w:r>
                              <w:rPr>
                                <w:bCs/>
                              </w:rPr>
                              <w:t>5.2:</w:t>
                            </w:r>
                            <w:r w:rsidRPr="00865FCB">
                              <w:rPr>
                                <w:bCs/>
                              </w:rPr>
                              <w:t xml:space="preserve"> </w:t>
                            </w:r>
                            <w:r>
                              <w:rPr>
                                <w:bCs/>
                              </w:rPr>
                              <w:t xml:space="preserve">Operational Data </w:t>
                            </w:r>
                          </w:p>
                          <w:p w14:paraId="3EAAA441" w14:textId="2AE74F0A"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93C13">
                              <w:rPr>
                                <w:rFonts w:ascii="Arial" w:hAnsi="Arial" w:cs="Arial"/>
                                <w:bCs/>
                                <w:sz w:val="20"/>
                                <w:szCs w:val="20"/>
                                <w:lang w:val="en-GB"/>
                              </w:rPr>
                              <w:t xml:space="preserve">Each </w:t>
                            </w:r>
                            <w:r>
                              <w:rPr>
                                <w:rFonts w:ascii="Arial" w:hAnsi="Arial" w:cs="Arial"/>
                                <w:bCs/>
                                <w:sz w:val="20"/>
                                <w:szCs w:val="20"/>
                                <w:lang w:val="en-GB"/>
                              </w:rPr>
                              <w:t xml:space="preserve">national </w:t>
                            </w:r>
                            <w:r w:rsidRPr="00193C13">
                              <w:rPr>
                                <w:rFonts w:ascii="Arial" w:hAnsi="Arial" w:cs="Arial"/>
                                <w:bCs/>
                                <w:sz w:val="20"/>
                                <w:szCs w:val="20"/>
                                <w:lang w:val="en-GB"/>
                              </w:rPr>
                              <w:t xml:space="preserve">TSO </w:t>
                            </w:r>
                            <w:r>
                              <w:rPr>
                                <w:rFonts w:ascii="Arial" w:hAnsi="Arial" w:cs="Arial"/>
                                <w:bCs/>
                                <w:sz w:val="20"/>
                                <w:szCs w:val="20"/>
                                <w:lang w:val="en-GB"/>
                              </w:rPr>
                              <w:t xml:space="preserve">will </w:t>
                            </w:r>
                            <w:r w:rsidRPr="00193C13">
                              <w:rPr>
                                <w:rFonts w:ascii="Arial" w:hAnsi="Arial" w:cs="Arial"/>
                                <w:bCs/>
                                <w:sz w:val="20"/>
                                <w:szCs w:val="20"/>
                                <w:lang w:val="en-GB"/>
                              </w:rPr>
                              <w:t xml:space="preserve">make available real-time data of relevant parts of its </w:t>
                            </w:r>
                            <w:r>
                              <w:rPr>
                                <w:rFonts w:ascii="Arial" w:hAnsi="Arial" w:cs="Arial"/>
                                <w:bCs/>
                                <w:sz w:val="20"/>
                                <w:szCs w:val="20"/>
                                <w:lang w:val="en-GB"/>
                              </w:rPr>
                              <w:t>n</w:t>
                            </w:r>
                            <w:r w:rsidRPr="00193C13">
                              <w:rPr>
                                <w:rFonts w:ascii="Arial" w:hAnsi="Arial" w:cs="Arial"/>
                                <w:bCs/>
                                <w:sz w:val="20"/>
                                <w:szCs w:val="20"/>
                                <w:lang w:val="en-GB"/>
                              </w:rPr>
                              <w:t xml:space="preserve">ational </w:t>
                            </w:r>
                            <w:r>
                              <w:rPr>
                                <w:rFonts w:ascii="Arial" w:hAnsi="Arial" w:cs="Arial"/>
                                <w:bCs/>
                                <w:sz w:val="20"/>
                                <w:szCs w:val="20"/>
                                <w:lang w:val="en-GB"/>
                              </w:rPr>
                              <w:t>transmission s</w:t>
                            </w:r>
                            <w:r w:rsidRPr="00193C13">
                              <w:rPr>
                                <w:rFonts w:ascii="Arial" w:hAnsi="Arial" w:cs="Arial"/>
                                <w:bCs/>
                                <w:sz w:val="20"/>
                                <w:szCs w:val="20"/>
                                <w:lang w:val="en-GB"/>
                              </w:rPr>
                              <w:t xml:space="preserve">ystem to </w:t>
                            </w:r>
                            <w:r>
                              <w:rPr>
                                <w:rFonts w:ascii="Arial" w:hAnsi="Arial" w:cs="Arial"/>
                                <w:bCs/>
                                <w:sz w:val="20"/>
                                <w:szCs w:val="20"/>
                                <w:lang w:val="en-GB"/>
                              </w:rPr>
                              <w:t xml:space="preserve">the </w:t>
                            </w:r>
                            <w:r w:rsidRPr="00193C13">
                              <w:rPr>
                                <w:rFonts w:ascii="Arial" w:hAnsi="Arial" w:cs="Arial"/>
                                <w:bCs/>
                                <w:sz w:val="20"/>
                                <w:szCs w:val="20"/>
                                <w:lang w:val="en-GB"/>
                              </w:rPr>
                              <w:t>neighbouring TSOs</w:t>
                            </w:r>
                            <w:r>
                              <w:rPr>
                                <w:rFonts w:ascii="Arial" w:hAnsi="Arial" w:cs="Arial"/>
                                <w:bCs/>
                                <w:sz w:val="20"/>
                                <w:szCs w:val="20"/>
                                <w:lang w:val="en-GB"/>
                              </w:rPr>
                              <w:t xml:space="preserve"> and the respective Control Area Operator,</w:t>
                            </w:r>
                            <w:r w:rsidRPr="00193C13">
                              <w:rPr>
                                <w:rFonts w:ascii="Arial" w:hAnsi="Arial" w:cs="Arial"/>
                                <w:bCs/>
                                <w:sz w:val="20"/>
                                <w:szCs w:val="20"/>
                                <w:lang w:val="en-GB"/>
                              </w:rPr>
                              <w:t xml:space="preserve"> </w:t>
                            </w:r>
                            <w:r>
                              <w:rPr>
                                <w:rFonts w:ascii="Arial" w:hAnsi="Arial" w:cs="Arial"/>
                                <w:bCs/>
                                <w:sz w:val="20"/>
                                <w:szCs w:val="20"/>
                                <w:lang w:val="en-GB"/>
                              </w:rPr>
                              <w:t xml:space="preserve">which will share these with </w:t>
                            </w:r>
                            <w:r w:rsidRPr="00193C13">
                              <w:rPr>
                                <w:rFonts w:ascii="Arial" w:hAnsi="Arial" w:cs="Arial"/>
                                <w:bCs/>
                                <w:sz w:val="20"/>
                                <w:szCs w:val="20"/>
                                <w:lang w:val="en-GB"/>
                              </w:rPr>
                              <w:t xml:space="preserve">the </w:t>
                            </w:r>
                            <w:r>
                              <w:rPr>
                                <w:rFonts w:ascii="Arial" w:hAnsi="Arial" w:cs="Arial"/>
                                <w:bCs/>
                                <w:sz w:val="20"/>
                                <w:szCs w:val="20"/>
                                <w:lang w:val="en-GB"/>
                              </w:rPr>
                              <w:t>RSMO’s coordination centre (it can also be made possible that the national TSOs share these data directly with the RSMO’s coordination centre)</w:t>
                            </w:r>
                            <w:r w:rsidRPr="00193C13">
                              <w:rPr>
                                <w:rFonts w:ascii="Arial" w:hAnsi="Arial" w:cs="Arial"/>
                                <w:bCs/>
                                <w:sz w:val="20"/>
                                <w:szCs w:val="20"/>
                                <w:lang w:val="en-GB"/>
                              </w:rPr>
                              <w:t xml:space="preserve">. </w:t>
                            </w:r>
                            <w:r w:rsidRPr="00DB57A2">
                              <w:rPr>
                                <w:rFonts w:ascii="Arial" w:hAnsi="Arial" w:cs="Arial"/>
                                <w:bCs/>
                                <w:sz w:val="20"/>
                                <w:szCs w:val="20"/>
                                <w:lang w:val="en-GB"/>
                              </w:rPr>
                              <w:t>Data exchangers will be the national TSOs’ and the Control Area Operators’ control centres and the RSMOs’ coordination centres. The required systems for data processing and storage will be installed</w:t>
                            </w:r>
                            <w:r>
                              <w:rPr>
                                <w:rFonts w:ascii="Arial" w:hAnsi="Arial" w:cs="Arial"/>
                                <w:bCs/>
                                <w:sz w:val="20"/>
                                <w:szCs w:val="20"/>
                                <w:lang w:val="en-GB"/>
                              </w:rPr>
                              <w:t xml:space="preserve"> thereat</w:t>
                            </w:r>
                            <w:r w:rsidRPr="00DB57A2">
                              <w:rPr>
                                <w:rFonts w:ascii="Arial" w:hAnsi="Arial" w:cs="Arial"/>
                                <w:bCs/>
                                <w:sz w:val="20"/>
                                <w:szCs w:val="20"/>
                                <w:lang w:val="en-GB"/>
                              </w:rPr>
                              <w:t xml:space="preserve">. </w:t>
                            </w:r>
                            <w:r w:rsidRPr="00193C13">
                              <w:rPr>
                                <w:rFonts w:ascii="Arial" w:hAnsi="Arial" w:cs="Arial"/>
                                <w:bCs/>
                                <w:sz w:val="20"/>
                                <w:szCs w:val="20"/>
                                <w:lang w:val="en-GB"/>
                              </w:rPr>
                              <w:t>Details of the data to be exchanged in real</w:t>
                            </w:r>
                            <w:r>
                              <w:rPr>
                                <w:rFonts w:ascii="Arial" w:hAnsi="Arial" w:cs="Arial"/>
                                <w:bCs/>
                                <w:sz w:val="20"/>
                                <w:szCs w:val="20"/>
                                <w:lang w:val="en-GB"/>
                              </w:rPr>
                              <w:t>-</w:t>
                            </w:r>
                            <w:r w:rsidRPr="00193C13">
                              <w:rPr>
                                <w:rFonts w:ascii="Arial" w:hAnsi="Arial" w:cs="Arial"/>
                                <w:bCs/>
                                <w:sz w:val="20"/>
                                <w:szCs w:val="20"/>
                                <w:lang w:val="en-GB"/>
                              </w:rPr>
                              <w:t xml:space="preserve">time </w:t>
                            </w:r>
                            <w:r>
                              <w:rPr>
                                <w:rFonts w:ascii="Arial" w:hAnsi="Arial" w:cs="Arial"/>
                                <w:bCs/>
                                <w:sz w:val="20"/>
                                <w:szCs w:val="20"/>
                                <w:lang w:val="en-GB"/>
                              </w:rPr>
                              <w:t>will</w:t>
                            </w:r>
                            <w:r w:rsidRPr="00193C13">
                              <w:rPr>
                                <w:rFonts w:ascii="Arial" w:hAnsi="Arial" w:cs="Arial"/>
                                <w:bCs/>
                                <w:sz w:val="20"/>
                                <w:szCs w:val="20"/>
                                <w:lang w:val="en-GB"/>
                              </w:rPr>
                              <w:t xml:space="preserve"> be agreed between the parties.</w:t>
                            </w:r>
                            <w:r>
                              <w:rPr>
                                <w:rFonts w:ascii="Arial" w:hAnsi="Arial" w:cs="Arial"/>
                                <w:bCs/>
                                <w:sz w:val="20"/>
                                <w:szCs w:val="20"/>
                                <w:lang w:val="en-GB"/>
                              </w:rPr>
                              <w:t xml:space="preserve"> </w:t>
                            </w:r>
                          </w:p>
                          <w:p w14:paraId="3AE736E8" w14:textId="06CFF1F3"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93C13">
                              <w:rPr>
                                <w:rFonts w:ascii="Arial" w:hAnsi="Arial" w:cs="Arial"/>
                                <w:bCs/>
                                <w:sz w:val="20"/>
                                <w:szCs w:val="20"/>
                                <w:lang w:val="en-GB"/>
                              </w:rPr>
                              <w:t xml:space="preserve">Each </w:t>
                            </w:r>
                            <w:r>
                              <w:rPr>
                                <w:rFonts w:ascii="Arial" w:hAnsi="Arial" w:cs="Arial"/>
                                <w:bCs/>
                                <w:sz w:val="20"/>
                                <w:szCs w:val="20"/>
                                <w:lang w:val="en-GB"/>
                              </w:rPr>
                              <w:t xml:space="preserve">national </w:t>
                            </w:r>
                            <w:r w:rsidRPr="00193C13">
                              <w:rPr>
                                <w:rFonts w:ascii="Arial" w:hAnsi="Arial" w:cs="Arial"/>
                                <w:bCs/>
                                <w:sz w:val="20"/>
                                <w:szCs w:val="20"/>
                                <w:lang w:val="en-GB"/>
                              </w:rPr>
                              <w:t>TSO</w:t>
                            </w:r>
                            <w:r>
                              <w:rPr>
                                <w:rFonts w:ascii="Arial" w:hAnsi="Arial" w:cs="Arial"/>
                                <w:bCs/>
                                <w:sz w:val="20"/>
                                <w:szCs w:val="20"/>
                                <w:lang w:val="en-GB"/>
                              </w:rPr>
                              <w:t>/Control Area Operator</w:t>
                            </w:r>
                            <w:r w:rsidRPr="00193C13">
                              <w:rPr>
                                <w:rFonts w:ascii="Arial" w:hAnsi="Arial" w:cs="Arial"/>
                                <w:bCs/>
                                <w:sz w:val="20"/>
                                <w:szCs w:val="20"/>
                                <w:lang w:val="en-GB"/>
                              </w:rPr>
                              <w:t xml:space="preserve"> </w:t>
                            </w:r>
                            <w:r>
                              <w:rPr>
                                <w:rFonts w:ascii="Arial" w:hAnsi="Arial" w:cs="Arial"/>
                                <w:bCs/>
                                <w:sz w:val="20"/>
                                <w:szCs w:val="20"/>
                                <w:lang w:val="en-GB"/>
                              </w:rPr>
                              <w:t>will</w:t>
                            </w:r>
                            <w:r w:rsidRPr="00193C13">
                              <w:rPr>
                                <w:rFonts w:ascii="Arial" w:hAnsi="Arial" w:cs="Arial"/>
                                <w:bCs/>
                                <w:sz w:val="20"/>
                                <w:szCs w:val="20"/>
                                <w:lang w:val="en-GB"/>
                              </w:rPr>
                              <w:t xml:space="preserve"> exchange with the other </w:t>
                            </w:r>
                            <w:r>
                              <w:rPr>
                                <w:rFonts w:ascii="Arial" w:hAnsi="Arial" w:cs="Arial"/>
                                <w:bCs/>
                                <w:sz w:val="20"/>
                                <w:szCs w:val="20"/>
                                <w:lang w:val="en-GB"/>
                              </w:rPr>
                              <w:t xml:space="preserve">national </w:t>
                            </w:r>
                            <w:r w:rsidRPr="00193C13">
                              <w:rPr>
                                <w:rFonts w:ascii="Arial" w:hAnsi="Arial" w:cs="Arial"/>
                                <w:bCs/>
                                <w:sz w:val="20"/>
                                <w:szCs w:val="20"/>
                                <w:lang w:val="en-GB"/>
                              </w:rPr>
                              <w:t>TSOs</w:t>
                            </w:r>
                            <w:r>
                              <w:rPr>
                                <w:rFonts w:ascii="Arial" w:hAnsi="Arial" w:cs="Arial"/>
                                <w:bCs/>
                                <w:sz w:val="20"/>
                                <w:szCs w:val="20"/>
                                <w:lang w:val="en-GB"/>
                              </w:rPr>
                              <w:t>/Control Area Operators</w:t>
                            </w:r>
                            <w:r w:rsidRPr="00193C13">
                              <w:rPr>
                                <w:rFonts w:ascii="Arial" w:hAnsi="Arial" w:cs="Arial"/>
                                <w:bCs/>
                                <w:sz w:val="20"/>
                                <w:szCs w:val="20"/>
                                <w:lang w:val="en-GB"/>
                              </w:rPr>
                              <w:t xml:space="preserve"> </w:t>
                            </w:r>
                            <w:r>
                              <w:rPr>
                                <w:rFonts w:ascii="Arial" w:hAnsi="Arial" w:cs="Arial"/>
                                <w:bCs/>
                                <w:sz w:val="20"/>
                                <w:szCs w:val="20"/>
                                <w:lang w:val="en-GB"/>
                              </w:rPr>
                              <w:t xml:space="preserve">and the RSMO </w:t>
                            </w:r>
                            <w:r w:rsidRPr="00193C13">
                              <w:rPr>
                                <w:rFonts w:ascii="Arial" w:hAnsi="Arial" w:cs="Arial"/>
                                <w:bCs/>
                                <w:sz w:val="20"/>
                                <w:szCs w:val="20"/>
                                <w:lang w:val="en-GB"/>
                              </w:rPr>
                              <w:t xml:space="preserve">of the same synchronous area </w:t>
                            </w:r>
                            <w:r>
                              <w:rPr>
                                <w:rFonts w:ascii="Arial" w:hAnsi="Arial" w:cs="Arial"/>
                                <w:bCs/>
                                <w:sz w:val="20"/>
                                <w:szCs w:val="20"/>
                                <w:lang w:val="en-GB"/>
                              </w:rPr>
                              <w:t xml:space="preserve">operational data </w:t>
                            </w:r>
                            <w:r w:rsidRPr="00193C13">
                              <w:rPr>
                                <w:rFonts w:ascii="Arial" w:hAnsi="Arial" w:cs="Arial"/>
                                <w:bCs/>
                                <w:sz w:val="20"/>
                                <w:szCs w:val="20"/>
                                <w:lang w:val="en-GB"/>
                              </w:rPr>
                              <w:t xml:space="preserve">on actual and scheduled interchanges, voltages and </w:t>
                            </w:r>
                            <w:r>
                              <w:rPr>
                                <w:rFonts w:ascii="Arial" w:hAnsi="Arial" w:cs="Arial"/>
                                <w:bCs/>
                                <w:sz w:val="20"/>
                                <w:szCs w:val="20"/>
                                <w:lang w:val="en-GB"/>
                              </w:rPr>
                              <w:t>p</w:t>
                            </w:r>
                            <w:r w:rsidRPr="00193C13">
                              <w:rPr>
                                <w:rFonts w:ascii="Arial" w:hAnsi="Arial" w:cs="Arial"/>
                                <w:bCs/>
                                <w:sz w:val="20"/>
                                <w:szCs w:val="20"/>
                                <w:lang w:val="en-GB"/>
                              </w:rPr>
                              <w:t xml:space="preserve">lanned </w:t>
                            </w:r>
                            <w:r>
                              <w:rPr>
                                <w:rFonts w:ascii="Arial" w:hAnsi="Arial" w:cs="Arial"/>
                                <w:bCs/>
                                <w:sz w:val="20"/>
                                <w:szCs w:val="20"/>
                                <w:lang w:val="en-GB"/>
                              </w:rPr>
                              <w:t>o</w:t>
                            </w:r>
                            <w:r w:rsidRPr="00193C13">
                              <w:rPr>
                                <w:rFonts w:ascii="Arial" w:hAnsi="Arial" w:cs="Arial"/>
                                <w:bCs/>
                                <w:sz w:val="20"/>
                                <w:szCs w:val="20"/>
                                <w:lang w:val="en-GB"/>
                              </w:rPr>
                              <w:t xml:space="preserve">utages which may have adverse effect on other </w:t>
                            </w:r>
                            <w:r>
                              <w:rPr>
                                <w:rFonts w:ascii="Arial" w:hAnsi="Arial" w:cs="Arial"/>
                                <w:bCs/>
                                <w:sz w:val="20"/>
                                <w:szCs w:val="20"/>
                                <w:lang w:val="en-GB"/>
                              </w:rPr>
                              <w:t>national transmission systems/</w:t>
                            </w:r>
                            <w:r w:rsidRPr="00193C13">
                              <w:rPr>
                                <w:rFonts w:ascii="Arial" w:hAnsi="Arial" w:cs="Arial"/>
                                <w:bCs/>
                                <w:sz w:val="20"/>
                                <w:szCs w:val="20"/>
                                <w:lang w:val="en-GB"/>
                              </w:rPr>
                              <w:t>Control Areas</w:t>
                            </w:r>
                            <w:r>
                              <w:rPr>
                                <w:rFonts w:ascii="Arial" w:hAnsi="Arial" w:cs="Arial"/>
                                <w:bCs/>
                                <w:sz w:val="20"/>
                                <w:szCs w:val="20"/>
                                <w:lang w:val="en-GB"/>
                              </w:rPr>
                              <w:t>.</w:t>
                            </w:r>
                            <w:r w:rsidRPr="00193C13">
                              <w:rPr>
                                <w:rFonts w:ascii="Arial" w:hAnsi="Arial" w:cs="Arial"/>
                                <w:bCs/>
                                <w:sz w:val="20"/>
                                <w:szCs w:val="20"/>
                                <w:lang w:val="en-GB"/>
                              </w:rPr>
                              <w:t xml:space="preserve"> Major operating problems that could affect other </w:t>
                            </w:r>
                            <w:r>
                              <w:rPr>
                                <w:rFonts w:ascii="Arial" w:hAnsi="Arial" w:cs="Arial"/>
                                <w:bCs/>
                                <w:sz w:val="20"/>
                                <w:szCs w:val="20"/>
                                <w:lang w:val="en-GB"/>
                              </w:rPr>
                              <w:t>national transmission s</w:t>
                            </w:r>
                            <w:r w:rsidRPr="00193C13">
                              <w:rPr>
                                <w:rFonts w:ascii="Arial" w:hAnsi="Arial" w:cs="Arial"/>
                                <w:bCs/>
                                <w:sz w:val="20"/>
                                <w:szCs w:val="20"/>
                                <w:lang w:val="en-GB"/>
                              </w:rPr>
                              <w:t>ystems</w:t>
                            </w:r>
                            <w:r>
                              <w:rPr>
                                <w:rFonts w:ascii="Arial" w:hAnsi="Arial" w:cs="Arial"/>
                                <w:bCs/>
                                <w:sz w:val="20"/>
                                <w:szCs w:val="20"/>
                                <w:lang w:val="en-GB"/>
                              </w:rPr>
                              <w:t>/Control Areas</w:t>
                            </w:r>
                            <w:r w:rsidRPr="00193C13">
                              <w:rPr>
                                <w:rFonts w:ascii="Arial" w:hAnsi="Arial" w:cs="Arial"/>
                                <w:bCs/>
                                <w:sz w:val="20"/>
                                <w:szCs w:val="20"/>
                                <w:lang w:val="en-GB"/>
                              </w:rPr>
                              <w:t xml:space="preserve"> </w:t>
                            </w:r>
                            <w:r>
                              <w:rPr>
                                <w:rFonts w:ascii="Arial" w:hAnsi="Arial" w:cs="Arial"/>
                                <w:bCs/>
                                <w:sz w:val="20"/>
                                <w:szCs w:val="20"/>
                                <w:lang w:val="en-GB"/>
                              </w:rPr>
                              <w:t>will</w:t>
                            </w:r>
                            <w:r w:rsidRPr="00193C13">
                              <w:rPr>
                                <w:rFonts w:ascii="Arial" w:hAnsi="Arial" w:cs="Arial"/>
                                <w:bCs/>
                                <w:sz w:val="20"/>
                                <w:szCs w:val="20"/>
                                <w:lang w:val="en-GB"/>
                              </w:rPr>
                              <w:t xml:space="preserve"> be reported as soon as possible to </w:t>
                            </w:r>
                            <w:r>
                              <w:rPr>
                                <w:rFonts w:ascii="Arial" w:hAnsi="Arial" w:cs="Arial"/>
                                <w:bCs/>
                                <w:sz w:val="20"/>
                                <w:szCs w:val="20"/>
                                <w:lang w:val="en-GB"/>
                              </w:rPr>
                              <w:t xml:space="preserve">the </w:t>
                            </w:r>
                            <w:r w:rsidRPr="00193C13">
                              <w:rPr>
                                <w:rFonts w:ascii="Arial" w:hAnsi="Arial" w:cs="Arial"/>
                                <w:bCs/>
                                <w:sz w:val="20"/>
                                <w:szCs w:val="20"/>
                                <w:lang w:val="en-GB"/>
                              </w:rPr>
                              <w:t xml:space="preserve">neighbouring </w:t>
                            </w:r>
                            <w:r>
                              <w:rPr>
                                <w:rFonts w:ascii="Arial" w:hAnsi="Arial" w:cs="Arial"/>
                                <w:bCs/>
                                <w:sz w:val="20"/>
                                <w:szCs w:val="20"/>
                                <w:lang w:val="en-GB"/>
                              </w:rPr>
                              <w:t>ones</w:t>
                            </w:r>
                            <w:r w:rsidRPr="00193C13">
                              <w:rPr>
                                <w:rFonts w:ascii="Arial" w:hAnsi="Arial" w:cs="Arial"/>
                                <w:bCs/>
                                <w:sz w:val="20"/>
                                <w:szCs w:val="20"/>
                                <w:lang w:val="en-GB"/>
                              </w:rPr>
                              <w:t xml:space="preserve">. </w:t>
                            </w:r>
                          </w:p>
                          <w:p w14:paraId="5B18BA78" w14:textId="7281BD68"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 xml:space="preserve">The operational data will be exchanged by </w:t>
                            </w:r>
                            <w:r w:rsidRPr="00193C13">
                              <w:rPr>
                                <w:rFonts w:ascii="Arial" w:hAnsi="Arial" w:cs="Arial"/>
                                <w:bCs/>
                                <w:sz w:val="20"/>
                                <w:szCs w:val="20"/>
                                <w:lang w:val="en-GB"/>
                              </w:rPr>
                              <w:t xml:space="preserve">using the IT tool for real-time data exchange at </w:t>
                            </w:r>
                            <w:r>
                              <w:rPr>
                                <w:rFonts w:ascii="Arial" w:hAnsi="Arial" w:cs="Arial"/>
                                <w:bCs/>
                                <w:sz w:val="20"/>
                                <w:szCs w:val="20"/>
                                <w:lang w:val="en-GB"/>
                              </w:rPr>
                              <w:t>the regional</w:t>
                            </w:r>
                            <w:r w:rsidRPr="00193C13">
                              <w:rPr>
                                <w:rFonts w:ascii="Arial" w:hAnsi="Arial" w:cs="Arial"/>
                                <w:bCs/>
                                <w:sz w:val="20"/>
                                <w:szCs w:val="20"/>
                                <w:lang w:val="en-GB"/>
                              </w:rPr>
                              <w:t xml:space="preserve"> level as provided by </w:t>
                            </w:r>
                            <w:r>
                              <w:rPr>
                                <w:rFonts w:ascii="Arial" w:hAnsi="Arial" w:cs="Arial"/>
                                <w:bCs/>
                                <w:sz w:val="20"/>
                                <w:szCs w:val="20"/>
                                <w:lang w:val="en-GB"/>
                              </w:rPr>
                              <w:t xml:space="preserve">the respective RSMO. </w:t>
                            </w:r>
                            <w:r w:rsidRPr="00027875">
                              <w:rPr>
                                <w:rFonts w:ascii="Arial" w:hAnsi="Arial" w:cs="Arial"/>
                                <w:bCs/>
                                <w:sz w:val="20"/>
                                <w:szCs w:val="20"/>
                                <w:lang w:val="en-GB"/>
                              </w:rPr>
                              <w:t xml:space="preserve">The operational data to be </w:t>
                            </w:r>
                            <w:r>
                              <w:rPr>
                                <w:rFonts w:ascii="Arial" w:hAnsi="Arial" w:cs="Arial"/>
                                <w:bCs/>
                                <w:sz w:val="20"/>
                                <w:szCs w:val="20"/>
                                <w:lang w:val="en-GB"/>
                              </w:rPr>
                              <w:t>exchanged</w:t>
                            </w:r>
                            <w:r w:rsidRPr="00027875">
                              <w:rPr>
                                <w:rFonts w:ascii="Arial" w:hAnsi="Arial" w:cs="Arial"/>
                                <w:bCs/>
                                <w:sz w:val="20"/>
                                <w:szCs w:val="20"/>
                                <w:lang w:val="en-GB"/>
                              </w:rPr>
                              <w:t xml:space="preserve"> </w:t>
                            </w:r>
                            <w:r>
                              <w:rPr>
                                <w:rFonts w:ascii="Arial" w:hAnsi="Arial" w:cs="Arial"/>
                                <w:bCs/>
                                <w:sz w:val="20"/>
                                <w:szCs w:val="20"/>
                                <w:lang w:val="en-GB"/>
                              </w:rPr>
                              <w:t>will</w:t>
                            </w:r>
                            <w:r w:rsidRPr="00027875">
                              <w:rPr>
                                <w:rFonts w:ascii="Arial" w:hAnsi="Arial" w:cs="Arial"/>
                                <w:bCs/>
                                <w:sz w:val="20"/>
                                <w:szCs w:val="20"/>
                                <w:lang w:val="en-GB"/>
                              </w:rPr>
                              <w:t xml:space="preserve"> be determined for AGC, network operations and </w:t>
                            </w:r>
                            <w:r>
                              <w:rPr>
                                <w:rFonts w:ascii="Arial" w:hAnsi="Arial" w:cs="Arial"/>
                                <w:bCs/>
                                <w:sz w:val="20"/>
                                <w:szCs w:val="20"/>
                                <w:lang w:val="en-GB"/>
                              </w:rPr>
                              <w:t xml:space="preserve">the </w:t>
                            </w:r>
                            <w:r w:rsidRPr="00027875">
                              <w:rPr>
                                <w:rFonts w:ascii="Arial" w:hAnsi="Arial" w:cs="Arial"/>
                                <w:bCs/>
                                <w:sz w:val="20"/>
                                <w:szCs w:val="20"/>
                                <w:lang w:val="en-GB"/>
                              </w:rPr>
                              <w:t>synchronis</w:t>
                            </w:r>
                            <w:r>
                              <w:rPr>
                                <w:rFonts w:ascii="Arial" w:hAnsi="Arial" w:cs="Arial"/>
                                <w:bCs/>
                                <w:sz w:val="20"/>
                                <w:szCs w:val="20"/>
                                <w:lang w:val="en-GB"/>
                              </w:rPr>
                              <w:t>ation</w:t>
                            </w:r>
                            <w:r w:rsidRPr="00027875">
                              <w:rPr>
                                <w:rFonts w:ascii="Arial" w:hAnsi="Arial" w:cs="Arial"/>
                                <w:bCs/>
                                <w:sz w:val="20"/>
                                <w:szCs w:val="20"/>
                                <w:lang w:val="en-GB"/>
                              </w:rPr>
                              <w:t>.</w:t>
                            </w:r>
                            <w:r>
                              <w:rPr>
                                <w:rFonts w:ascii="Arial" w:hAnsi="Arial" w:cs="Arial"/>
                                <w:bCs/>
                                <w:sz w:val="20"/>
                                <w:szCs w:val="20"/>
                                <w:lang w:val="en-GB"/>
                              </w:rPr>
                              <w:t xml:space="preserve"> D</w:t>
                            </w:r>
                            <w:r w:rsidRPr="00027875">
                              <w:rPr>
                                <w:rFonts w:ascii="Arial" w:hAnsi="Arial" w:cs="Arial"/>
                                <w:bCs/>
                                <w:sz w:val="20"/>
                                <w:szCs w:val="20"/>
                                <w:lang w:val="en-GB"/>
                              </w:rPr>
                              <w:t xml:space="preserve">ata required by </w:t>
                            </w:r>
                            <w:r>
                              <w:rPr>
                                <w:rFonts w:ascii="Arial" w:hAnsi="Arial" w:cs="Arial"/>
                                <w:bCs/>
                                <w:sz w:val="20"/>
                                <w:szCs w:val="20"/>
                                <w:lang w:val="en-GB"/>
                              </w:rPr>
                              <w:t xml:space="preserve">the </w:t>
                            </w:r>
                            <w:r w:rsidRPr="00027875">
                              <w:rPr>
                                <w:rFonts w:ascii="Arial" w:hAnsi="Arial" w:cs="Arial"/>
                                <w:bCs/>
                                <w:sz w:val="20"/>
                                <w:szCs w:val="20"/>
                                <w:lang w:val="en-GB"/>
                              </w:rPr>
                              <w:t xml:space="preserve">synchronising leaders and </w:t>
                            </w:r>
                            <w:r>
                              <w:rPr>
                                <w:rFonts w:ascii="Arial" w:hAnsi="Arial" w:cs="Arial"/>
                                <w:bCs/>
                                <w:sz w:val="20"/>
                                <w:szCs w:val="20"/>
                                <w:lang w:val="en-GB"/>
                              </w:rPr>
                              <w:t xml:space="preserve">the </w:t>
                            </w:r>
                            <w:r w:rsidRPr="00027875">
                              <w:rPr>
                                <w:rFonts w:ascii="Arial" w:hAnsi="Arial" w:cs="Arial"/>
                                <w:bCs/>
                                <w:sz w:val="20"/>
                                <w:szCs w:val="20"/>
                                <w:lang w:val="en-GB"/>
                              </w:rPr>
                              <w:t xml:space="preserve">communication of settings with individual power stations </w:t>
                            </w:r>
                            <w:r>
                              <w:rPr>
                                <w:rFonts w:ascii="Arial" w:hAnsi="Arial" w:cs="Arial"/>
                                <w:bCs/>
                                <w:sz w:val="20"/>
                                <w:szCs w:val="20"/>
                                <w:lang w:val="en-GB"/>
                              </w:rPr>
                              <w:t>will</w:t>
                            </w:r>
                            <w:r w:rsidRPr="00027875">
                              <w:rPr>
                                <w:rFonts w:ascii="Arial" w:hAnsi="Arial" w:cs="Arial"/>
                                <w:bCs/>
                                <w:sz w:val="20"/>
                                <w:szCs w:val="20"/>
                                <w:lang w:val="en-GB"/>
                              </w:rPr>
                              <w:t xml:space="preserve"> be determined and implemented. Standard and means of reporting </w:t>
                            </w:r>
                            <w:r>
                              <w:rPr>
                                <w:rFonts w:ascii="Arial" w:hAnsi="Arial" w:cs="Arial"/>
                                <w:bCs/>
                                <w:sz w:val="20"/>
                                <w:szCs w:val="20"/>
                                <w:lang w:val="en-GB"/>
                              </w:rPr>
                              <w:t>will be</w:t>
                            </w:r>
                            <w:r w:rsidRPr="00027875">
                              <w:rPr>
                                <w:rFonts w:ascii="Arial" w:hAnsi="Arial" w:cs="Arial"/>
                                <w:bCs/>
                                <w:sz w:val="20"/>
                                <w:szCs w:val="20"/>
                                <w:lang w:val="en-GB"/>
                              </w:rPr>
                              <w:t xml:space="preserve"> defined </w:t>
                            </w:r>
                            <w:r>
                              <w:rPr>
                                <w:rFonts w:ascii="Arial" w:hAnsi="Arial" w:cs="Arial"/>
                                <w:bCs/>
                                <w:sz w:val="20"/>
                                <w:szCs w:val="20"/>
                                <w:lang w:val="en-GB"/>
                              </w:rPr>
                              <w:t>at the level of the RSMO, based on mandatory</w:t>
                            </w:r>
                            <w:r w:rsidRPr="00027875">
                              <w:rPr>
                                <w:rFonts w:ascii="Arial" w:hAnsi="Arial" w:cs="Arial"/>
                                <w:bCs/>
                                <w:sz w:val="20"/>
                                <w:szCs w:val="20"/>
                                <w:lang w:val="en-GB"/>
                              </w:rPr>
                              <w:t xml:space="preserve"> SCADA systems </w:t>
                            </w:r>
                            <w:r>
                              <w:rPr>
                                <w:rFonts w:ascii="Arial" w:hAnsi="Arial" w:cs="Arial"/>
                                <w:bCs/>
                                <w:sz w:val="20"/>
                                <w:szCs w:val="20"/>
                                <w:lang w:val="en-GB"/>
                              </w:rPr>
                              <w:t>at the national TSOs/Control Area Operators</w:t>
                            </w:r>
                            <w:r w:rsidRPr="00027875">
                              <w:rPr>
                                <w:rFonts w:ascii="Arial" w:hAnsi="Arial" w:cs="Arial"/>
                                <w:bCs/>
                                <w:sz w:val="20"/>
                                <w:szCs w:val="20"/>
                                <w:lang w:val="en-GB"/>
                              </w:rPr>
                              <w:t>.</w:t>
                            </w:r>
                            <w:r>
                              <w:rPr>
                                <w:rFonts w:ascii="Arial" w:hAnsi="Arial" w:cs="Arial"/>
                                <w:bCs/>
                                <w:sz w:val="20"/>
                                <w:szCs w:val="20"/>
                                <w:lang w:val="en-GB"/>
                              </w:rPr>
                              <w:t xml:space="preserve"> </w:t>
                            </w:r>
                          </w:p>
                          <w:p w14:paraId="7B4CD678" w14:textId="1C4F4534" w:rsidR="005276A4" w:rsidRPr="00027875"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S</w:t>
                            </w:r>
                            <w:r w:rsidRPr="00027875">
                              <w:rPr>
                                <w:rFonts w:ascii="Arial" w:hAnsi="Arial" w:cs="Arial"/>
                                <w:bCs/>
                                <w:sz w:val="20"/>
                                <w:szCs w:val="20"/>
                                <w:lang w:val="en-GB"/>
                              </w:rPr>
                              <w:t xml:space="preserve">tandard </w:t>
                            </w:r>
                            <w:r>
                              <w:rPr>
                                <w:rFonts w:ascii="Arial" w:hAnsi="Arial" w:cs="Arial"/>
                                <w:bCs/>
                                <w:sz w:val="20"/>
                                <w:szCs w:val="20"/>
                                <w:lang w:val="en-GB"/>
                              </w:rPr>
                              <w:t xml:space="preserve">will </w:t>
                            </w:r>
                            <w:r w:rsidRPr="00027875">
                              <w:rPr>
                                <w:rFonts w:ascii="Arial" w:hAnsi="Arial" w:cs="Arial"/>
                                <w:bCs/>
                                <w:sz w:val="20"/>
                                <w:szCs w:val="20"/>
                                <w:lang w:val="en-GB"/>
                              </w:rPr>
                              <w:t xml:space="preserve">specify the minimum operational data to be shared between adjacent and non-adjacent </w:t>
                            </w:r>
                            <w:r>
                              <w:rPr>
                                <w:rFonts w:ascii="Arial" w:hAnsi="Arial" w:cs="Arial"/>
                                <w:bCs/>
                                <w:sz w:val="20"/>
                                <w:szCs w:val="20"/>
                                <w:lang w:val="en-GB"/>
                              </w:rPr>
                              <w:t>national transmission systems/C</w:t>
                            </w:r>
                            <w:r w:rsidRPr="00027875">
                              <w:rPr>
                                <w:rFonts w:ascii="Arial" w:hAnsi="Arial" w:cs="Arial"/>
                                <w:bCs/>
                                <w:sz w:val="20"/>
                                <w:szCs w:val="20"/>
                                <w:lang w:val="en-GB"/>
                              </w:rPr>
                              <w:t xml:space="preserve">ontrol </w:t>
                            </w:r>
                            <w:r>
                              <w:rPr>
                                <w:rFonts w:ascii="Arial" w:hAnsi="Arial" w:cs="Arial"/>
                                <w:bCs/>
                                <w:sz w:val="20"/>
                                <w:szCs w:val="20"/>
                                <w:lang w:val="en-GB"/>
                              </w:rPr>
                              <w:t>A</w:t>
                            </w:r>
                            <w:r w:rsidRPr="00027875">
                              <w:rPr>
                                <w:rFonts w:ascii="Arial" w:hAnsi="Arial" w:cs="Arial"/>
                                <w:bCs/>
                                <w:sz w:val="20"/>
                                <w:szCs w:val="20"/>
                                <w:lang w:val="en-GB"/>
                              </w:rPr>
                              <w:t xml:space="preserve">reas, and the means of communicating these data. </w:t>
                            </w:r>
                            <w:r>
                              <w:rPr>
                                <w:rFonts w:ascii="Arial" w:hAnsi="Arial" w:cs="Arial"/>
                                <w:bCs/>
                                <w:sz w:val="20"/>
                                <w:szCs w:val="20"/>
                                <w:lang w:val="en-GB"/>
                              </w:rPr>
                              <w:t>The m</w:t>
                            </w:r>
                            <w:r w:rsidRPr="00027875">
                              <w:rPr>
                                <w:rFonts w:ascii="Arial" w:hAnsi="Arial" w:cs="Arial"/>
                                <w:bCs/>
                                <w:sz w:val="20"/>
                                <w:szCs w:val="20"/>
                                <w:lang w:val="en-GB"/>
                              </w:rPr>
                              <w:t xml:space="preserve">inimum </w:t>
                            </w:r>
                            <w:r>
                              <w:rPr>
                                <w:rFonts w:ascii="Arial" w:hAnsi="Arial" w:cs="Arial"/>
                                <w:bCs/>
                                <w:sz w:val="20"/>
                                <w:szCs w:val="20"/>
                                <w:lang w:val="en-GB"/>
                              </w:rPr>
                              <w:t xml:space="preserve">operational </w:t>
                            </w:r>
                            <w:r w:rsidRPr="00027875">
                              <w:rPr>
                                <w:rFonts w:ascii="Arial" w:hAnsi="Arial" w:cs="Arial"/>
                                <w:bCs/>
                                <w:sz w:val="20"/>
                                <w:szCs w:val="20"/>
                                <w:lang w:val="en-GB"/>
                              </w:rPr>
                              <w:t xml:space="preserve">data </w:t>
                            </w:r>
                            <w:r>
                              <w:rPr>
                                <w:rFonts w:ascii="Arial" w:hAnsi="Arial" w:cs="Arial"/>
                                <w:bCs/>
                                <w:sz w:val="20"/>
                                <w:szCs w:val="20"/>
                                <w:lang w:val="en-GB"/>
                              </w:rPr>
                              <w:t>will</w:t>
                            </w:r>
                            <w:r w:rsidRPr="00027875">
                              <w:rPr>
                                <w:rFonts w:ascii="Arial" w:hAnsi="Arial" w:cs="Arial"/>
                                <w:bCs/>
                                <w:sz w:val="20"/>
                                <w:szCs w:val="20"/>
                                <w:lang w:val="en-GB"/>
                              </w:rPr>
                              <w:t xml:space="preserve"> define real</w:t>
                            </w:r>
                            <w:r>
                              <w:rPr>
                                <w:rFonts w:ascii="Arial" w:hAnsi="Arial" w:cs="Arial"/>
                                <w:bCs/>
                                <w:sz w:val="20"/>
                                <w:szCs w:val="20"/>
                                <w:lang w:val="en-GB"/>
                              </w:rPr>
                              <w:t>-</w:t>
                            </w:r>
                            <w:r w:rsidRPr="00027875">
                              <w:rPr>
                                <w:rFonts w:ascii="Arial" w:hAnsi="Arial" w:cs="Arial"/>
                                <w:bCs/>
                                <w:sz w:val="20"/>
                                <w:szCs w:val="20"/>
                                <w:lang w:val="en-GB"/>
                              </w:rPr>
                              <w:t>time a) synchronising data</w:t>
                            </w:r>
                            <w:r>
                              <w:rPr>
                                <w:rFonts w:ascii="Arial" w:hAnsi="Arial" w:cs="Arial"/>
                                <w:bCs/>
                                <w:sz w:val="20"/>
                                <w:szCs w:val="20"/>
                                <w:lang w:val="en-GB"/>
                              </w:rPr>
                              <w:t>,</w:t>
                            </w:r>
                            <w:r w:rsidRPr="00027875">
                              <w:rPr>
                                <w:rFonts w:ascii="Arial" w:hAnsi="Arial" w:cs="Arial"/>
                                <w:bCs/>
                                <w:sz w:val="20"/>
                                <w:szCs w:val="20"/>
                                <w:lang w:val="en-GB"/>
                              </w:rPr>
                              <w:t xml:space="preserve"> b) tie-line flow data</w:t>
                            </w:r>
                            <w:r>
                              <w:rPr>
                                <w:rFonts w:ascii="Arial" w:hAnsi="Arial" w:cs="Arial"/>
                                <w:bCs/>
                                <w:sz w:val="20"/>
                                <w:szCs w:val="20"/>
                                <w:lang w:val="en-GB"/>
                              </w:rPr>
                              <w:t>,</w:t>
                            </w:r>
                            <w:r w:rsidRPr="00027875">
                              <w:rPr>
                                <w:rFonts w:ascii="Arial" w:hAnsi="Arial" w:cs="Arial"/>
                                <w:bCs/>
                                <w:sz w:val="20"/>
                                <w:szCs w:val="20"/>
                                <w:lang w:val="en-GB"/>
                              </w:rPr>
                              <w:t xml:space="preserve"> c) voltage data</w:t>
                            </w:r>
                            <w:r>
                              <w:rPr>
                                <w:rFonts w:ascii="Arial" w:hAnsi="Arial" w:cs="Arial"/>
                                <w:bCs/>
                                <w:sz w:val="20"/>
                                <w:szCs w:val="20"/>
                                <w:lang w:val="en-GB"/>
                              </w:rPr>
                              <w:t>,</w:t>
                            </w:r>
                            <w:r w:rsidRPr="00027875">
                              <w:rPr>
                                <w:rFonts w:ascii="Arial" w:hAnsi="Arial" w:cs="Arial"/>
                                <w:bCs/>
                                <w:sz w:val="20"/>
                                <w:szCs w:val="20"/>
                                <w:lang w:val="en-GB"/>
                              </w:rPr>
                              <w:t xml:space="preserve"> and d) system status data. </w:t>
                            </w:r>
                          </w:p>
                          <w:p w14:paraId="0EF79165" w14:textId="023D2EA7" w:rsidR="005276A4" w:rsidRPr="00DB57A2"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 xml:space="preserve">More detailed, the following </w:t>
                            </w:r>
                            <w:r w:rsidRPr="00193C13">
                              <w:rPr>
                                <w:rFonts w:ascii="Arial" w:hAnsi="Arial" w:cs="Arial"/>
                                <w:bCs/>
                                <w:sz w:val="20"/>
                                <w:szCs w:val="20"/>
                                <w:lang w:val="en-GB"/>
                              </w:rPr>
                              <w:t>data</w:t>
                            </w:r>
                            <w:r>
                              <w:rPr>
                                <w:rFonts w:ascii="Arial" w:hAnsi="Arial" w:cs="Arial"/>
                                <w:bCs/>
                                <w:sz w:val="20"/>
                                <w:szCs w:val="20"/>
                                <w:lang w:val="en-GB"/>
                              </w:rPr>
                              <w:t xml:space="preserve"> </w:t>
                            </w:r>
                            <w:r w:rsidRPr="00193C13">
                              <w:rPr>
                                <w:rFonts w:ascii="Arial" w:hAnsi="Arial" w:cs="Arial"/>
                                <w:bCs/>
                                <w:sz w:val="20"/>
                                <w:szCs w:val="20"/>
                                <w:lang w:val="en-GB"/>
                              </w:rPr>
                              <w:t xml:space="preserve">on the system state of </w:t>
                            </w:r>
                            <w:r>
                              <w:rPr>
                                <w:rFonts w:ascii="Arial" w:hAnsi="Arial" w:cs="Arial"/>
                                <w:bCs/>
                                <w:sz w:val="20"/>
                                <w:szCs w:val="20"/>
                                <w:lang w:val="en-GB"/>
                              </w:rPr>
                              <w:t>the respective</w:t>
                            </w:r>
                            <w:r w:rsidRPr="00193C13">
                              <w:rPr>
                                <w:rFonts w:ascii="Arial" w:hAnsi="Arial" w:cs="Arial"/>
                                <w:bCs/>
                                <w:sz w:val="20"/>
                                <w:szCs w:val="20"/>
                                <w:lang w:val="en-GB"/>
                              </w:rPr>
                              <w:t xml:space="preserve"> transmission system</w:t>
                            </w:r>
                            <w:r>
                              <w:rPr>
                                <w:rFonts w:ascii="Arial" w:hAnsi="Arial" w:cs="Arial"/>
                                <w:bCs/>
                                <w:sz w:val="20"/>
                                <w:szCs w:val="20"/>
                                <w:lang w:val="en-GB"/>
                              </w:rPr>
                              <w:t>/Control Area will be exchanged</w:t>
                            </w:r>
                            <w:r w:rsidRPr="00193C13">
                              <w:rPr>
                                <w:rFonts w:ascii="Arial" w:hAnsi="Arial" w:cs="Arial"/>
                                <w:bCs/>
                                <w:sz w:val="20"/>
                                <w:szCs w:val="20"/>
                                <w:lang w:val="en-GB"/>
                              </w:rPr>
                              <w:t xml:space="preserve">: (a) frequency; (b) frequency restoration control error; (c) measured active power interchanges between </w:t>
                            </w:r>
                            <w:r>
                              <w:rPr>
                                <w:rFonts w:ascii="Arial" w:hAnsi="Arial" w:cs="Arial"/>
                                <w:bCs/>
                                <w:sz w:val="20"/>
                                <w:szCs w:val="20"/>
                                <w:lang w:val="en-GB"/>
                              </w:rPr>
                              <w:t>load-frequency control</w:t>
                            </w:r>
                            <w:r w:rsidRPr="00193C13">
                              <w:rPr>
                                <w:rFonts w:ascii="Arial" w:hAnsi="Arial" w:cs="Arial"/>
                                <w:bCs/>
                                <w:sz w:val="20"/>
                                <w:szCs w:val="20"/>
                                <w:lang w:val="en-GB"/>
                              </w:rPr>
                              <w:t xml:space="preserve"> areas; (d) aggregated generation infeed; (e) system state; (f) set</w:t>
                            </w:r>
                            <w:r>
                              <w:rPr>
                                <w:rFonts w:ascii="Arial" w:hAnsi="Arial" w:cs="Arial"/>
                                <w:bCs/>
                                <w:sz w:val="20"/>
                                <w:szCs w:val="20"/>
                                <w:lang w:val="en-GB"/>
                              </w:rPr>
                              <w:t>-</w:t>
                            </w:r>
                            <w:r w:rsidRPr="00193C13">
                              <w:rPr>
                                <w:rFonts w:ascii="Arial" w:hAnsi="Arial" w:cs="Arial"/>
                                <w:bCs/>
                                <w:sz w:val="20"/>
                                <w:szCs w:val="20"/>
                                <w:lang w:val="en-GB"/>
                              </w:rPr>
                              <w:t>point of the load-frequency controller; and (g) power interexchange via virtual tie-lines.</w:t>
                            </w:r>
                            <w:r>
                              <w:rPr>
                                <w:rFonts w:ascii="Arial" w:hAnsi="Arial" w:cs="Arial"/>
                                <w:bCs/>
                                <w:sz w:val="20"/>
                                <w:szCs w:val="20"/>
                                <w:lang w:val="en-GB"/>
                              </w:rPr>
                              <w:t xml:space="preserve"> The system operators will be allowed to exchange other data as deemed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AEC7C7" id="Text Box 25" o:spid="_x0000_s1050" type="#_x0000_t202" style="width:481.3pt;height:4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" fillcolor="#ebf1de" strokeweight=".5pt">
                <v:textbox>
                  <w:txbxContent>
                    <w:p w14:paraId="5386B681" w14:textId="03BBAA87" w:rsidR="005276A4" w:rsidRPr="00865FCB" w:rsidRDefault="005276A4" w:rsidP="00193C13">
                      <w:pPr>
                        <w:jc w:val="left"/>
                        <w:rPr>
                          <w:bCs/>
                        </w:rPr>
                      </w:pPr>
                      <w:r w:rsidRPr="00865FCB">
                        <w:rPr>
                          <w:bCs/>
                        </w:rPr>
                        <w:t xml:space="preserve">Guidelines </w:t>
                      </w:r>
                      <w:r>
                        <w:rPr>
                          <w:bCs/>
                        </w:rPr>
                        <w:t>5.2:</w:t>
                      </w:r>
                      <w:r w:rsidRPr="00865FCB">
                        <w:rPr>
                          <w:bCs/>
                        </w:rPr>
                        <w:t xml:space="preserve"> </w:t>
                      </w:r>
                      <w:r>
                        <w:rPr>
                          <w:bCs/>
                        </w:rPr>
                        <w:t xml:space="preserve">Operational Data </w:t>
                      </w:r>
                    </w:p>
                    <w:p w14:paraId="3EAAA441" w14:textId="2AE74F0A"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93C13">
                        <w:rPr>
                          <w:rFonts w:ascii="Arial" w:hAnsi="Arial" w:cs="Arial"/>
                          <w:bCs/>
                          <w:sz w:val="20"/>
                          <w:szCs w:val="20"/>
                          <w:lang w:val="en-GB"/>
                        </w:rPr>
                        <w:t xml:space="preserve">Each </w:t>
                      </w:r>
                      <w:r>
                        <w:rPr>
                          <w:rFonts w:ascii="Arial" w:hAnsi="Arial" w:cs="Arial"/>
                          <w:bCs/>
                          <w:sz w:val="20"/>
                          <w:szCs w:val="20"/>
                          <w:lang w:val="en-GB"/>
                        </w:rPr>
                        <w:t xml:space="preserve">national </w:t>
                      </w:r>
                      <w:r w:rsidRPr="00193C13">
                        <w:rPr>
                          <w:rFonts w:ascii="Arial" w:hAnsi="Arial" w:cs="Arial"/>
                          <w:bCs/>
                          <w:sz w:val="20"/>
                          <w:szCs w:val="20"/>
                          <w:lang w:val="en-GB"/>
                        </w:rPr>
                        <w:t xml:space="preserve">TSO </w:t>
                      </w:r>
                      <w:r>
                        <w:rPr>
                          <w:rFonts w:ascii="Arial" w:hAnsi="Arial" w:cs="Arial"/>
                          <w:bCs/>
                          <w:sz w:val="20"/>
                          <w:szCs w:val="20"/>
                          <w:lang w:val="en-GB"/>
                        </w:rPr>
                        <w:t xml:space="preserve">will </w:t>
                      </w:r>
                      <w:r w:rsidRPr="00193C13">
                        <w:rPr>
                          <w:rFonts w:ascii="Arial" w:hAnsi="Arial" w:cs="Arial"/>
                          <w:bCs/>
                          <w:sz w:val="20"/>
                          <w:szCs w:val="20"/>
                          <w:lang w:val="en-GB"/>
                        </w:rPr>
                        <w:t xml:space="preserve">make available real-time data of relevant parts of its </w:t>
                      </w:r>
                      <w:r>
                        <w:rPr>
                          <w:rFonts w:ascii="Arial" w:hAnsi="Arial" w:cs="Arial"/>
                          <w:bCs/>
                          <w:sz w:val="20"/>
                          <w:szCs w:val="20"/>
                          <w:lang w:val="en-GB"/>
                        </w:rPr>
                        <w:t>n</w:t>
                      </w:r>
                      <w:r w:rsidRPr="00193C13">
                        <w:rPr>
                          <w:rFonts w:ascii="Arial" w:hAnsi="Arial" w:cs="Arial"/>
                          <w:bCs/>
                          <w:sz w:val="20"/>
                          <w:szCs w:val="20"/>
                          <w:lang w:val="en-GB"/>
                        </w:rPr>
                        <w:t xml:space="preserve">ational </w:t>
                      </w:r>
                      <w:r>
                        <w:rPr>
                          <w:rFonts w:ascii="Arial" w:hAnsi="Arial" w:cs="Arial"/>
                          <w:bCs/>
                          <w:sz w:val="20"/>
                          <w:szCs w:val="20"/>
                          <w:lang w:val="en-GB"/>
                        </w:rPr>
                        <w:t>transmission s</w:t>
                      </w:r>
                      <w:r w:rsidRPr="00193C13">
                        <w:rPr>
                          <w:rFonts w:ascii="Arial" w:hAnsi="Arial" w:cs="Arial"/>
                          <w:bCs/>
                          <w:sz w:val="20"/>
                          <w:szCs w:val="20"/>
                          <w:lang w:val="en-GB"/>
                        </w:rPr>
                        <w:t xml:space="preserve">ystem to </w:t>
                      </w:r>
                      <w:r>
                        <w:rPr>
                          <w:rFonts w:ascii="Arial" w:hAnsi="Arial" w:cs="Arial"/>
                          <w:bCs/>
                          <w:sz w:val="20"/>
                          <w:szCs w:val="20"/>
                          <w:lang w:val="en-GB"/>
                        </w:rPr>
                        <w:t xml:space="preserve">the </w:t>
                      </w:r>
                      <w:r w:rsidRPr="00193C13">
                        <w:rPr>
                          <w:rFonts w:ascii="Arial" w:hAnsi="Arial" w:cs="Arial"/>
                          <w:bCs/>
                          <w:sz w:val="20"/>
                          <w:szCs w:val="20"/>
                          <w:lang w:val="en-GB"/>
                        </w:rPr>
                        <w:t>neighbouring TSOs</w:t>
                      </w:r>
                      <w:r>
                        <w:rPr>
                          <w:rFonts w:ascii="Arial" w:hAnsi="Arial" w:cs="Arial"/>
                          <w:bCs/>
                          <w:sz w:val="20"/>
                          <w:szCs w:val="20"/>
                          <w:lang w:val="en-GB"/>
                        </w:rPr>
                        <w:t xml:space="preserve"> and the respective Control Area Operator,</w:t>
                      </w:r>
                      <w:r w:rsidRPr="00193C13">
                        <w:rPr>
                          <w:rFonts w:ascii="Arial" w:hAnsi="Arial" w:cs="Arial"/>
                          <w:bCs/>
                          <w:sz w:val="20"/>
                          <w:szCs w:val="20"/>
                          <w:lang w:val="en-GB"/>
                        </w:rPr>
                        <w:t xml:space="preserve"> </w:t>
                      </w:r>
                      <w:r>
                        <w:rPr>
                          <w:rFonts w:ascii="Arial" w:hAnsi="Arial" w:cs="Arial"/>
                          <w:bCs/>
                          <w:sz w:val="20"/>
                          <w:szCs w:val="20"/>
                          <w:lang w:val="en-GB"/>
                        </w:rPr>
                        <w:t xml:space="preserve">which will share these with </w:t>
                      </w:r>
                      <w:r w:rsidRPr="00193C13">
                        <w:rPr>
                          <w:rFonts w:ascii="Arial" w:hAnsi="Arial" w:cs="Arial"/>
                          <w:bCs/>
                          <w:sz w:val="20"/>
                          <w:szCs w:val="20"/>
                          <w:lang w:val="en-GB"/>
                        </w:rPr>
                        <w:t xml:space="preserve">the </w:t>
                      </w:r>
                      <w:r>
                        <w:rPr>
                          <w:rFonts w:ascii="Arial" w:hAnsi="Arial" w:cs="Arial"/>
                          <w:bCs/>
                          <w:sz w:val="20"/>
                          <w:szCs w:val="20"/>
                          <w:lang w:val="en-GB"/>
                        </w:rPr>
                        <w:t>RSMO’s coordination centre (it can also be made possible that the national TSOs share these data directly with the RSMO’s coordination centre)</w:t>
                      </w:r>
                      <w:r w:rsidRPr="00193C13">
                        <w:rPr>
                          <w:rFonts w:ascii="Arial" w:hAnsi="Arial" w:cs="Arial"/>
                          <w:bCs/>
                          <w:sz w:val="20"/>
                          <w:szCs w:val="20"/>
                          <w:lang w:val="en-GB"/>
                        </w:rPr>
                        <w:t xml:space="preserve">. </w:t>
                      </w:r>
                      <w:r w:rsidRPr="00DB57A2">
                        <w:rPr>
                          <w:rFonts w:ascii="Arial" w:hAnsi="Arial" w:cs="Arial"/>
                          <w:bCs/>
                          <w:sz w:val="20"/>
                          <w:szCs w:val="20"/>
                          <w:lang w:val="en-GB"/>
                        </w:rPr>
                        <w:t>Data exchangers will be the national TSOs’ and the Control Area Operators’ control centres and the RSMOs’ coordination centres. The required systems for data processing and storage will be installed</w:t>
                      </w:r>
                      <w:r>
                        <w:rPr>
                          <w:rFonts w:ascii="Arial" w:hAnsi="Arial" w:cs="Arial"/>
                          <w:bCs/>
                          <w:sz w:val="20"/>
                          <w:szCs w:val="20"/>
                          <w:lang w:val="en-GB"/>
                        </w:rPr>
                        <w:t xml:space="preserve"> thereat</w:t>
                      </w:r>
                      <w:r w:rsidRPr="00DB57A2">
                        <w:rPr>
                          <w:rFonts w:ascii="Arial" w:hAnsi="Arial" w:cs="Arial"/>
                          <w:bCs/>
                          <w:sz w:val="20"/>
                          <w:szCs w:val="20"/>
                          <w:lang w:val="en-GB"/>
                        </w:rPr>
                        <w:t xml:space="preserve">. </w:t>
                      </w:r>
                      <w:r w:rsidRPr="00193C13">
                        <w:rPr>
                          <w:rFonts w:ascii="Arial" w:hAnsi="Arial" w:cs="Arial"/>
                          <w:bCs/>
                          <w:sz w:val="20"/>
                          <w:szCs w:val="20"/>
                          <w:lang w:val="en-GB"/>
                        </w:rPr>
                        <w:t>Details of the data to be exchanged in real</w:t>
                      </w:r>
                      <w:r>
                        <w:rPr>
                          <w:rFonts w:ascii="Arial" w:hAnsi="Arial" w:cs="Arial"/>
                          <w:bCs/>
                          <w:sz w:val="20"/>
                          <w:szCs w:val="20"/>
                          <w:lang w:val="en-GB"/>
                        </w:rPr>
                        <w:t>-</w:t>
                      </w:r>
                      <w:r w:rsidRPr="00193C13">
                        <w:rPr>
                          <w:rFonts w:ascii="Arial" w:hAnsi="Arial" w:cs="Arial"/>
                          <w:bCs/>
                          <w:sz w:val="20"/>
                          <w:szCs w:val="20"/>
                          <w:lang w:val="en-GB"/>
                        </w:rPr>
                        <w:t xml:space="preserve">time </w:t>
                      </w:r>
                      <w:r>
                        <w:rPr>
                          <w:rFonts w:ascii="Arial" w:hAnsi="Arial" w:cs="Arial"/>
                          <w:bCs/>
                          <w:sz w:val="20"/>
                          <w:szCs w:val="20"/>
                          <w:lang w:val="en-GB"/>
                        </w:rPr>
                        <w:t>will</w:t>
                      </w:r>
                      <w:r w:rsidRPr="00193C13">
                        <w:rPr>
                          <w:rFonts w:ascii="Arial" w:hAnsi="Arial" w:cs="Arial"/>
                          <w:bCs/>
                          <w:sz w:val="20"/>
                          <w:szCs w:val="20"/>
                          <w:lang w:val="en-GB"/>
                        </w:rPr>
                        <w:t xml:space="preserve"> be agreed between the parties.</w:t>
                      </w:r>
                      <w:r>
                        <w:rPr>
                          <w:rFonts w:ascii="Arial" w:hAnsi="Arial" w:cs="Arial"/>
                          <w:bCs/>
                          <w:sz w:val="20"/>
                          <w:szCs w:val="20"/>
                          <w:lang w:val="en-GB"/>
                        </w:rPr>
                        <w:t xml:space="preserve"> </w:t>
                      </w:r>
                    </w:p>
                    <w:p w14:paraId="3AE736E8" w14:textId="06CFF1F3"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193C13">
                        <w:rPr>
                          <w:rFonts w:ascii="Arial" w:hAnsi="Arial" w:cs="Arial"/>
                          <w:bCs/>
                          <w:sz w:val="20"/>
                          <w:szCs w:val="20"/>
                          <w:lang w:val="en-GB"/>
                        </w:rPr>
                        <w:t xml:space="preserve">Each </w:t>
                      </w:r>
                      <w:r>
                        <w:rPr>
                          <w:rFonts w:ascii="Arial" w:hAnsi="Arial" w:cs="Arial"/>
                          <w:bCs/>
                          <w:sz w:val="20"/>
                          <w:szCs w:val="20"/>
                          <w:lang w:val="en-GB"/>
                        </w:rPr>
                        <w:t xml:space="preserve">national </w:t>
                      </w:r>
                      <w:r w:rsidRPr="00193C13">
                        <w:rPr>
                          <w:rFonts w:ascii="Arial" w:hAnsi="Arial" w:cs="Arial"/>
                          <w:bCs/>
                          <w:sz w:val="20"/>
                          <w:szCs w:val="20"/>
                          <w:lang w:val="en-GB"/>
                        </w:rPr>
                        <w:t>TSO</w:t>
                      </w:r>
                      <w:r>
                        <w:rPr>
                          <w:rFonts w:ascii="Arial" w:hAnsi="Arial" w:cs="Arial"/>
                          <w:bCs/>
                          <w:sz w:val="20"/>
                          <w:szCs w:val="20"/>
                          <w:lang w:val="en-GB"/>
                        </w:rPr>
                        <w:t>/Control Area Operator</w:t>
                      </w:r>
                      <w:r w:rsidRPr="00193C13">
                        <w:rPr>
                          <w:rFonts w:ascii="Arial" w:hAnsi="Arial" w:cs="Arial"/>
                          <w:bCs/>
                          <w:sz w:val="20"/>
                          <w:szCs w:val="20"/>
                          <w:lang w:val="en-GB"/>
                        </w:rPr>
                        <w:t xml:space="preserve"> </w:t>
                      </w:r>
                      <w:r>
                        <w:rPr>
                          <w:rFonts w:ascii="Arial" w:hAnsi="Arial" w:cs="Arial"/>
                          <w:bCs/>
                          <w:sz w:val="20"/>
                          <w:szCs w:val="20"/>
                          <w:lang w:val="en-GB"/>
                        </w:rPr>
                        <w:t>will</w:t>
                      </w:r>
                      <w:r w:rsidRPr="00193C13">
                        <w:rPr>
                          <w:rFonts w:ascii="Arial" w:hAnsi="Arial" w:cs="Arial"/>
                          <w:bCs/>
                          <w:sz w:val="20"/>
                          <w:szCs w:val="20"/>
                          <w:lang w:val="en-GB"/>
                        </w:rPr>
                        <w:t xml:space="preserve"> exchange with the other </w:t>
                      </w:r>
                      <w:r>
                        <w:rPr>
                          <w:rFonts w:ascii="Arial" w:hAnsi="Arial" w:cs="Arial"/>
                          <w:bCs/>
                          <w:sz w:val="20"/>
                          <w:szCs w:val="20"/>
                          <w:lang w:val="en-GB"/>
                        </w:rPr>
                        <w:t xml:space="preserve">national </w:t>
                      </w:r>
                      <w:r w:rsidRPr="00193C13">
                        <w:rPr>
                          <w:rFonts w:ascii="Arial" w:hAnsi="Arial" w:cs="Arial"/>
                          <w:bCs/>
                          <w:sz w:val="20"/>
                          <w:szCs w:val="20"/>
                          <w:lang w:val="en-GB"/>
                        </w:rPr>
                        <w:t>TSOs</w:t>
                      </w:r>
                      <w:r>
                        <w:rPr>
                          <w:rFonts w:ascii="Arial" w:hAnsi="Arial" w:cs="Arial"/>
                          <w:bCs/>
                          <w:sz w:val="20"/>
                          <w:szCs w:val="20"/>
                          <w:lang w:val="en-GB"/>
                        </w:rPr>
                        <w:t>/Control Area Operators</w:t>
                      </w:r>
                      <w:r w:rsidRPr="00193C13">
                        <w:rPr>
                          <w:rFonts w:ascii="Arial" w:hAnsi="Arial" w:cs="Arial"/>
                          <w:bCs/>
                          <w:sz w:val="20"/>
                          <w:szCs w:val="20"/>
                          <w:lang w:val="en-GB"/>
                        </w:rPr>
                        <w:t xml:space="preserve"> </w:t>
                      </w:r>
                      <w:r>
                        <w:rPr>
                          <w:rFonts w:ascii="Arial" w:hAnsi="Arial" w:cs="Arial"/>
                          <w:bCs/>
                          <w:sz w:val="20"/>
                          <w:szCs w:val="20"/>
                          <w:lang w:val="en-GB"/>
                        </w:rPr>
                        <w:t xml:space="preserve">and the RSMO </w:t>
                      </w:r>
                      <w:r w:rsidRPr="00193C13">
                        <w:rPr>
                          <w:rFonts w:ascii="Arial" w:hAnsi="Arial" w:cs="Arial"/>
                          <w:bCs/>
                          <w:sz w:val="20"/>
                          <w:szCs w:val="20"/>
                          <w:lang w:val="en-GB"/>
                        </w:rPr>
                        <w:t xml:space="preserve">of the same synchronous area </w:t>
                      </w:r>
                      <w:r>
                        <w:rPr>
                          <w:rFonts w:ascii="Arial" w:hAnsi="Arial" w:cs="Arial"/>
                          <w:bCs/>
                          <w:sz w:val="20"/>
                          <w:szCs w:val="20"/>
                          <w:lang w:val="en-GB"/>
                        </w:rPr>
                        <w:t xml:space="preserve">operational data </w:t>
                      </w:r>
                      <w:r w:rsidRPr="00193C13">
                        <w:rPr>
                          <w:rFonts w:ascii="Arial" w:hAnsi="Arial" w:cs="Arial"/>
                          <w:bCs/>
                          <w:sz w:val="20"/>
                          <w:szCs w:val="20"/>
                          <w:lang w:val="en-GB"/>
                        </w:rPr>
                        <w:t xml:space="preserve">on actual and scheduled interchanges, voltages and </w:t>
                      </w:r>
                      <w:r>
                        <w:rPr>
                          <w:rFonts w:ascii="Arial" w:hAnsi="Arial" w:cs="Arial"/>
                          <w:bCs/>
                          <w:sz w:val="20"/>
                          <w:szCs w:val="20"/>
                          <w:lang w:val="en-GB"/>
                        </w:rPr>
                        <w:t>p</w:t>
                      </w:r>
                      <w:r w:rsidRPr="00193C13">
                        <w:rPr>
                          <w:rFonts w:ascii="Arial" w:hAnsi="Arial" w:cs="Arial"/>
                          <w:bCs/>
                          <w:sz w:val="20"/>
                          <w:szCs w:val="20"/>
                          <w:lang w:val="en-GB"/>
                        </w:rPr>
                        <w:t xml:space="preserve">lanned </w:t>
                      </w:r>
                      <w:r>
                        <w:rPr>
                          <w:rFonts w:ascii="Arial" w:hAnsi="Arial" w:cs="Arial"/>
                          <w:bCs/>
                          <w:sz w:val="20"/>
                          <w:szCs w:val="20"/>
                          <w:lang w:val="en-GB"/>
                        </w:rPr>
                        <w:t>o</w:t>
                      </w:r>
                      <w:r w:rsidRPr="00193C13">
                        <w:rPr>
                          <w:rFonts w:ascii="Arial" w:hAnsi="Arial" w:cs="Arial"/>
                          <w:bCs/>
                          <w:sz w:val="20"/>
                          <w:szCs w:val="20"/>
                          <w:lang w:val="en-GB"/>
                        </w:rPr>
                        <w:t xml:space="preserve">utages which may have adverse effect on other </w:t>
                      </w:r>
                      <w:r>
                        <w:rPr>
                          <w:rFonts w:ascii="Arial" w:hAnsi="Arial" w:cs="Arial"/>
                          <w:bCs/>
                          <w:sz w:val="20"/>
                          <w:szCs w:val="20"/>
                          <w:lang w:val="en-GB"/>
                        </w:rPr>
                        <w:t>national transmission systems/</w:t>
                      </w:r>
                      <w:r w:rsidRPr="00193C13">
                        <w:rPr>
                          <w:rFonts w:ascii="Arial" w:hAnsi="Arial" w:cs="Arial"/>
                          <w:bCs/>
                          <w:sz w:val="20"/>
                          <w:szCs w:val="20"/>
                          <w:lang w:val="en-GB"/>
                        </w:rPr>
                        <w:t>Control Areas</w:t>
                      </w:r>
                      <w:r>
                        <w:rPr>
                          <w:rFonts w:ascii="Arial" w:hAnsi="Arial" w:cs="Arial"/>
                          <w:bCs/>
                          <w:sz w:val="20"/>
                          <w:szCs w:val="20"/>
                          <w:lang w:val="en-GB"/>
                        </w:rPr>
                        <w:t>.</w:t>
                      </w:r>
                      <w:r w:rsidRPr="00193C13">
                        <w:rPr>
                          <w:rFonts w:ascii="Arial" w:hAnsi="Arial" w:cs="Arial"/>
                          <w:bCs/>
                          <w:sz w:val="20"/>
                          <w:szCs w:val="20"/>
                          <w:lang w:val="en-GB"/>
                        </w:rPr>
                        <w:t xml:space="preserve"> Major operating problems that could affect other </w:t>
                      </w:r>
                      <w:r>
                        <w:rPr>
                          <w:rFonts w:ascii="Arial" w:hAnsi="Arial" w:cs="Arial"/>
                          <w:bCs/>
                          <w:sz w:val="20"/>
                          <w:szCs w:val="20"/>
                          <w:lang w:val="en-GB"/>
                        </w:rPr>
                        <w:t>national transmission s</w:t>
                      </w:r>
                      <w:r w:rsidRPr="00193C13">
                        <w:rPr>
                          <w:rFonts w:ascii="Arial" w:hAnsi="Arial" w:cs="Arial"/>
                          <w:bCs/>
                          <w:sz w:val="20"/>
                          <w:szCs w:val="20"/>
                          <w:lang w:val="en-GB"/>
                        </w:rPr>
                        <w:t>ystems</w:t>
                      </w:r>
                      <w:r>
                        <w:rPr>
                          <w:rFonts w:ascii="Arial" w:hAnsi="Arial" w:cs="Arial"/>
                          <w:bCs/>
                          <w:sz w:val="20"/>
                          <w:szCs w:val="20"/>
                          <w:lang w:val="en-GB"/>
                        </w:rPr>
                        <w:t>/Control Areas</w:t>
                      </w:r>
                      <w:r w:rsidRPr="00193C13">
                        <w:rPr>
                          <w:rFonts w:ascii="Arial" w:hAnsi="Arial" w:cs="Arial"/>
                          <w:bCs/>
                          <w:sz w:val="20"/>
                          <w:szCs w:val="20"/>
                          <w:lang w:val="en-GB"/>
                        </w:rPr>
                        <w:t xml:space="preserve"> </w:t>
                      </w:r>
                      <w:r>
                        <w:rPr>
                          <w:rFonts w:ascii="Arial" w:hAnsi="Arial" w:cs="Arial"/>
                          <w:bCs/>
                          <w:sz w:val="20"/>
                          <w:szCs w:val="20"/>
                          <w:lang w:val="en-GB"/>
                        </w:rPr>
                        <w:t>will</w:t>
                      </w:r>
                      <w:r w:rsidRPr="00193C13">
                        <w:rPr>
                          <w:rFonts w:ascii="Arial" w:hAnsi="Arial" w:cs="Arial"/>
                          <w:bCs/>
                          <w:sz w:val="20"/>
                          <w:szCs w:val="20"/>
                          <w:lang w:val="en-GB"/>
                        </w:rPr>
                        <w:t xml:space="preserve"> be reported as soon as possible to </w:t>
                      </w:r>
                      <w:r>
                        <w:rPr>
                          <w:rFonts w:ascii="Arial" w:hAnsi="Arial" w:cs="Arial"/>
                          <w:bCs/>
                          <w:sz w:val="20"/>
                          <w:szCs w:val="20"/>
                          <w:lang w:val="en-GB"/>
                        </w:rPr>
                        <w:t xml:space="preserve">the </w:t>
                      </w:r>
                      <w:r w:rsidRPr="00193C13">
                        <w:rPr>
                          <w:rFonts w:ascii="Arial" w:hAnsi="Arial" w:cs="Arial"/>
                          <w:bCs/>
                          <w:sz w:val="20"/>
                          <w:szCs w:val="20"/>
                          <w:lang w:val="en-GB"/>
                        </w:rPr>
                        <w:t xml:space="preserve">neighbouring </w:t>
                      </w:r>
                      <w:r>
                        <w:rPr>
                          <w:rFonts w:ascii="Arial" w:hAnsi="Arial" w:cs="Arial"/>
                          <w:bCs/>
                          <w:sz w:val="20"/>
                          <w:szCs w:val="20"/>
                          <w:lang w:val="en-GB"/>
                        </w:rPr>
                        <w:t>ones</w:t>
                      </w:r>
                      <w:r w:rsidRPr="00193C13">
                        <w:rPr>
                          <w:rFonts w:ascii="Arial" w:hAnsi="Arial" w:cs="Arial"/>
                          <w:bCs/>
                          <w:sz w:val="20"/>
                          <w:szCs w:val="20"/>
                          <w:lang w:val="en-GB"/>
                        </w:rPr>
                        <w:t xml:space="preserve">. </w:t>
                      </w:r>
                    </w:p>
                    <w:p w14:paraId="5B18BA78" w14:textId="7281BD68"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 xml:space="preserve">The operational data will be exchanged by </w:t>
                      </w:r>
                      <w:r w:rsidRPr="00193C13">
                        <w:rPr>
                          <w:rFonts w:ascii="Arial" w:hAnsi="Arial" w:cs="Arial"/>
                          <w:bCs/>
                          <w:sz w:val="20"/>
                          <w:szCs w:val="20"/>
                          <w:lang w:val="en-GB"/>
                        </w:rPr>
                        <w:t xml:space="preserve">using the IT tool for real-time data exchange at </w:t>
                      </w:r>
                      <w:r>
                        <w:rPr>
                          <w:rFonts w:ascii="Arial" w:hAnsi="Arial" w:cs="Arial"/>
                          <w:bCs/>
                          <w:sz w:val="20"/>
                          <w:szCs w:val="20"/>
                          <w:lang w:val="en-GB"/>
                        </w:rPr>
                        <w:t>the regional</w:t>
                      </w:r>
                      <w:r w:rsidRPr="00193C13">
                        <w:rPr>
                          <w:rFonts w:ascii="Arial" w:hAnsi="Arial" w:cs="Arial"/>
                          <w:bCs/>
                          <w:sz w:val="20"/>
                          <w:szCs w:val="20"/>
                          <w:lang w:val="en-GB"/>
                        </w:rPr>
                        <w:t xml:space="preserve"> level as provided by </w:t>
                      </w:r>
                      <w:r>
                        <w:rPr>
                          <w:rFonts w:ascii="Arial" w:hAnsi="Arial" w:cs="Arial"/>
                          <w:bCs/>
                          <w:sz w:val="20"/>
                          <w:szCs w:val="20"/>
                          <w:lang w:val="en-GB"/>
                        </w:rPr>
                        <w:t xml:space="preserve">the respective RSMO. </w:t>
                      </w:r>
                      <w:r w:rsidRPr="00027875">
                        <w:rPr>
                          <w:rFonts w:ascii="Arial" w:hAnsi="Arial" w:cs="Arial"/>
                          <w:bCs/>
                          <w:sz w:val="20"/>
                          <w:szCs w:val="20"/>
                          <w:lang w:val="en-GB"/>
                        </w:rPr>
                        <w:t xml:space="preserve">The operational data to be </w:t>
                      </w:r>
                      <w:r>
                        <w:rPr>
                          <w:rFonts w:ascii="Arial" w:hAnsi="Arial" w:cs="Arial"/>
                          <w:bCs/>
                          <w:sz w:val="20"/>
                          <w:szCs w:val="20"/>
                          <w:lang w:val="en-GB"/>
                        </w:rPr>
                        <w:t>exchanged</w:t>
                      </w:r>
                      <w:r w:rsidRPr="00027875">
                        <w:rPr>
                          <w:rFonts w:ascii="Arial" w:hAnsi="Arial" w:cs="Arial"/>
                          <w:bCs/>
                          <w:sz w:val="20"/>
                          <w:szCs w:val="20"/>
                          <w:lang w:val="en-GB"/>
                        </w:rPr>
                        <w:t xml:space="preserve"> </w:t>
                      </w:r>
                      <w:r>
                        <w:rPr>
                          <w:rFonts w:ascii="Arial" w:hAnsi="Arial" w:cs="Arial"/>
                          <w:bCs/>
                          <w:sz w:val="20"/>
                          <w:szCs w:val="20"/>
                          <w:lang w:val="en-GB"/>
                        </w:rPr>
                        <w:t>will</w:t>
                      </w:r>
                      <w:r w:rsidRPr="00027875">
                        <w:rPr>
                          <w:rFonts w:ascii="Arial" w:hAnsi="Arial" w:cs="Arial"/>
                          <w:bCs/>
                          <w:sz w:val="20"/>
                          <w:szCs w:val="20"/>
                          <w:lang w:val="en-GB"/>
                        </w:rPr>
                        <w:t xml:space="preserve"> be determined for AGC, network operations and </w:t>
                      </w:r>
                      <w:r>
                        <w:rPr>
                          <w:rFonts w:ascii="Arial" w:hAnsi="Arial" w:cs="Arial"/>
                          <w:bCs/>
                          <w:sz w:val="20"/>
                          <w:szCs w:val="20"/>
                          <w:lang w:val="en-GB"/>
                        </w:rPr>
                        <w:t xml:space="preserve">the </w:t>
                      </w:r>
                      <w:r w:rsidRPr="00027875">
                        <w:rPr>
                          <w:rFonts w:ascii="Arial" w:hAnsi="Arial" w:cs="Arial"/>
                          <w:bCs/>
                          <w:sz w:val="20"/>
                          <w:szCs w:val="20"/>
                          <w:lang w:val="en-GB"/>
                        </w:rPr>
                        <w:t>synchronis</w:t>
                      </w:r>
                      <w:r>
                        <w:rPr>
                          <w:rFonts w:ascii="Arial" w:hAnsi="Arial" w:cs="Arial"/>
                          <w:bCs/>
                          <w:sz w:val="20"/>
                          <w:szCs w:val="20"/>
                          <w:lang w:val="en-GB"/>
                        </w:rPr>
                        <w:t>ation</w:t>
                      </w:r>
                      <w:r w:rsidRPr="00027875">
                        <w:rPr>
                          <w:rFonts w:ascii="Arial" w:hAnsi="Arial" w:cs="Arial"/>
                          <w:bCs/>
                          <w:sz w:val="20"/>
                          <w:szCs w:val="20"/>
                          <w:lang w:val="en-GB"/>
                        </w:rPr>
                        <w:t>.</w:t>
                      </w:r>
                      <w:r>
                        <w:rPr>
                          <w:rFonts w:ascii="Arial" w:hAnsi="Arial" w:cs="Arial"/>
                          <w:bCs/>
                          <w:sz w:val="20"/>
                          <w:szCs w:val="20"/>
                          <w:lang w:val="en-GB"/>
                        </w:rPr>
                        <w:t xml:space="preserve"> D</w:t>
                      </w:r>
                      <w:r w:rsidRPr="00027875">
                        <w:rPr>
                          <w:rFonts w:ascii="Arial" w:hAnsi="Arial" w:cs="Arial"/>
                          <w:bCs/>
                          <w:sz w:val="20"/>
                          <w:szCs w:val="20"/>
                          <w:lang w:val="en-GB"/>
                        </w:rPr>
                        <w:t xml:space="preserve">ata required by </w:t>
                      </w:r>
                      <w:r>
                        <w:rPr>
                          <w:rFonts w:ascii="Arial" w:hAnsi="Arial" w:cs="Arial"/>
                          <w:bCs/>
                          <w:sz w:val="20"/>
                          <w:szCs w:val="20"/>
                          <w:lang w:val="en-GB"/>
                        </w:rPr>
                        <w:t xml:space="preserve">the </w:t>
                      </w:r>
                      <w:r w:rsidRPr="00027875">
                        <w:rPr>
                          <w:rFonts w:ascii="Arial" w:hAnsi="Arial" w:cs="Arial"/>
                          <w:bCs/>
                          <w:sz w:val="20"/>
                          <w:szCs w:val="20"/>
                          <w:lang w:val="en-GB"/>
                        </w:rPr>
                        <w:t xml:space="preserve">synchronising leaders and </w:t>
                      </w:r>
                      <w:r>
                        <w:rPr>
                          <w:rFonts w:ascii="Arial" w:hAnsi="Arial" w:cs="Arial"/>
                          <w:bCs/>
                          <w:sz w:val="20"/>
                          <w:szCs w:val="20"/>
                          <w:lang w:val="en-GB"/>
                        </w:rPr>
                        <w:t xml:space="preserve">the </w:t>
                      </w:r>
                      <w:r w:rsidRPr="00027875">
                        <w:rPr>
                          <w:rFonts w:ascii="Arial" w:hAnsi="Arial" w:cs="Arial"/>
                          <w:bCs/>
                          <w:sz w:val="20"/>
                          <w:szCs w:val="20"/>
                          <w:lang w:val="en-GB"/>
                        </w:rPr>
                        <w:t xml:space="preserve">communication of settings with individual power stations </w:t>
                      </w:r>
                      <w:r>
                        <w:rPr>
                          <w:rFonts w:ascii="Arial" w:hAnsi="Arial" w:cs="Arial"/>
                          <w:bCs/>
                          <w:sz w:val="20"/>
                          <w:szCs w:val="20"/>
                          <w:lang w:val="en-GB"/>
                        </w:rPr>
                        <w:t>will</w:t>
                      </w:r>
                      <w:r w:rsidRPr="00027875">
                        <w:rPr>
                          <w:rFonts w:ascii="Arial" w:hAnsi="Arial" w:cs="Arial"/>
                          <w:bCs/>
                          <w:sz w:val="20"/>
                          <w:szCs w:val="20"/>
                          <w:lang w:val="en-GB"/>
                        </w:rPr>
                        <w:t xml:space="preserve"> be determined and implemented. Standard and means of reporting </w:t>
                      </w:r>
                      <w:r>
                        <w:rPr>
                          <w:rFonts w:ascii="Arial" w:hAnsi="Arial" w:cs="Arial"/>
                          <w:bCs/>
                          <w:sz w:val="20"/>
                          <w:szCs w:val="20"/>
                          <w:lang w:val="en-GB"/>
                        </w:rPr>
                        <w:t>will be</w:t>
                      </w:r>
                      <w:r w:rsidRPr="00027875">
                        <w:rPr>
                          <w:rFonts w:ascii="Arial" w:hAnsi="Arial" w:cs="Arial"/>
                          <w:bCs/>
                          <w:sz w:val="20"/>
                          <w:szCs w:val="20"/>
                          <w:lang w:val="en-GB"/>
                        </w:rPr>
                        <w:t xml:space="preserve"> defined </w:t>
                      </w:r>
                      <w:r>
                        <w:rPr>
                          <w:rFonts w:ascii="Arial" w:hAnsi="Arial" w:cs="Arial"/>
                          <w:bCs/>
                          <w:sz w:val="20"/>
                          <w:szCs w:val="20"/>
                          <w:lang w:val="en-GB"/>
                        </w:rPr>
                        <w:t>at the level of the RSMO, based on mandatory</w:t>
                      </w:r>
                      <w:r w:rsidRPr="00027875">
                        <w:rPr>
                          <w:rFonts w:ascii="Arial" w:hAnsi="Arial" w:cs="Arial"/>
                          <w:bCs/>
                          <w:sz w:val="20"/>
                          <w:szCs w:val="20"/>
                          <w:lang w:val="en-GB"/>
                        </w:rPr>
                        <w:t xml:space="preserve"> SCADA systems </w:t>
                      </w:r>
                      <w:r>
                        <w:rPr>
                          <w:rFonts w:ascii="Arial" w:hAnsi="Arial" w:cs="Arial"/>
                          <w:bCs/>
                          <w:sz w:val="20"/>
                          <w:szCs w:val="20"/>
                          <w:lang w:val="en-GB"/>
                        </w:rPr>
                        <w:t>at the national TSOs/Control Area Operators</w:t>
                      </w:r>
                      <w:r w:rsidRPr="00027875">
                        <w:rPr>
                          <w:rFonts w:ascii="Arial" w:hAnsi="Arial" w:cs="Arial"/>
                          <w:bCs/>
                          <w:sz w:val="20"/>
                          <w:szCs w:val="20"/>
                          <w:lang w:val="en-GB"/>
                        </w:rPr>
                        <w:t>.</w:t>
                      </w:r>
                      <w:r>
                        <w:rPr>
                          <w:rFonts w:ascii="Arial" w:hAnsi="Arial" w:cs="Arial"/>
                          <w:bCs/>
                          <w:sz w:val="20"/>
                          <w:szCs w:val="20"/>
                          <w:lang w:val="en-GB"/>
                        </w:rPr>
                        <w:t xml:space="preserve"> </w:t>
                      </w:r>
                    </w:p>
                    <w:p w14:paraId="7B4CD678" w14:textId="1C4F4534" w:rsidR="005276A4" w:rsidRPr="00027875"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S</w:t>
                      </w:r>
                      <w:r w:rsidRPr="00027875">
                        <w:rPr>
                          <w:rFonts w:ascii="Arial" w:hAnsi="Arial" w:cs="Arial"/>
                          <w:bCs/>
                          <w:sz w:val="20"/>
                          <w:szCs w:val="20"/>
                          <w:lang w:val="en-GB"/>
                        </w:rPr>
                        <w:t xml:space="preserve">tandard </w:t>
                      </w:r>
                      <w:r>
                        <w:rPr>
                          <w:rFonts w:ascii="Arial" w:hAnsi="Arial" w:cs="Arial"/>
                          <w:bCs/>
                          <w:sz w:val="20"/>
                          <w:szCs w:val="20"/>
                          <w:lang w:val="en-GB"/>
                        </w:rPr>
                        <w:t xml:space="preserve">will </w:t>
                      </w:r>
                      <w:r w:rsidRPr="00027875">
                        <w:rPr>
                          <w:rFonts w:ascii="Arial" w:hAnsi="Arial" w:cs="Arial"/>
                          <w:bCs/>
                          <w:sz w:val="20"/>
                          <w:szCs w:val="20"/>
                          <w:lang w:val="en-GB"/>
                        </w:rPr>
                        <w:t xml:space="preserve">specify the minimum operational data to be shared between adjacent and non-adjacent </w:t>
                      </w:r>
                      <w:r>
                        <w:rPr>
                          <w:rFonts w:ascii="Arial" w:hAnsi="Arial" w:cs="Arial"/>
                          <w:bCs/>
                          <w:sz w:val="20"/>
                          <w:szCs w:val="20"/>
                          <w:lang w:val="en-GB"/>
                        </w:rPr>
                        <w:t>national transmission systems/C</w:t>
                      </w:r>
                      <w:r w:rsidRPr="00027875">
                        <w:rPr>
                          <w:rFonts w:ascii="Arial" w:hAnsi="Arial" w:cs="Arial"/>
                          <w:bCs/>
                          <w:sz w:val="20"/>
                          <w:szCs w:val="20"/>
                          <w:lang w:val="en-GB"/>
                        </w:rPr>
                        <w:t xml:space="preserve">ontrol </w:t>
                      </w:r>
                      <w:r>
                        <w:rPr>
                          <w:rFonts w:ascii="Arial" w:hAnsi="Arial" w:cs="Arial"/>
                          <w:bCs/>
                          <w:sz w:val="20"/>
                          <w:szCs w:val="20"/>
                          <w:lang w:val="en-GB"/>
                        </w:rPr>
                        <w:t>A</w:t>
                      </w:r>
                      <w:r w:rsidRPr="00027875">
                        <w:rPr>
                          <w:rFonts w:ascii="Arial" w:hAnsi="Arial" w:cs="Arial"/>
                          <w:bCs/>
                          <w:sz w:val="20"/>
                          <w:szCs w:val="20"/>
                          <w:lang w:val="en-GB"/>
                        </w:rPr>
                        <w:t xml:space="preserve">reas, and the means of communicating these data. </w:t>
                      </w:r>
                      <w:r>
                        <w:rPr>
                          <w:rFonts w:ascii="Arial" w:hAnsi="Arial" w:cs="Arial"/>
                          <w:bCs/>
                          <w:sz w:val="20"/>
                          <w:szCs w:val="20"/>
                          <w:lang w:val="en-GB"/>
                        </w:rPr>
                        <w:t>The m</w:t>
                      </w:r>
                      <w:r w:rsidRPr="00027875">
                        <w:rPr>
                          <w:rFonts w:ascii="Arial" w:hAnsi="Arial" w:cs="Arial"/>
                          <w:bCs/>
                          <w:sz w:val="20"/>
                          <w:szCs w:val="20"/>
                          <w:lang w:val="en-GB"/>
                        </w:rPr>
                        <w:t xml:space="preserve">inimum </w:t>
                      </w:r>
                      <w:r>
                        <w:rPr>
                          <w:rFonts w:ascii="Arial" w:hAnsi="Arial" w:cs="Arial"/>
                          <w:bCs/>
                          <w:sz w:val="20"/>
                          <w:szCs w:val="20"/>
                          <w:lang w:val="en-GB"/>
                        </w:rPr>
                        <w:t xml:space="preserve">operational </w:t>
                      </w:r>
                      <w:r w:rsidRPr="00027875">
                        <w:rPr>
                          <w:rFonts w:ascii="Arial" w:hAnsi="Arial" w:cs="Arial"/>
                          <w:bCs/>
                          <w:sz w:val="20"/>
                          <w:szCs w:val="20"/>
                          <w:lang w:val="en-GB"/>
                        </w:rPr>
                        <w:t xml:space="preserve">data </w:t>
                      </w:r>
                      <w:r>
                        <w:rPr>
                          <w:rFonts w:ascii="Arial" w:hAnsi="Arial" w:cs="Arial"/>
                          <w:bCs/>
                          <w:sz w:val="20"/>
                          <w:szCs w:val="20"/>
                          <w:lang w:val="en-GB"/>
                        </w:rPr>
                        <w:t>will</w:t>
                      </w:r>
                      <w:r w:rsidRPr="00027875">
                        <w:rPr>
                          <w:rFonts w:ascii="Arial" w:hAnsi="Arial" w:cs="Arial"/>
                          <w:bCs/>
                          <w:sz w:val="20"/>
                          <w:szCs w:val="20"/>
                          <w:lang w:val="en-GB"/>
                        </w:rPr>
                        <w:t xml:space="preserve"> define real</w:t>
                      </w:r>
                      <w:r>
                        <w:rPr>
                          <w:rFonts w:ascii="Arial" w:hAnsi="Arial" w:cs="Arial"/>
                          <w:bCs/>
                          <w:sz w:val="20"/>
                          <w:szCs w:val="20"/>
                          <w:lang w:val="en-GB"/>
                        </w:rPr>
                        <w:t>-</w:t>
                      </w:r>
                      <w:r w:rsidRPr="00027875">
                        <w:rPr>
                          <w:rFonts w:ascii="Arial" w:hAnsi="Arial" w:cs="Arial"/>
                          <w:bCs/>
                          <w:sz w:val="20"/>
                          <w:szCs w:val="20"/>
                          <w:lang w:val="en-GB"/>
                        </w:rPr>
                        <w:t>time a) synchronising data</w:t>
                      </w:r>
                      <w:r>
                        <w:rPr>
                          <w:rFonts w:ascii="Arial" w:hAnsi="Arial" w:cs="Arial"/>
                          <w:bCs/>
                          <w:sz w:val="20"/>
                          <w:szCs w:val="20"/>
                          <w:lang w:val="en-GB"/>
                        </w:rPr>
                        <w:t>,</w:t>
                      </w:r>
                      <w:r w:rsidRPr="00027875">
                        <w:rPr>
                          <w:rFonts w:ascii="Arial" w:hAnsi="Arial" w:cs="Arial"/>
                          <w:bCs/>
                          <w:sz w:val="20"/>
                          <w:szCs w:val="20"/>
                          <w:lang w:val="en-GB"/>
                        </w:rPr>
                        <w:t xml:space="preserve"> b) tie-line flow data</w:t>
                      </w:r>
                      <w:r>
                        <w:rPr>
                          <w:rFonts w:ascii="Arial" w:hAnsi="Arial" w:cs="Arial"/>
                          <w:bCs/>
                          <w:sz w:val="20"/>
                          <w:szCs w:val="20"/>
                          <w:lang w:val="en-GB"/>
                        </w:rPr>
                        <w:t>,</w:t>
                      </w:r>
                      <w:r w:rsidRPr="00027875">
                        <w:rPr>
                          <w:rFonts w:ascii="Arial" w:hAnsi="Arial" w:cs="Arial"/>
                          <w:bCs/>
                          <w:sz w:val="20"/>
                          <w:szCs w:val="20"/>
                          <w:lang w:val="en-GB"/>
                        </w:rPr>
                        <w:t xml:space="preserve"> c) voltage data</w:t>
                      </w:r>
                      <w:r>
                        <w:rPr>
                          <w:rFonts w:ascii="Arial" w:hAnsi="Arial" w:cs="Arial"/>
                          <w:bCs/>
                          <w:sz w:val="20"/>
                          <w:szCs w:val="20"/>
                          <w:lang w:val="en-GB"/>
                        </w:rPr>
                        <w:t>,</w:t>
                      </w:r>
                      <w:r w:rsidRPr="00027875">
                        <w:rPr>
                          <w:rFonts w:ascii="Arial" w:hAnsi="Arial" w:cs="Arial"/>
                          <w:bCs/>
                          <w:sz w:val="20"/>
                          <w:szCs w:val="20"/>
                          <w:lang w:val="en-GB"/>
                        </w:rPr>
                        <w:t xml:space="preserve"> and d) system status data. </w:t>
                      </w:r>
                    </w:p>
                    <w:p w14:paraId="0EF79165" w14:textId="023D2EA7" w:rsidR="005276A4" w:rsidRPr="00DB57A2"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 xml:space="preserve">More detailed, the following </w:t>
                      </w:r>
                      <w:r w:rsidRPr="00193C13">
                        <w:rPr>
                          <w:rFonts w:ascii="Arial" w:hAnsi="Arial" w:cs="Arial"/>
                          <w:bCs/>
                          <w:sz w:val="20"/>
                          <w:szCs w:val="20"/>
                          <w:lang w:val="en-GB"/>
                        </w:rPr>
                        <w:t>data</w:t>
                      </w:r>
                      <w:r>
                        <w:rPr>
                          <w:rFonts w:ascii="Arial" w:hAnsi="Arial" w:cs="Arial"/>
                          <w:bCs/>
                          <w:sz w:val="20"/>
                          <w:szCs w:val="20"/>
                          <w:lang w:val="en-GB"/>
                        </w:rPr>
                        <w:t xml:space="preserve"> </w:t>
                      </w:r>
                      <w:r w:rsidRPr="00193C13">
                        <w:rPr>
                          <w:rFonts w:ascii="Arial" w:hAnsi="Arial" w:cs="Arial"/>
                          <w:bCs/>
                          <w:sz w:val="20"/>
                          <w:szCs w:val="20"/>
                          <w:lang w:val="en-GB"/>
                        </w:rPr>
                        <w:t xml:space="preserve">on the system state of </w:t>
                      </w:r>
                      <w:r>
                        <w:rPr>
                          <w:rFonts w:ascii="Arial" w:hAnsi="Arial" w:cs="Arial"/>
                          <w:bCs/>
                          <w:sz w:val="20"/>
                          <w:szCs w:val="20"/>
                          <w:lang w:val="en-GB"/>
                        </w:rPr>
                        <w:t>the respective</w:t>
                      </w:r>
                      <w:r w:rsidRPr="00193C13">
                        <w:rPr>
                          <w:rFonts w:ascii="Arial" w:hAnsi="Arial" w:cs="Arial"/>
                          <w:bCs/>
                          <w:sz w:val="20"/>
                          <w:szCs w:val="20"/>
                          <w:lang w:val="en-GB"/>
                        </w:rPr>
                        <w:t xml:space="preserve"> transmission system</w:t>
                      </w:r>
                      <w:r>
                        <w:rPr>
                          <w:rFonts w:ascii="Arial" w:hAnsi="Arial" w:cs="Arial"/>
                          <w:bCs/>
                          <w:sz w:val="20"/>
                          <w:szCs w:val="20"/>
                          <w:lang w:val="en-GB"/>
                        </w:rPr>
                        <w:t>/Control Area will be exchanged</w:t>
                      </w:r>
                      <w:r w:rsidRPr="00193C13">
                        <w:rPr>
                          <w:rFonts w:ascii="Arial" w:hAnsi="Arial" w:cs="Arial"/>
                          <w:bCs/>
                          <w:sz w:val="20"/>
                          <w:szCs w:val="20"/>
                          <w:lang w:val="en-GB"/>
                        </w:rPr>
                        <w:t xml:space="preserve">: (a) frequency; (b) frequency restoration control error; (c) measured active power interchanges between </w:t>
                      </w:r>
                      <w:r>
                        <w:rPr>
                          <w:rFonts w:ascii="Arial" w:hAnsi="Arial" w:cs="Arial"/>
                          <w:bCs/>
                          <w:sz w:val="20"/>
                          <w:szCs w:val="20"/>
                          <w:lang w:val="en-GB"/>
                        </w:rPr>
                        <w:t>load-frequency control</w:t>
                      </w:r>
                      <w:r w:rsidRPr="00193C13">
                        <w:rPr>
                          <w:rFonts w:ascii="Arial" w:hAnsi="Arial" w:cs="Arial"/>
                          <w:bCs/>
                          <w:sz w:val="20"/>
                          <w:szCs w:val="20"/>
                          <w:lang w:val="en-GB"/>
                        </w:rPr>
                        <w:t xml:space="preserve"> areas; (d) aggregated generation infeed; (e) system state; (f) set</w:t>
                      </w:r>
                      <w:r>
                        <w:rPr>
                          <w:rFonts w:ascii="Arial" w:hAnsi="Arial" w:cs="Arial"/>
                          <w:bCs/>
                          <w:sz w:val="20"/>
                          <w:szCs w:val="20"/>
                          <w:lang w:val="en-GB"/>
                        </w:rPr>
                        <w:t>-</w:t>
                      </w:r>
                      <w:r w:rsidRPr="00193C13">
                        <w:rPr>
                          <w:rFonts w:ascii="Arial" w:hAnsi="Arial" w:cs="Arial"/>
                          <w:bCs/>
                          <w:sz w:val="20"/>
                          <w:szCs w:val="20"/>
                          <w:lang w:val="en-GB"/>
                        </w:rPr>
                        <w:t>point of the load-frequency controller; and (g) power interexchange via virtual tie-lines.</w:t>
                      </w:r>
                      <w:r>
                        <w:rPr>
                          <w:rFonts w:ascii="Arial" w:hAnsi="Arial" w:cs="Arial"/>
                          <w:bCs/>
                          <w:sz w:val="20"/>
                          <w:szCs w:val="20"/>
                          <w:lang w:val="en-GB"/>
                        </w:rPr>
                        <w:t xml:space="preserve"> The system operators will be allowed to exchange other data as deemed appropriate. </w:t>
                      </w:r>
                    </w:p>
                  </w:txbxContent>
                </v:textbox>
                <w10:anchorlock/>
              </v:shape>
            </w:pict>
          </mc:Fallback>
        </mc:AlternateContent>
      </w:r>
    </w:p>
    <w:p w14:paraId="4B37B318" w14:textId="06C8CDB2" w:rsidR="00744D32" w:rsidRPr="00316837" w:rsidRDefault="00744D32" w:rsidP="00744D32">
      <w:pPr>
        <w:pStyle w:val="Heading3"/>
        <w:rPr>
          <w:rFonts w:eastAsia="Calibri"/>
        </w:rPr>
      </w:pPr>
      <w:bookmarkStart w:id="193" w:name="_Toc77260322"/>
      <w:r w:rsidRPr="00316837">
        <w:rPr>
          <w:rFonts w:eastAsia="Calibri"/>
        </w:rPr>
        <w:t>Guidelines 5.3: Transmission Capacity Allocation</w:t>
      </w:r>
      <w:bookmarkEnd w:id="193"/>
      <w:r w:rsidRPr="00316837">
        <w:rPr>
          <w:rFonts w:eastAsia="Calibri"/>
        </w:rPr>
        <w:t xml:space="preserve"> </w:t>
      </w:r>
    </w:p>
    <w:p w14:paraId="317DBD92" w14:textId="4DF5F6FC" w:rsidR="00DA7528" w:rsidRPr="00316837" w:rsidRDefault="00DA7528" w:rsidP="00DA7528">
      <w:pPr>
        <w:rPr>
          <w:rFonts w:eastAsia="Calibri"/>
          <w:szCs w:val="22"/>
        </w:rPr>
      </w:pPr>
      <w:r w:rsidRPr="00316837">
        <w:rPr>
          <w:rFonts w:eastAsia="Calibri"/>
          <w:szCs w:val="22"/>
        </w:rPr>
        <w:t>T</w:t>
      </w:r>
      <w:r w:rsidR="00CE7FD9" w:rsidRPr="00316837">
        <w:rPr>
          <w:rFonts w:eastAsia="Calibri"/>
          <w:szCs w:val="22"/>
        </w:rPr>
        <w:t>he cross-</w:t>
      </w:r>
      <w:r w:rsidRPr="00316837">
        <w:rPr>
          <w:rFonts w:eastAsia="Calibri"/>
          <w:szCs w:val="22"/>
        </w:rPr>
        <w:t xml:space="preserve">border transmission capacity should be allocated in a step-wise approach following the introduction of products and services on the basis of harmonised </w:t>
      </w:r>
      <w:r w:rsidR="00C174C4" w:rsidRPr="00316837">
        <w:rPr>
          <w:rFonts w:eastAsia="Calibri"/>
          <w:szCs w:val="22"/>
        </w:rPr>
        <w:t>M</w:t>
      </w:r>
      <w:r w:rsidRPr="00316837">
        <w:rPr>
          <w:rFonts w:eastAsia="Calibri"/>
          <w:szCs w:val="22"/>
        </w:rPr>
        <w:t xml:space="preserve">arket </w:t>
      </w:r>
      <w:r w:rsidR="00C174C4" w:rsidRPr="00316837">
        <w:rPr>
          <w:rFonts w:eastAsia="Calibri"/>
          <w:szCs w:val="22"/>
        </w:rPr>
        <w:t>R</w:t>
      </w:r>
      <w:r w:rsidRPr="00316837">
        <w:rPr>
          <w:rFonts w:eastAsia="Calibri"/>
          <w:szCs w:val="22"/>
        </w:rPr>
        <w:t xml:space="preserve">ules and </w:t>
      </w:r>
      <w:r w:rsidR="00C174C4" w:rsidRPr="00316837">
        <w:rPr>
          <w:rFonts w:eastAsia="Calibri"/>
          <w:szCs w:val="22"/>
        </w:rPr>
        <w:t>Grid Codes</w:t>
      </w:r>
      <w:r w:rsidR="00CE7FD9" w:rsidRPr="00316837">
        <w:rPr>
          <w:rFonts w:eastAsia="Calibri"/>
          <w:szCs w:val="22"/>
        </w:rPr>
        <w:t>.</w:t>
      </w:r>
      <w:r w:rsidRPr="00316837">
        <w:rPr>
          <w:rFonts w:eastAsia="Calibri"/>
          <w:szCs w:val="22"/>
        </w:rPr>
        <w:t xml:space="preserve"> A methodology for allocation of cross-border transmission capacity should be harmonised</w:t>
      </w:r>
      <w:r w:rsidR="00FB3BFD" w:rsidRPr="00316837">
        <w:rPr>
          <w:rFonts w:eastAsia="Calibri"/>
          <w:szCs w:val="22"/>
        </w:rPr>
        <w:t xml:space="preserve">, preferably </w:t>
      </w:r>
      <w:r w:rsidRPr="00316837">
        <w:rPr>
          <w:rFonts w:eastAsia="Calibri"/>
          <w:szCs w:val="22"/>
        </w:rPr>
        <w:t>at the regional level (intra-Power Pool) a</w:t>
      </w:r>
      <w:r w:rsidR="00FB3BFD" w:rsidRPr="00316837">
        <w:rPr>
          <w:rFonts w:eastAsia="Calibri"/>
          <w:szCs w:val="22"/>
        </w:rPr>
        <w:t xml:space="preserve">nd eventually even </w:t>
      </w:r>
      <w:r w:rsidRPr="00316837">
        <w:rPr>
          <w:rFonts w:eastAsia="Calibri"/>
          <w:szCs w:val="22"/>
        </w:rPr>
        <w:t xml:space="preserve">at the continental level (inter-Power Pool). </w:t>
      </w:r>
      <w:r w:rsidR="00CE7FD9" w:rsidRPr="00316837">
        <w:rPr>
          <w:rFonts w:eastAsia="Calibri"/>
          <w:szCs w:val="22"/>
        </w:rPr>
        <w:t xml:space="preserve">This </w:t>
      </w:r>
      <w:r w:rsidR="00FB3BFD" w:rsidRPr="00316837">
        <w:rPr>
          <w:rFonts w:eastAsia="Calibri"/>
          <w:szCs w:val="22"/>
        </w:rPr>
        <w:t xml:space="preserve">underlying </w:t>
      </w:r>
      <w:r w:rsidR="00CE7FD9" w:rsidRPr="00316837">
        <w:rPr>
          <w:rFonts w:eastAsia="Calibri"/>
          <w:szCs w:val="22"/>
        </w:rPr>
        <w:t xml:space="preserve">methodology </w:t>
      </w:r>
      <w:r w:rsidRPr="00316837">
        <w:rPr>
          <w:rFonts w:eastAsia="Calibri"/>
          <w:szCs w:val="22"/>
        </w:rPr>
        <w:t xml:space="preserve">should be </w:t>
      </w:r>
      <w:r w:rsidR="00CE7FD9" w:rsidRPr="00316837">
        <w:rPr>
          <w:rFonts w:eastAsia="Calibri"/>
          <w:szCs w:val="22"/>
        </w:rPr>
        <w:t xml:space="preserve">developed as an evolutionary process involving all </w:t>
      </w:r>
      <w:r w:rsidR="00FB3BFD" w:rsidRPr="00316837">
        <w:rPr>
          <w:rFonts w:eastAsia="Calibri"/>
          <w:szCs w:val="22"/>
        </w:rPr>
        <w:t xml:space="preserve">system operators involved (the national TSOs, the Control Area Operators, and the RSMOs), </w:t>
      </w:r>
      <w:r w:rsidR="00CE7FD9" w:rsidRPr="00316837">
        <w:rPr>
          <w:rFonts w:eastAsia="Calibri"/>
          <w:szCs w:val="22"/>
        </w:rPr>
        <w:t>supported by international best practice</w:t>
      </w:r>
      <w:r w:rsidRPr="00316837">
        <w:rPr>
          <w:rFonts w:eastAsia="Calibri"/>
          <w:szCs w:val="22"/>
        </w:rPr>
        <w:t>. Although this methodology can be made common for two interconnected Power Pools on the</w:t>
      </w:r>
      <w:r w:rsidR="00FB3BFD" w:rsidRPr="00316837">
        <w:rPr>
          <w:rFonts w:eastAsia="Calibri"/>
          <w:szCs w:val="22"/>
        </w:rPr>
        <w:t>ir</w:t>
      </w:r>
      <w:r w:rsidRPr="00316837">
        <w:rPr>
          <w:rFonts w:eastAsia="Calibri"/>
          <w:szCs w:val="22"/>
        </w:rPr>
        <w:t xml:space="preserve"> interconnections, there is </w:t>
      </w:r>
      <w:r w:rsidR="00CE7FD9" w:rsidRPr="00316837">
        <w:rPr>
          <w:rFonts w:eastAsia="Calibri"/>
          <w:szCs w:val="22"/>
        </w:rPr>
        <w:t xml:space="preserve">the drawback </w:t>
      </w:r>
      <w:r w:rsidRPr="00316837">
        <w:rPr>
          <w:rFonts w:eastAsia="Calibri"/>
          <w:szCs w:val="22"/>
        </w:rPr>
        <w:t>as</w:t>
      </w:r>
      <w:r w:rsidR="00CE7FD9" w:rsidRPr="00316837">
        <w:rPr>
          <w:rFonts w:eastAsia="Calibri"/>
          <w:szCs w:val="22"/>
        </w:rPr>
        <w:t xml:space="preserve"> there will be an uneven playing field for </w:t>
      </w:r>
      <w:r w:rsidRPr="00316837">
        <w:rPr>
          <w:rFonts w:eastAsia="Calibri"/>
          <w:szCs w:val="22"/>
        </w:rPr>
        <w:t xml:space="preserve">electricity </w:t>
      </w:r>
      <w:r w:rsidR="00CE7FD9" w:rsidRPr="00316837">
        <w:rPr>
          <w:rFonts w:eastAsia="Calibri"/>
          <w:szCs w:val="22"/>
        </w:rPr>
        <w:t>trad</w:t>
      </w:r>
      <w:r w:rsidRPr="00316837">
        <w:rPr>
          <w:rFonts w:eastAsia="Calibri"/>
          <w:szCs w:val="22"/>
        </w:rPr>
        <w:t>e</w:t>
      </w:r>
      <w:r w:rsidR="00CE7FD9" w:rsidRPr="00316837">
        <w:rPr>
          <w:rFonts w:eastAsia="Calibri"/>
          <w:szCs w:val="22"/>
        </w:rPr>
        <w:t xml:space="preserve">. </w:t>
      </w:r>
    </w:p>
    <w:p w14:paraId="6D49000B" w14:textId="5AF7EF0B" w:rsidR="00E31D0E" w:rsidRPr="00316837" w:rsidRDefault="00C174C4" w:rsidP="00E31D0E">
      <w:pPr>
        <w:rPr>
          <w:rFonts w:eastAsia="Calibri"/>
          <w:szCs w:val="22"/>
        </w:rPr>
      </w:pPr>
      <w:r w:rsidRPr="00316837">
        <w:rPr>
          <w:rFonts w:eastAsia="Calibri"/>
          <w:szCs w:val="22"/>
        </w:rPr>
        <w:t xml:space="preserve">Multiple options are available for consideration including explicit ranking, auctions, coupling algorithms, etc. </w:t>
      </w:r>
      <w:r w:rsidR="00FB3BFD" w:rsidRPr="00316837">
        <w:rPr>
          <w:rFonts w:eastAsia="Calibri"/>
          <w:szCs w:val="22"/>
        </w:rPr>
        <w:t>P</w:t>
      </w:r>
      <w:r w:rsidR="00E31D0E" w:rsidRPr="00316837">
        <w:rPr>
          <w:rFonts w:eastAsia="Calibri"/>
          <w:szCs w:val="22"/>
        </w:rPr>
        <w:t xml:space="preserve">riority rules </w:t>
      </w:r>
      <w:r w:rsidRPr="00316837">
        <w:rPr>
          <w:rFonts w:eastAsia="Calibri"/>
          <w:szCs w:val="22"/>
        </w:rPr>
        <w:t>c</w:t>
      </w:r>
      <w:r w:rsidR="00DA7528" w:rsidRPr="00316837">
        <w:rPr>
          <w:rFonts w:eastAsia="Calibri"/>
          <w:szCs w:val="22"/>
        </w:rPr>
        <w:t xml:space="preserve">ould </w:t>
      </w:r>
      <w:r w:rsidR="00E31D0E" w:rsidRPr="00316837">
        <w:rPr>
          <w:rFonts w:eastAsia="Calibri"/>
          <w:szCs w:val="22"/>
        </w:rPr>
        <w:t xml:space="preserve">serve as guidance to allocate the </w:t>
      </w:r>
      <w:r w:rsidR="00DA7528" w:rsidRPr="00316837">
        <w:rPr>
          <w:rFonts w:eastAsia="Calibri"/>
          <w:szCs w:val="22"/>
        </w:rPr>
        <w:t xml:space="preserve">cross-border transmission </w:t>
      </w:r>
      <w:r w:rsidR="00E31D0E" w:rsidRPr="00316837">
        <w:rPr>
          <w:rFonts w:eastAsia="Calibri"/>
          <w:szCs w:val="22"/>
        </w:rPr>
        <w:t>capacity</w:t>
      </w:r>
      <w:r w:rsidR="00DA7528" w:rsidRPr="00316837">
        <w:rPr>
          <w:rFonts w:eastAsia="Calibri"/>
          <w:szCs w:val="22"/>
        </w:rPr>
        <w:t xml:space="preserve"> in the beginning</w:t>
      </w:r>
      <w:r w:rsidR="00E31D0E" w:rsidRPr="00316837">
        <w:rPr>
          <w:rFonts w:eastAsia="Calibri"/>
          <w:szCs w:val="22"/>
        </w:rPr>
        <w:t xml:space="preserve">. </w:t>
      </w:r>
      <w:r w:rsidR="00DA7528" w:rsidRPr="00316837">
        <w:rPr>
          <w:rFonts w:eastAsia="Calibri"/>
          <w:szCs w:val="22"/>
        </w:rPr>
        <w:t xml:space="preserve">At a later stage, </w:t>
      </w:r>
      <w:r w:rsidR="00FB3BFD" w:rsidRPr="00316837">
        <w:rPr>
          <w:rFonts w:eastAsia="Calibri"/>
          <w:szCs w:val="22"/>
        </w:rPr>
        <w:t xml:space="preserve">as the market evolves, </w:t>
      </w:r>
      <w:r w:rsidR="00DA7528" w:rsidRPr="00316837">
        <w:rPr>
          <w:rFonts w:eastAsia="Calibri"/>
          <w:szCs w:val="22"/>
        </w:rPr>
        <w:t>m</w:t>
      </w:r>
      <w:r w:rsidR="00E31D0E" w:rsidRPr="00316837">
        <w:rPr>
          <w:rFonts w:eastAsia="Calibri"/>
          <w:szCs w:val="22"/>
        </w:rPr>
        <w:t>arket</w:t>
      </w:r>
      <w:r w:rsidR="00DA7528" w:rsidRPr="00316837">
        <w:rPr>
          <w:rFonts w:eastAsia="Calibri"/>
          <w:szCs w:val="22"/>
        </w:rPr>
        <w:t>-</w:t>
      </w:r>
      <w:r w:rsidR="00E31D0E" w:rsidRPr="00316837">
        <w:rPr>
          <w:rFonts w:eastAsia="Calibri"/>
          <w:szCs w:val="22"/>
        </w:rPr>
        <w:t>based</w:t>
      </w:r>
      <w:r w:rsidR="00DA7528" w:rsidRPr="00316837">
        <w:rPr>
          <w:rFonts w:eastAsia="Calibri"/>
          <w:szCs w:val="22"/>
        </w:rPr>
        <w:t xml:space="preserve"> </w:t>
      </w:r>
      <w:r w:rsidR="00FB3BFD" w:rsidRPr="00316837">
        <w:rPr>
          <w:rFonts w:eastAsia="Calibri"/>
          <w:szCs w:val="22"/>
        </w:rPr>
        <w:t xml:space="preserve">capacity </w:t>
      </w:r>
      <w:r w:rsidR="00E31D0E" w:rsidRPr="00316837">
        <w:rPr>
          <w:rFonts w:eastAsia="Calibri"/>
          <w:szCs w:val="22"/>
        </w:rPr>
        <w:t xml:space="preserve">allocation </w:t>
      </w:r>
      <w:r w:rsidR="00DA7528" w:rsidRPr="00316837">
        <w:rPr>
          <w:rFonts w:eastAsia="Calibri"/>
          <w:szCs w:val="22"/>
        </w:rPr>
        <w:t>should</w:t>
      </w:r>
      <w:r w:rsidR="00E31D0E" w:rsidRPr="00316837">
        <w:rPr>
          <w:rFonts w:eastAsia="Calibri"/>
          <w:szCs w:val="22"/>
        </w:rPr>
        <w:t xml:space="preserve"> be developed to allow more flexibility. The issues of intra</w:t>
      </w:r>
      <w:r w:rsidR="00DA7528" w:rsidRPr="00316837">
        <w:rPr>
          <w:rFonts w:eastAsia="Calibri"/>
          <w:szCs w:val="22"/>
        </w:rPr>
        <w:t>-</w:t>
      </w:r>
      <w:r w:rsidR="00E31D0E" w:rsidRPr="00316837">
        <w:rPr>
          <w:rFonts w:eastAsia="Calibri"/>
          <w:szCs w:val="22"/>
        </w:rPr>
        <w:t>country</w:t>
      </w:r>
      <w:r w:rsidR="00DA7528" w:rsidRPr="00316837">
        <w:rPr>
          <w:rFonts w:eastAsia="Calibri"/>
          <w:szCs w:val="22"/>
        </w:rPr>
        <w:t xml:space="preserve"> </w:t>
      </w:r>
      <w:r w:rsidR="00E31D0E" w:rsidRPr="00316837">
        <w:rPr>
          <w:rFonts w:eastAsia="Calibri"/>
          <w:szCs w:val="22"/>
        </w:rPr>
        <w:t xml:space="preserve">constraints </w:t>
      </w:r>
      <w:r w:rsidR="00DA7528" w:rsidRPr="00316837">
        <w:rPr>
          <w:rFonts w:eastAsia="Calibri"/>
          <w:szCs w:val="22"/>
        </w:rPr>
        <w:t xml:space="preserve">(in internal national transmission networks) </w:t>
      </w:r>
      <w:r w:rsidR="00E31D0E" w:rsidRPr="00316837">
        <w:rPr>
          <w:rFonts w:eastAsia="Calibri"/>
          <w:szCs w:val="22"/>
        </w:rPr>
        <w:t>should also be addressed through the market</w:t>
      </w:r>
      <w:r w:rsidR="00DA7528" w:rsidRPr="00316837">
        <w:rPr>
          <w:rFonts w:eastAsia="Calibri"/>
          <w:szCs w:val="22"/>
        </w:rPr>
        <w:t>-based</w:t>
      </w:r>
      <w:r w:rsidR="00E31D0E" w:rsidRPr="00316837">
        <w:rPr>
          <w:rFonts w:eastAsia="Calibri"/>
          <w:szCs w:val="22"/>
        </w:rPr>
        <w:t xml:space="preserve"> </w:t>
      </w:r>
      <w:r w:rsidR="00FB3BFD" w:rsidRPr="00316837">
        <w:rPr>
          <w:rFonts w:eastAsia="Calibri"/>
          <w:szCs w:val="22"/>
        </w:rPr>
        <w:t xml:space="preserve">capacity </w:t>
      </w:r>
      <w:r w:rsidR="00DA7528" w:rsidRPr="00316837">
        <w:rPr>
          <w:rFonts w:eastAsia="Calibri"/>
          <w:szCs w:val="22"/>
        </w:rPr>
        <w:t>allocation</w:t>
      </w:r>
      <w:r w:rsidR="00E31D0E" w:rsidRPr="00316837">
        <w:rPr>
          <w:rFonts w:eastAsia="Calibri"/>
          <w:szCs w:val="22"/>
        </w:rPr>
        <w:t xml:space="preserve">. </w:t>
      </w:r>
      <w:r w:rsidR="00DA7528" w:rsidRPr="00316837">
        <w:rPr>
          <w:rFonts w:eastAsia="Calibri"/>
          <w:szCs w:val="22"/>
        </w:rPr>
        <w:t>Depending on the market model, t</w:t>
      </w:r>
      <w:r w:rsidR="00E31D0E" w:rsidRPr="00316837">
        <w:rPr>
          <w:rFonts w:eastAsia="Calibri"/>
          <w:szCs w:val="22"/>
        </w:rPr>
        <w:t xml:space="preserve">he </w:t>
      </w:r>
      <w:r w:rsidR="00DA7528" w:rsidRPr="00316837">
        <w:rPr>
          <w:rFonts w:eastAsia="Calibri"/>
          <w:szCs w:val="22"/>
        </w:rPr>
        <w:t xml:space="preserve">cross-border transmission </w:t>
      </w:r>
      <w:r w:rsidR="00E31D0E" w:rsidRPr="00316837">
        <w:rPr>
          <w:rFonts w:eastAsia="Calibri"/>
          <w:szCs w:val="22"/>
        </w:rPr>
        <w:t>capacity for</w:t>
      </w:r>
      <w:r w:rsidR="00DA7528" w:rsidRPr="00316837">
        <w:rPr>
          <w:rFonts w:eastAsia="Calibri"/>
          <w:szCs w:val="22"/>
        </w:rPr>
        <w:t xml:space="preserve"> </w:t>
      </w:r>
      <w:r w:rsidR="00E31D0E" w:rsidRPr="00316837">
        <w:rPr>
          <w:rFonts w:eastAsia="Calibri"/>
          <w:szCs w:val="22"/>
        </w:rPr>
        <w:t xml:space="preserve">bilateral trades </w:t>
      </w:r>
      <w:r w:rsidR="00DA7528" w:rsidRPr="00316837">
        <w:rPr>
          <w:rFonts w:eastAsia="Calibri"/>
          <w:szCs w:val="22"/>
        </w:rPr>
        <w:t xml:space="preserve">could be restricted </w:t>
      </w:r>
      <w:r w:rsidR="00E31D0E" w:rsidRPr="00316837">
        <w:rPr>
          <w:rFonts w:eastAsia="Calibri"/>
          <w:szCs w:val="22"/>
        </w:rPr>
        <w:t xml:space="preserve">in favour of market-based </w:t>
      </w:r>
      <w:r w:rsidR="00FB3BFD" w:rsidRPr="00316837">
        <w:rPr>
          <w:rFonts w:eastAsia="Calibri"/>
          <w:szCs w:val="22"/>
        </w:rPr>
        <w:t xml:space="preserve">capacity </w:t>
      </w:r>
      <w:r w:rsidR="00DA7528" w:rsidRPr="00316837">
        <w:rPr>
          <w:rFonts w:eastAsia="Calibri"/>
          <w:szCs w:val="22"/>
        </w:rPr>
        <w:t>allocation</w:t>
      </w:r>
      <w:r w:rsidR="00E31D0E" w:rsidRPr="00316837">
        <w:rPr>
          <w:rFonts w:eastAsia="Calibri"/>
          <w:szCs w:val="22"/>
        </w:rPr>
        <w:t>.</w:t>
      </w:r>
      <w:r w:rsidR="00DA7528" w:rsidRPr="00316837">
        <w:rPr>
          <w:rFonts w:eastAsia="Calibri"/>
          <w:szCs w:val="22"/>
        </w:rPr>
        <w:t xml:space="preserve"> </w:t>
      </w:r>
      <w:r w:rsidRPr="00316837">
        <w:rPr>
          <w:rFonts w:eastAsia="Calibri"/>
          <w:szCs w:val="22"/>
        </w:rPr>
        <w:t xml:space="preserve">Direction should be provided by market participants. </w:t>
      </w:r>
      <w:r w:rsidR="00DA7528" w:rsidRPr="00316837">
        <w:rPr>
          <w:rFonts w:eastAsia="Calibri"/>
          <w:szCs w:val="22"/>
        </w:rPr>
        <w:t>The c</w:t>
      </w:r>
      <w:r w:rsidR="00E31D0E" w:rsidRPr="00316837">
        <w:rPr>
          <w:rFonts w:eastAsia="Calibri"/>
          <w:szCs w:val="22"/>
        </w:rPr>
        <w:t xml:space="preserve">harging methodologies </w:t>
      </w:r>
      <w:r w:rsidR="00DA7528" w:rsidRPr="00316837">
        <w:rPr>
          <w:rFonts w:eastAsia="Calibri"/>
          <w:szCs w:val="22"/>
        </w:rPr>
        <w:t xml:space="preserve">should </w:t>
      </w:r>
      <w:r w:rsidR="00E31D0E" w:rsidRPr="00316837">
        <w:rPr>
          <w:rFonts w:eastAsia="Calibri"/>
          <w:szCs w:val="22"/>
        </w:rPr>
        <w:t>yield full cost recovery</w:t>
      </w:r>
      <w:r w:rsidR="00DA7528" w:rsidRPr="00316837">
        <w:rPr>
          <w:rFonts w:eastAsia="Calibri"/>
          <w:szCs w:val="22"/>
        </w:rPr>
        <w:t>. T</w:t>
      </w:r>
      <w:r w:rsidR="00E31D0E" w:rsidRPr="00316837">
        <w:rPr>
          <w:rFonts w:eastAsia="Calibri"/>
          <w:szCs w:val="22"/>
        </w:rPr>
        <w:t xml:space="preserve">he capacity of the assets </w:t>
      </w:r>
      <w:r w:rsidR="00DA7528" w:rsidRPr="00316837">
        <w:rPr>
          <w:rFonts w:eastAsia="Calibri"/>
          <w:szCs w:val="22"/>
        </w:rPr>
        <w:t>should be</w:t>
      </w:r>
      <w:r w:rsidR="00E31D0E" w:rsidRPr="00316837">
        <w:rPr>
          <w:rFonts w:eastAsia="Calibri"/>
          <w:szCs w:val="22"/>
        </w:rPr>
        <w:t xml:space="preserve"> charged per </w:t>
      </w:r>
      <w:r w:rsidR="00DA7528" w:rsidRPr="00316837">
        <w:rPr>
          <w:rFonts w:eastAsia="Calibri"/>
          <w:szCs w:val="22"/>
        </w:rPr>
        <w:t xml:space="preserve">adequate time </w:t>
      </w:r>
      <w:r w:rsidRPr="00316837">
        <w:rPr>
          <w:rFonts w:eastAsia="Calibri"/>
          <w:szCs w:val="22"/>
        </w:rPr>
        <w:t>period, with annual, quarterly, monthly, weekly, or daily and hourly options available. S</w:t>
      </w:r>
      <w:r w:rsidR="00E31D0E" w:rsidRPr="00316837">
        <w:rPr>
          <w:rFonts w:eastAsia="Calibri"/>
          <w:szCs w:val="22"/>
        </w:rPr>
        <w:t xml:space="preserve">pare capacity </w:t>
      </w:r>
      <w:r w:rsidR="00DA7528" w:rsidRPr="00316837">
        <w:rPr>
          <w:rFonts w:eastAsia="Calibri"/>
          <w:szCs w:val="22"/>
        </w:rPr>
        <w:t xml:space="preserve">should be </w:t>
      </w:r>
      <w:r w:rsidR="00E31D0E" w:rsidRPr="00316837">
        <w:rPr>
          <w:rFonts w:eastAsia="Calibri"/>
          <w:szCs w:val="22"/>
        </w:rPr>
        <w:t>socialised.</w:t>
      </w:r>
      <w:r w:rsidR="00DA7528" w:rsidRPr="00316837">
        <w:rPr>
          <w:rFonts w:eastAsia="Calibri"/>
          <w:szCs w:val="22"/>
        </w:rPr>
        <w:t xml:space="preserve"> </w:t>
      </w:r>
    </w:p>
    <w:p w14:paraId="51A44B31" w14:textId="09F6A723" w:rsidR="00E31D0E" w:rsidRPr="00316837" w:rsidRDefault="00E31D0E" w:rsidP="00E31D0E">
      <w:pPr>
        <w:rPr>
          <w:rFonts w:eastAsia="Calibri"/>
          <w:szCs w:val="22"/>
        </w:rPr>
      </w:pPr>
      <w:r w:rsidRPr="00316837">
        <w:rPr>
          <w:rFonts w:eastAsia="Calibri"/>
          <w:szCs w:val="22"/>
        </w:rPr>
        <w:lastRenderedPageBreak/>
        <w:t>Th</w:t>
      </w:r>
      <w:r w:rsidR="00C174C4" w:rsidRPr="00316837">
        <w:rPr>
          <w:rFonts w:eastAsia="Calibri"/>
          <w:szCs w:val="22"/>
        </w:rPr>
        <w:t xml:space="preserve">is </w:t>
      </w:r>
      <w:r w:rsidR="00FB3BFD" w:rsidRPr="00316837">
        <w:rPr>
          <w:rFonts w:eastAsia="Calibri"/>
          <w:szCs w:val="22"/>
        </w:rPr>
        <w:t xml:space="preserve">underlying </w:t>
      </w:r>
      <w:r w:rsidR="00C174C4" w:rsidRPr="00316837">
        <w:rPr>
          <w:rFonts w:eastAsia="Calibri"/>
          <w:szCs w:val="22"/>
        </w:rPr>
        <w:t xml:space="preserve">methodology should </w:t>
      </w:r>
      <w:r w:rsidRPr="00316837">
        <w:rPr>
          <w:rFonts w:eastAsia="Calibri"/>
          <w:szCs w:val="22"/>
        </w:rPr>
        <w:t>be incorporated in the Market</w:t>
      </w:r>
      <w:r w:rsidR="00DA7528" w:rsidRPr="00316837">
        <w:rPr>
          <w:rFonts w:eastAsia="Calibri"/>
          <w:szCs w:val="22"/>
        </w:rPr>
        <w:t xml:space="preserve"> </w:t>
      </w:r>
      <w:r w:rsidRPr="00316837">
        <w:rPr>
          <w:rFonts w:eastAsia="Calibri"/>
          <w:szCs w:val="22"/>
        </w:rPr>
        <w:t xml:space="preserve">Rules </w:t>
      </w:r>
      <w:r w:rsidR="00C174C4" w:rsidRPr="00316837">
        <w:rPr>
          <w:rFonts w:eastAsia="Calibri"/>
          <w:szCs w:val="22"/>
        </w:rPr>
        <w:t>and reflected in the Grid Code.</w:t>
      </w:r>
      <w:r w:rsidRPr="00316837">
        <w:rPr>
          <w:rFonts w:eastAsia="Calibri"/>
          <w:szCs w:val="22"/>
        </w:rPr>
        <w:t xml:space="preserve"> </w:t>
      </w:r>
      <w:r w:rsidR="00C174C4" w:rsidRPr="00316837">
        <w:rPr>
          <w:rFonts w:eastAsia="Calibri"/>
          <w:szCs w:val="22"/>
        </w:rPr>
        <w:t>T</w:t>
      </w:r>
      <w:r w:rsidRPr="00316837">
        <w:rPr>
          <w:rFonts w:eastAsia="Calibri"/>
          <w:szCs w:val="22"/>
        </w:rPr>
        <w:t>h</w:t>
      </w:r>
      <w:r w:rsidR="00C174C4" w:rsidRPr="00316837">
        <w:rPr>
          <w:rFonts w:eastAsia="Calibri"/>
          <w:szCs w:val="22"/>
        </w:rPr>
        <w:t>is</w:t>
      </w:r>
      <w:r w:rsidRPr="00316837">
        <w:rPr>
          <w:rFonts w:eastAsia="Calibri"/>
          <w:szCs w:val="22"/>
        </w:rPr>
        <w:t xml:space="preserve"> intent </w:t>
      </w:r>
      <w:r w:rsidR="00C174C4" w:rsidRPr="00316837">
        <w:rPr>
          <w:rFonts w:eastAsia="Calibri"/>
          <w:szCs w:val="22"/>
        </w:rPr>
        <w:t xml:space="preserve">should be established </w:t>
      </w:r>
      <w:r w:rsidRPr="00316837">
        <w:rPr>
          <w:rFonts w:eastAsia="Calibri"/>
          <w:szCs w:val="22"/>
        </w:rPr>
        <w:t>with</w:t>
      </w:r>
      <w:r w:rsidR="00DA7528" w:rsidRPr="00316837">
        <w:rPr>
          <w:rFonts w:eastAsia="Calibri"/>
          <w:szCs w:val="22"/>
        </w:rPr>
        <w:t xml:space="preserve"> </w:t>
      </w:r>
      <w:r w:rsidRPr="00316837">
        <w:rPr>
          <w:rFonts w:eastAsia="Calibri"/>
          <w:szCs w:val="22"/>
        </w:rPr>
        <w:t xml:space="preserve">regard to full cost recovery, cost allocation, </w:t>
      </w:r>
      <w:r w:rsidR="00C174C4" w:rsidRPr="00316837">
        <w:rPr>
          <w:rFonts w:eastAsia="Calibri"/>
          <w:szCs w:val="22"/>
        </w:rPr>
        <w:t xml:space="preserve">and various </w:t>
      </w:r>
      <w:r w:rsidRPr="00316837">
        <w:rPr>
          <w:rFonts w:eastAsia="Calibri"/>
          <w:szCs w:val="22"/>
        </w:rPr>
        <w:t>regulatory principles</w:t>
      </w:r>
      <w:r w:rsidR="00C174C4" w:rsidRPr="00316837">
        <w:rPr>
          <w:rFonts w:eastAsia="Calibri"/>
          <w:szCs w:val="22"/>
        </w:rPr>
        <w:t xml:space="preserve"> (for example</w:t>
      </w:r>
      <w:r w:rsidRPr="00316837">
        <w:rPr>
          <w:rFonts w:eastAsia="Calibri"/>
          <w:szCs w:val="22"/>
        </w:rPr>
        <w:t xml:space="preserve">, </w:t>
      </w:r>
      <w:r w:rsidR="00C174C4" w:rsidRPr="00316837">
        <w:rPr>
          <w:rFonts w:eastAsia="Calibri"/>
          <w:szCs w:val="22"/>
        </w:rPr>
        <w:t>the</w:t>
      </w:r>
      <w:r w:rsidRPr="00316837">
        <w:rPr>
          <w:rFonts w:eastAsia="Calibri"/>
          <w:szCs w:val="22"/>
        </w:rPr>
        <w:t xml:space="preserve"> principle of service providers getting</w:t>
      </w:r>
      <w:r w:rsidR="00DA7528" w:rsidRPr="00316837">
        <w:rPr>
          <w:rFonts w:eastAsia="Calibri"/>
          <w:szCs w:val="22"/>
        </w:rPr>
        <w:t xml:space="preserve"> </w:t>
      </w:r>
      <w:r w:rsidRPr="00316837">
        <w:rPr>
          <w:rFonts w:eastAsia="Calibri"/>
          <w:szCs w:val="22"/>
        </w:rPr>
        <w:t>paid before sellers are paid from market mechanism</w:t>
      </w:r>
      <w:r w:rsidR="00C174C4" w:rsidRPr="00316837">
        <w:rPr>
          <w:rFonts w:eastAsia="Calibri"/>
          <w:szCs w:val="22"/>
        </w:rPr>
        <w:t>)</w:t>
      </w:r>
      <w:r w:rsidRPr="00316837">
        <w:rPr>
          <w:rFonts w:eastAsia="Calibri"/>
          <w:szCs w:val="22"/>
        </w:rPr>
        <w:t>.</w:t>
      </w:r>
      <w:r w:rsidR="00C174C4" w:rsidRPr="00316837">
        <w:rPr>
          <w:rFonts w:eastAsia="Calibri"/>
          <w:szCs w:val="22"/>
        </w:rPr>
        <w:t xml:space="preserve"> </w:t>
      </w:r>
    </w:p>
    <w:p w14:paraId="2EF9E89E" w14:textId="63A68A27" w:rsidR="00FB3BFD" w:rsidRPr="00316837" w:rsidRDefault="00E31D0E" w:rsidP="00FB3BFD">
      <w:pPr>
        <w:rPr>
          <w:rFonts w:eastAsia="Calibri"/>
          <w:szCs w:val="22"/>
        </w:rPr>
      </w:pPr>
      <w:r w:rsidRPr="00316837">
        <w:rPr>
          <w:rFonts w:eastAsia="Calibri"/>
          <w:szCs w:val="22"/>
        </w:rPr>
        <w:t xml:space="preserve">A governance mechanism </w:t>
      </w:r>
      <w:r w:rsidR="00FB3BFD" w:rsidRPr="00316837">
        <w:rPr>
          <w:rFonts w:eastAsia="Calibri"/>
          <w:szCs w:val="22"/>
        </w:rPr>
        <w:t xml:space="preserve">for congestion management </w:t>
      </w:r>
      <w:r w:rsidR="00C174C4" w:rsidRPr="00316837">
        <w:rPr>
          <w:rFonts w:eastAsia="Calibri"/>
          <w:szCs w:val="22"/>
        </w:rPr>
        <w:t xml:space="preserve">should be introduced </w:t>
      </w:r>
      <w:r w:rsidRPr="00316837">
        <w:rPr>
          <w:rFonts w:eastAsia="Calibri"/>
          <w:szCs w:val="22"/>
        </w:rPr>
        <w:t xml:space="preserve">to intervene </w:t>
      </w:r>
      <w:r w:rsidR="00FB3BFD" w:rsidRPr="00316837">
        <w:rPr>
          <w:rFonts w:eastAsia="Calibri"/>
          <w:szCs w:val="22"/>
        </w:rPr>
        <w:t>in the cases of network congestion</w:t>
      </w:r>
      <w:r w:rsidRPr="00316837">
        <w:rPr>
          <w:rFonts w:eastAsia="Calibri"/>
          <w:szCs w:val="22"/>
        </w:rPr>
        <w:t>.</w:t>
      </w:r>
      <w:r w:rsidR="00C174C4" w:rsidRPr="00316837">
        <w:rPr>
          <w:rFonts w:eastAsia="Calibri"/>
          <w:szCs w:val="22"/>
        </w:rPr>
        <w:t xml:space="preserve"> </w:t>
      </w:r>
      <w:r w:rsidR="00FB3BFD" w:rsidRPr="00316837">
        <w:rPr>
          <w:rFonts w:eastAsia="Calibri"/>
          <w:szCs w:val="22"/>
        </w:rPr>
        <w:t xml:space="preserve">General principles of congestion management should be the following: </w:t>
      </w:r>
    </w:p>
    <w:p w14:paraId="445DD455" w14:textId="2A5D3245" w:rsidR="00FB3BFD" w:rsidRPr="00316837" w:rsidRDefault="00FB3BFD" w:rsidP="00E92788">
      <w:pPr>
        <w:pStyle w:val="ListParagraph"/>
        <w:numPr>
          <w:ilvl w:val="0"/>
          <w:numId w:val="8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Network congestion problems should be addressed with non-discriminatory market-based solutions which give efficient economic signals to all market participants and system operators involved. Network congestion problems should preferentially be solved with non-transaction based methods, i.e. methods that do not involve a selection between the contracts of individual market participants; </w:t>
      </w:r>
    </w:p>
    <w:p w14:paraId="5EA7A009" w14:textId="6CF15B72" w:rsidR="00FB3BFD" w:rsidRPr="00316837" w:rsidRDefault="00FB3BFD" w:rsidP="00E92788">
      <w:pPr>
        <w:pStyle w:val="ListParagraph"/>
        <w:numPr>
          <w:ilvl w:val="0"/>
          <w:numId w:val="8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Transaction curtailment procedures should only be used in emergency situations where system operators involved must act in an expeditious manner and re-dispatching or countertrading is not possible. Any such procedure should be applied in a non-discriminatory manner. Except in cases of force majeure, market participants who have been allocated cross-border transmission capacity should be compensated for any curtailment; </w:t>
      </w:r>
    </w:p>
    <w:p w14:paraId="5FB36D55" w14:textId="2E693DDD" w:rsidR="00FB3BFD" w:rsidRPr="00316837" w:rsidRDefault="00FB3BFD" w:rsidP="00E92788">
      <w:pPr>
        <w:pStyle w:val="ListParagraph"/>
        <w:numPr>
          <w:ilvl w:val="0"/>
          <w:numId w:val="8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maximum capacity of the interconnections and/or the transmission networks affecting cross-border power flows should be made available to market participants, complying with safety standards of secure network operation; </w:t>
      </w:r>
    </w:p>
    <w:p w14:paraId="01763D95" w14:textId="3015F473" w:rsidR="00FB3BFD" w:rsidRPr="00316837" w:rsidRDefault="00FB3BFD" w:rsidP="00E92788">
      <w:pPr>
        <w:pStyle w:val="ListParagraph"/>
        <w:numPr>
          <w:ilvl w:val="0"/>
          <w:numId w:val="8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Market participants should inform system operators involved a reasonable time in advance of the relevant operational period whether they intend to use the allocated cross-border transmission capacity. Any allocated capacity that will not be used should be reattributed to the market, in an open, transparent and non-discriminatory manner; and </w:t>
      </w:r>
    </w:p>
    <w:p w14:paraId="67205C14" w14:textId="5A75B627" w:rsidR="00E31D0E" w:rsidRPr="00316837" w:rsidRDefault="00FB3BFD" w:rsidP="00E92788">
      <w:pPr>
        <w:pStyle w:val="ListParagraph"/>
        <w:numPr>
          <w:ilvl w:val="0"/>
          <w:numId w:val="84"/>
        </w:numPr>
        <w:spacing w:before="160" w:after="0" w:line="288" w:lineRule="auto"/>
        <w:rPr>
          <w:rFonts w:ascii="Arial" w:hAnsi="Arial" w:cs="Arial"/>
          <w:sz w:val="20"/>
          <w:szCs w:val="20"/>
          <w:lang w:val="en-GB"/>
        </w:rPr>
      </w:pPr>
      <w:r w:rsidRPr="00316837">
        <w:rPr>
          <w:rFonts w:ascii="Arial" w:hAnsi="Arial" w:cs="Arial"/>
          <w:sz w:val="20"/>
          <w:szCs w:val="20"/>
          <w:lang w:val="en-GB"/>
        </w:rPr>
        <w:t>System operators involved should, as far as technically possible, net the capacity requirements of any power flows in opposite direction over the congested interconnection in order to use it to its maximum capacity. Having full regard to network security, transactions that relieve the congestion should never be denied.</w:t>
      </w:r>
      <w:r w:rsidR="001D4932" w:rsidRPr="00316837">
        <w:rPr>
          <w:rFonts w:ascii="Arial" w:hAnsi="Arial" w:cs="Arial"/>
          <w:sz w:val="20"/>
          <w:szCs w:val="20"/>
          <w:lang w:val="en-GB"/>
        </w:rPr>
        <w:t xml:space="preserve"> </w:t>
      </w:r>
    </w:p>
    <w:p w14:paraId="347EB609" w14:textId="56DBBD3B" w:rsidR="00197BF9" w:rsidRPr="00316837" w:rsidRDefault="00197BF9" w:rsidP="00E31D0E">
      <w:pPr>
        <w:rPr>
          <w:rFonts w:eastAsia="Calibri"/>
          <w:szCs w:val="22"/>
        </w:rPr>
      </w:pPr>
      <w:r w:rsidRPr="00316837">
        <w:rPr>
          <w:rFonts w:eastAsia="Calibri"/>
          <w:szCs w:val="22"/>
        </w:rPr>
        <w:t xml:space="preserve">In line with the above, the following actions will be undertaken to develop the cross-border transmission capacity allocation methodology: </w:t>
      </w:r>
    </w:p>
    <w:p w14:paraId="19BC3B80" w14:textId="683D47C5" w:rsidR="00197BF9" w:rsidRPr="00316837" w:rsidRDefault="00197BF9" w:rsidP="00E92788">
      <w:pPr>
        <w:pStyle w:val="ListParagraph"/>
        <w:numPr>
          <w:ilvl w:val="0"/>
          <w:numId w:val="8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Develop rules, with assistance of the relevant studies, for the cross-border transmission capacity allocation, with consideration of the impact this will have on all market participants and the evolution of the electricity market; </w:t>
      </w:r>
    </w:p>
    <w:p w14:paraId="65434D4D" w14:textId="3833D164" w:rsidR="00197BF9" w:rsidRPr="00316837" w:rsidRDefault="00197BF9" w:rsidP="00E92788">
      <w:pPr>
        <w:pStyle w:val="ListParagraph"/>
        <w:numPr>
          <w:ilvl w:val="0"/>
          <w:numId w:val="8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Develop rules for cost allocation and cost recovery by capacity (network) service providers; </w:t>
      </w:r>
    </w:p>
    <w:p w14:paraId="61F97ED4" w14:textId="0557E587" w:rsidR="00197BF9" w:rsidRPr="00316837" w:rsidRDefault="00197BF9" w:rsidP="00E92788">
      <w:pPr>
        <w:pStyle w:val="ListParagraph"/>
        <w:numPr>
          <w:ilvl w:val="0"/>
          <w:numId w:val="8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Carry out studies to determine use-of-system charges, and incorporate into the Market Rules; and </w:t>
      </w:r>
    </w:p>
    <w:p w14:paraId="3B836E85" w14:textId="6E0C0B07" w:rsidR="00197BF9" w:rsidRPr="00316837" w:rsidRDefault="00197BF9" w:rsidP="00E92788">
      <w:pPr>
        <w:pStyle w:val="ListParagraph"/>
        <w:numPr>
          <w:ilvl w:val="0"/>
          <w:numId w:val="8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Review existing transfer capacities inside Power Pools. </w:t>
      </w:r>
    </w:p>
    <w:p w14:paraId="6223E511" w14:textId="70D9D972" w:rsidR="00197BF9" w:rsidRPr="00316837" w:rsidRDefault="00197BF9" w:rsidP="00483DE9">
      <w:pPr>
        <w:rPr>
          <w:rFonts w:eastAsia="Calibri"/>
          <w:szCs w:val="22"/>
        </w:rPr>
      </w:pPr>
      <w:r w:rsidRPr="00316837">
        <w:rPr>
          <w:rFonts w:eastAsia="Calibri"/>
          <w:szCs w:val="22"/>
        </w:rPr>
        <w:t>The current status of cross-border transmission capacity allocation per Power Pool is the following:</w:t>
      </w:r>
      <w:r w:rsidR="001D4932" w:rsidRPr="00316837">
        <w:rPr>
          <w:rFonts w:eastAsia="Calibri"/>
          <w:szCs w:val="22"/>
        </w:rPr>
        <w:t xml:space="preserve"> </w:t>
      </w:r>
    </w:p>
    <w:p w14:paraId="6831C97A" w14:textId="5E255543" w:rsidR="00483DE9" w:rsidRPr="00316837" w:rsidRDefault="00197BF9" w:rsidP="00E92788">
      <w:pPr>
        <w:pStyle w:val="ListParagraph"/>
        <w:numPr>
          <w:ilvl w:val="0"/>
          <w:numId w:val="83"/>
        </w:numPr>
        <w:spacing w:before="160" w:after="0" w:line="288" w:lineRule="auto"/>
        <w:rPr>
          <w:rFonts w:ascii="Arial" w:hAnsi="Arial" w:cs="Arial"/>
          <w:sz w:val="20"/>
          <w:szCs w:val="20"/>
          <w:lang w:val="en-GB"/>
        </w:rPr>
      </w:pPr>
      <w:r w:rsidRPr="00316837">
        <w:rPr>
          <w:rFonts w:ascii="Arial" w:hAnsi="Arial" w:cs="Arial"/>
          <w:sz w:val="20"/>
          <w:szCs w:val="20"/>
          <w:lang w:val="en-GB"/>
        </w:rPr>
        <w:t>SAPP. The Transmission Capacity Allocation Criteria are adopted. Content not available</w:t>
      </w:r>
      <w:r w:rsidR="001D4932" w:rsidRPr="00316837">
        <w:rPr>
          <w:rFonts w:ascii="Arial" w:hAnsi="Arial" w:cs="Arial"/>
          <w:sz w:val="20"/>
          <w:szCs w:val="20"/>
          <w:lang w:val="en-GB"/>
        </w:rPr>
        <w:t>.</w:t>
      </w:r>
      <w:r w:rsidRPr="00316837">
        <w:rPr>
          <w:rFonts w:ascii="Arial" w:hAnsi="Arial" w:cs="Arial"/>
          <w:sz w:val="20"/>
          <w:szCs w:val="20"/>
          <w:lang w:val="en-GB"/>
        </w:rPr>
        <w:t xml:space="preserve"> </w:t>
      </w:r>
    </w:p>
    <w:p w14:paraId="76555DCC" w14:textId="77F99DCD" w:rsidR="00197BF9" w:rsidRPr="00316837" w:rsidRDefault="00197BF9" w:rsidP="00E92788">
      <w:pPr>
        <w:pStyle w:val="ListParagraph"/>
        <w:numPr>
          <w:ilvl w:val="0"/>
          <w:numId w:val="83"/>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WAPP. The Regional Market Rules for WAPP (2015) are adopted. The Market Rules define that the access to transmission capacity in the Phase 1 will be allocated to bilateral contracts on a “first come first served basis”. </w:t>
      </w:r>
    </w:p>
    <w:p w14:paraId="1E40DC22" w14:textId="3FBA56F5" w:rsidR="00197BF9" w:rsidRPr="00316837" w:rsidRDefault="00197BF9" w:rsidP="00E92788">
      <w:pPr>
        <w:pStyle w:val="ListParagraph"/>
        <w:numPr>
          <w:ilvl w:val="0"/>
          <w:numId w:val="83"/>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EAPP. The Daily Procedures for Capacity Allocation, Market Operations and Cross-Border Nominations are adopted (2014). The Daily Procedures are outlined for the market operator (the Coordination Centre), TSOs and producers. These relate to the daily coordination of events for capacity allocation, day-ahead market operation, and cross-border nominations. Chapter 1 (Introduction) defines the authority; sets out the methods by which the notices and communications </w:t>
      </w:r>
      <w:r w:rsidRPr="00316837">
        <w:rPr>
          <w:rFonts w:ascii="Arial" w:hAnsi="Arial" w:cs="Arial"/>
          <w:sz w:val="20"/>
          <w:szCs w:val="20"/>
          <w:lang w:val="en-GB"/>
        </w:rPr>
        <w:lastRenderedPageBreak/>
        <w:t>are given; and allocates responsibility for maintenance of the rules. Chapter 2 (D-1 NTC, ATC and Day-Ahead Trading Rules) focuses on the procedures at TSOs</w:t>
      </w:r>
      <w:r w:rsidR="001D4932" w:rsidRPr="00316837">
        <w:rPr>
          <w:rFonts w:ascii="Arial" w:hAnsi="Arial" w:cs="Arial"/>
          <w:sz w:val="20"/>
          <w:szCs w:val="20"/>
          <w:lang w:val="en-GB"/>
        </w:rPr>
        <w:t>.</w:t>
      </w:r>
      <w:r w:rsidRPr="00316837">
        <w:rPr>
          <w:rFonts w:ascii="Arial" w:hAnsi="Arial" w:cs="Arial"/>
          <w:sz w:val="20"/>
          <w:szCs w:val="20"/>
          <w:lang w:val="en-GB"/>
        </w:rPr>
        <w:t xml:space="preserve"> </w:t>
      </w:r>
    </w:p>
    <w:p w14:paraId="15DBD1C5" w14:textId="7077DE1A" w:rsidR="00C43280" w:rsidRPr="00316837" w:rsidRDefault="00C43280" w:rsidP="00C43280">
      <w:pPr>
        <w:rPr>
          <w:rFonts w:eastAsia="Calibri"/>
          <w:szCs w:val="22"/>
        </w:rPr>
      </w:pPr>
      <w:r w:rsidRPr="00316837">
        <w:rPr>
          <w:rFonts w:eastAsia="Calibri"/>
          <w:szCs w:val="22"/>
        </w:rPr>
        <w:t>Based on the above discussions, the Guidelines 5.3 is presented as follows:</w:t>
      </w:r>
      <w:r w:rsidR="001D4932" w:rsidRPr="00316837">
        <w:rPr>
          <w:rFonts w:eastAsia="Calibri"/>
          <w:szCs w:val="22"/>
        </w:rPr>
        <w:t xml:space="preserve"> </w:t>
      </w:r>
    </w:p>
    <w:p w14:paraId="32D8646F" w14:textId="19F59B1F" w:rsidR="00FB3BFD" w:rsidRPr="00654753" w:rsidRDefault="00FB3BFD" w:rsidP="00C43280">
      <w:pPr>
        <w:rPr>
          <w:rFonts w:eastAsia="Calibri"/>
          <w:szCs w:val="22"/>
        </w:rPr>
      </w:pPr>
      <w:r w:rsidRPr="006273BD">
        <w:rPr>
          <w:rFonts w:eastAsia="Calibri"/>
          <w:noProof/>
          <w:lang w:eastAsia="en-GB"/>
        </w:rPr>
        <mc:AlternateContent>
          <mc:Choice Requires="wps">
            <w:drawing>
              <wp:inline distT="0" distB="0" distL="0" distR="0" wp14:anchorId="420EC8EB" wp14:editId="58F3782A">
                <wp:extent cx="6112800" cy="6427382"/>
                <wp:effectExtent l="0" t="0" r="21590" b="12065"/>
                <wp:docPr id="29" name="Text Box 29"/>
                <wp:cNvGraphicFramePr/>
                <a:graphic xmlns:a="http://schemas.openxmlformats.org/drawingml/2006/main">
                  <a:graphicData uri="http://schemas.microsoft.com/office/word/2010/wordprocessingShape">
                    <wps:wsp>
                      <wps:cNvSpPr txBox="1"/>
                      <wps:spPr>
                        <a:xfrm>
                          <a:off x="0" y="0"/>
                          <a:ext cx="6112800" cy="6427382"/>
                        </a:xfrm>
                        <a:prstGeom prst="rect">
                          <a:avLst/>
                        </a:prstGeom>
                        <a:solidFill>
                          <a:srgbClr val="9BBB59">
                            <a:lumMod val="20000"/>
                            <a:lumOff val="80000"/>
                          </a:srgbClr>
                        </a:solidFill>
                        <a:ln w="6350">
                          <a:solidFill>
                            <a:prstClr val="black"/>
                          </a:solidFill>
                        </a:ln>
                        <a:effectLst/>
                      </wps:spPr>
                      <wps:txbx>
                        <w:txbxContent>
                          <w:p w14:paraId="3291BD22" w14:textId="17BBC808" w:rsidR="005276A4" w:rsidRPr="00865FCB" w:rsidRDefault="005276A4" w:rsidP="00FB3BFD">
                            <w:pPr>
                              <w:jc w:val="left"/>
                              <w:rPr>
                                <w:bCs/>
                              </w:rPr>
                            </w:pPr>
                            <w:r w:rsidRPr="00865FCB">
                              <w:rPr>
                                <w:bCs/>
                              </w:rPr>
                              <w:t xml:space="preserve">Guidelines </w:t>
                            </w:r>
                            <w:r>
                              <w:rPr>
                                <w:bCs/>
                              </w:rPr>
                              <w:t>5.3.1:</w:t>
                            </w:r>
                            <w:r w:rsidRPr="00865FCB">
                              <w:rPr>
                                <w:bCs/>
                              </w:rPr>
                              <w:t xml:space="preserve"> </w:t>
                            </w:r>
                            <w:r w:rsidRPr="00C43280">
                              <w:rPr>
                                <w:bCs/>
                              </w:rPr>
                              <w:t>Transmission Capacity Allocation</w:t>
                            </w:r>
                            <w:r>
                              <w:rPr>
                                <w:bCs/>
                              </w:rPr>
                              <w:t xml:space="preserve"> – Determination of Capacity Available for Allocation </w:t>
                            </w:r>
                          </w:p>
                          <w:p w14:paraId="1C118DC8"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Total Transfer Capacity (TTC) will be defined as the maximum power transfer across a power corridor when the power transfer exceeds one of the four following conditions:</w:t>
                            </w:r>
                            <w:r>
                              <w:rPr>
                                <w:rFonts w:ascii="Arial" w:hAnsi="Arial" w:cs="Arial"/>
                                <w:bCs/>
                                <w:sz w:val="20"/>
                                <w:szCs w:val="20"/>
                                <w:lang w:val="en-GB"/>
                              </w:rPr>
                              <w:t xml:space="preserve"> </w:t>
                            </w:r>
                          </w:p>
                          <w:p w14:paraId="6878EF9F" w14:textId="77777777"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 xml:space="preserve">Any busbar voltage drops below 0.95 pu for system healthy conditions, unless agreed between </w:t>
                            </w:r>
                            <w:r>
                              <w:rPr>
                                <w:rFonts w:ascii="Arial" w:hAnsi="Arial" w:cs="Arial"/>
                                <w:bCs/>
                                <w:sz w:val="20"/>
                                <w:szCs w:val="20"/>
                                <w:lang w:val="en-GB"/>
                              </w:rPr>
                              <w:t xml:space="preserve">member </w:t>
                            </w:r>
                            <w:r w:rsidRPr="00AD06FF">
                              <w:rPr>
                                <w:rFonts w:ascii="Arial" w:hAnsi="Arial" w:cs="Arial"/>
                                <w:bCs/>
                                <w:sz w:val="20"/>
                                <w:szCs w:val="20"/>
                                <w:lang w:val="en-GB"/>
                              </w:rPr>
                              <w:t>utilities</w:t>
                            </w:r>
                            <w:r>
                              <w:rPr>
                                <w:rFonts w:ascii="Arial" w:hAnsi="Arial" w:cs="Arial"/>
                                <w:bCs/>
                                <w:sz w:val="20"/>
                                <w:szCs w:val="20"/>
                                <w:lang w:val="en-GB"/>
                              </w:rPr>
                              <w:t xml:space="preserve">; </w:t>
                            </w:r>
                          </w:p>
                          <w:p w14:paraId="028D88EC" w14:textId="77777777"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The power flow on the corridor exceeds 95% of the maximum power transferred at the knee point of the P</w:t>
                            </w:r>
                            <w:r>
                              <w:rPr>
                                <w:rFonts w:ascii="Arial" w:hAnsi="Arial" w:cs="Arial"/>
                                <w:bCs/>
                                <w:sz w:val="20"/>
                                <w:szCs w:val="20"/>
                                <w:lang w:val="en-GB"/>
                              </w:rPr>
                              <w:t>ower-</w:t>
                            </w:r>
                            <w:r w:rsidRPr="00AD06FF">
                              <w:rPr>
                                <w:rFonts w:ascii="Arial" w:hAnsi="Arial" w:cs="Arial"/>
                                <w:bCs/>
                                <w:sz w:val="20"/>
                                <w:szCs w:val="20"/>
                                <w:lang w:val="en-GB"/>
                              </w:rPr>
                              <w:t>V</w:t>
                            </w:r>
                            <w:r>
                              <w:rPr>
                                <w:rFonts w:ascii="Arial" w:hAnsi="Arial" w:cs="Arial"/>
                                <w:bCs/>
                                <w:sz w:val="20"/>
                                <w:szCs w:val="20"/>
                                <w:lang w:val="en-GB"/>
                              </w:rPr>
                              <w:t>oltage</w:t>
                            </w:r>
                            <w:r w:rsidRPr="00AD06FF">
                              <w:rPr>
                                <w:rFonts w:ascii="Arial" w:hAnsi="Arial" w:cs="Arial"/>
                                <w:bCs/>
                                <w:sz w:val="20"/>
                                <w:szCs w:val="20"/>
                                <w:lang w:val="en-GB"/>
                              </w:rPr>
                              <w:t xml:space="preserve"> curve for that corridor (Pmax)</w:t>
                            </w:r>
                            <w:r>
                              <w:rPr>
                                <w:rFonts w:ascii="Arial" w:hAnsi="Arial" w:cs="Arial"/>
                                <w:bCs/>
                                <w:sz w:val="20"/>
                                <w:szCs w:val="20"/>
                                <w:lang w:val="en-GB"/>
                              </w:rPr>
                              <w:t xml:space="preserve">; </w:t>
                            </w:r>
                          </w:p>
                          <w:p w14:paraId="0ACA7744" w14:textId="0BAB484A"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The reactive power exceeds 90% of the locally installed Static Var Compensators and/or generator reactive capacity in the affected area, i.e. a minimum 10% reactive reserve per area must be maintained on S</w:t>
                            </w:r>
                            <w:r>
                              <w:rPr>
                                <w:rFonts w:ascii="Arial" w:hAnsi="Arial" w:cs="Arial"/>
                                <w:bCs/>
                                <w:sz w:val="20"/>
                                <w:szCs w:val="20"/>
                                <w:lang w:val="en-GB"/>
                              </w:rPr>
                              <w:t xml:space="preserve">tatic </w:t>
                            </w:r>
                            <w:r w:rsidRPr="00AD06FF">
                              <w:rPr>
                                <w:rFonts w:ascii="Arial" w:hAnsi="Arial" w:cs="Arial"/>
                                <w:bCs/>
                                <w:sz w:val="20"/>
                                <w:szCs w:val="20"/>
                                <w:lang w:val="en-GB"/>
                              </w:rPr>
                              <w:t>V</w:t>
                            </w:r>
                            <w:r>
                              <w:rPr>
                                <w:rFonts w:ascii="Arial" w:hAnsi="Arial" w:cs="Arial"/>
                                <w:bCs/>
                                <w:sz w:val="20"/>
                                <w:szCs w:val="20"/>
                                <w:lang w:val="en-GB"/>
                              </w:rPr>
                              <w:t xml:space="preserve">ar </w:t>
                            </w:r>
                            <w:r w:rsidRPr="00AD06FF">
                              <w:rPr>
                                <w:rFonts w:ascii="Arial" w:hAnsi="Arial" w:cs="Arial"/>
                                <w:bCs/>
                                <w:sz w:val="20"/>
                                <w:szCs w:val="20"/>
                                <w:lang w:val="en-GB"/>
                              </w:rPr>
                              <w:t>C</w:t>
                            </w:r>
                            <w:r>
                              <w:rPr>
                                <w:rFonts w:ascii="Arial" w:hAnsi="Arial" w:cs="Arial"/>
                                <w:bCs/>
                                <w:sz w:val="20"/>
                                <w:szCs w:val="20"/>
                                <w:lang w:val="en-GB"/>
                              </w:rPr>
                              <w:t>ompensator</w:t>
                            </w:r>
                            <w:r w:rsidRPr="00AD06FF">
                              <w:rPr>
                                <w:rFonts w:ascii="Arial" w:hAnsi="Arial" w:cs="Arial"/>
                                <w:bCs/>
                                <w:sz w:val="20"/>
                                <w:szCs w:val="20"/>
                                <w:lang w:val="en-GB"/>
                              </w:rPr>
                              <w:t>s and/or generators</w:t>
                            </w:r>
                            <w:r>
                              <w:rPr>
                                <w:rFonts w:ascii="Arial" w:hAnsi="Arial" w:cs="Arial"/>
                                <w:bCs/>
                                <w:sz w:val="20"/>
                                <w:szCs w:val="20"/>
                                <w:lang w:val="en-GB"/>
                              </w:rPr>
                              <w:t xml:space="preserve">; and </w:t>
                            </w:r>
                          </w:p>
                          <w:p w14:paraId="144E21A8" w14:textId="77777777" w:rsidR="005276A4" w:rsidRPr="00AD06FF"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The drop in voltage for a 5% increase in load without transformer tap changer action exceeds 5%.</w:t>
                            </w:r>
                            <w:r>
                              <w:rPr>
                                <w:rFonts w:ascii="Arial" w:hAnsi="Arial" w:cs="Arial"/>
                                <w:bCs/>
                                <w:sz w:val="20"/>
                                <w:szCs w:val="20"/>
                                <w:lang w:val="en-GB"/>
                              </w:rPr>
                              <w:t xml:space="preserve"> </w:t>
                            </w:r>
                          </w:p>
                          <w:p w14:paraId="146DEC1D" w14:textId="764C3F94"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Net Transfer Capacity (NTC) will be defined as the value that represents the capacity that may be made available for commercial trading. NTC will have to take the power system security into account, which essentially means that no part of the transmission system (feeder, transformer, generator etc.) should be operated outside of its design limits and that the transmission system as a whole should be operated to ensure that no limits and realistic fault should cause the system to become unstable or result in widespread load shedding.</w:t>
                            </w:r>
                            <w:r>
                              <w:rPr>
                                <w:rFonts w:ascii="Arial" w:hAnsi="Arial" w:cs="Arial"/>
                                <w:bCs/>
                                <w:sz w:val="20"/>
                                <w:szCs w:val="20"/>
                                <w:lang w:val="en-GB"/>
                              </w:rPr>
                              <w:t xml:space="preserve"> NTC will be calculated as the value which remains after Transmission Reliability Margin (TRM) is deducted from TTC, i.e. NTC=TTC-TRM</w:t>
                            </w:r>
                            <w:r w:rsidR="00316837">
                              <w:rPr>
                                <w:rFonts w:ascii="Arial" w:hAnsi="Arial" w:cs="Arial"/>
                                <w:bCs/>
                                <w:sz w:val="20"/>
                                <w:szCs w:val="20"/>
                                <w:lang w:val="en-GB"/>
                              </w:rPr>
                              <w:t>.</w:t>
                            </w:r>
                            <w:r>
                              <w:rPr>
                                <w:rFonts w:ascii="Arial" w:hAnsi="Arial" w:cs="Arial"/>
                                <w:bCs/>
                                <w:sz w:val="20"/>
                                <w:szCs w:val="20"/>
                                <w:lang w:val="en-GB"/>
                              </w:rPr>
                              <w:t xml:space="preserve"> </w:t>
                            </w:r>
                          </w:p>
                          <w:p w14:paraId="5807C0B4" w14:textId="15B8F824" w:rsidR="005276A4" w:rsidRPr="00AD06F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Available Transmission Capacity (ATC) will be defined as the part of NTC that remains available, after allocated transmission rights, long-term nominations (LT</w:t>
                            </w:r>
                            <w:r>
                              <w:rPr>
                                <w:rFonts w:ascii="Arial" w:hAnsi="Arial" w:cs="Arial"/>
                                <w:bCs/>
                                <w:sz w:val="20"/>
                                <w:szCs w:val="20"/>
                                <w:lang w:val="en-GB"/>
                              </w:rPr>
                              <w:t>N</w:t>
                            </w:r>
                            <w:r w:rsidRPr="00AD06FF">
                              <w:rPr>
                                <w:rFonts w:ascii="Arial" w:hAnsi="Arial" w:cs="Arial"/>
                                <w:bCs/>
                                <w:sz w:val="20"/>
                                <w:szCs w:val="20"/>
                                <w:lang w:val="en-GB"/>
                              </w:rPr>
                              <w:t xml:space="preserve">) has been redrawn from NTC. ATC is simply = NTC </w:t>
                            </w:r>
                            <w:r>
                              <w:rPr>
                                <w:rFonts w:ascii="Arial" w:hAnsi="Arial" w:cs="Arial"/>
                                <w:bCs/>
                                <w:sz w:val="20"/>
                                <w:szCs w:val="20"/>
                                <w:lang w:val="en-GB"/>
                              </w:rPr>
                              <w:t>–</w:t>
                            </w:r>
                            <w:r w:rsidRPr="00AD06FF">
                              <w:rPr>
                                <w:rFonts w:ascii="Arial" w:hAnsi="Arial" w:cs="Arial"/>
                                <w:bCs/>
                                <w:sz w:val="20"/>
                                <w:szCs w:val="20"/>
                                <w:lang w:val="en-GB"/>
                              </w:rPr>
                              <w:t xml:space="preserve"> LT</w:t>
                            </w:r>
                            <w:r>
                              <w:rPr>
                                <w:rFonts w:ascii="Arial" w:hAnsi="Arial" w:cs="Arial"/>
                                <w:bCs/>
                                <w:sz w:val="20"/>
                                <w:szCs w:val="20"/>
                                <w:lang w:val="en-GB"/>
                              </w:rPr>
                              <w:t xml:space="preserve">N. </w:t>
                            </w:r>
                          </w:p>
                          <w:p w14:paraId="3C78A95F" w14:textId="091201DC"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 xml:space="preserve">Each </w:t>
                            </w:r>
                            <w:r>
                              <w:rPr>
                                <w:rFonts w:ascii="Arial" w:hAnsi="Arial" w:cs="Arial"/>
                                <w:bCs/>
                                <w:sz w:val="20"/>
                                <w:szCs w:val="20"/>
                                <w:lang w:val="en-GB"/>
                              </w:rPr>
                              <w:t>system operator involved</w:t>
                            </w:r>
                            <w:r w:rsidRPr="00AD06FF">
                              <w:rPr>
                                <w:rFonts w:ascii="Arial" w:hAnsi="Arial" w:cs="Arial"/>
                                <w:bCs/>
                                <w:sz w:val="20"/>
                                <w:szCs w:val="20"/>
                                <w:lang w:val="en-GB"/>
                              </w:rPr>
                              <w:t xml:space="preserve"> will perform an adequacy analysis </w:t>
                            </w:r>
                            <w:r>
                              <w:rPr>
                                <w:rFonts w:ascii="Arial" w:hAnsi="Arial" w:cs="Arial"/>
                                <w:bCs/>
                                <w:sz w:val="20"/>
                                <w:szCs w:val="20"/>
                                <w:lang w:val="en-GB"/>
                              </w:rPr>
                              <w:t xml:space="preserve">to identify ATC for allocation </w:t>
                            </w:r>
                            <w:r w:rsidRPr="00AD06FF">
                              <w:rPr>
                                <w:rFonts w:ascii="Arial" w:hAnsi="Arial" w:cs="Arial"/>
                                <w:bCs/>
                                <w:sz w:val="20"/>
                                <w:szCs w:val="20"/>
                                <w:lang w:val="en-GB"/>
                              </w:rPr>
                              <w:t>in all market timeframes bas</w:t>
                            </w:r>
                            <w:r>
                              <w:rPr>
                                <w:rFonts w:ascii="Arial" w:hAnsi="Arial" w:cs="Arial"/>
                                <w:bCs/>
                                <w:sz w:val="20"/>
                                <w:szCs w:val="20"/>
                                <w:lang w:val="en-GB"/>
                              </w:rPr>
                              <w:t>ed</w:t>
                            </w:r>
                            <w:r w:rsidRPr="00AD06FF">
                              <w:rPr>
                                <w:rFonts w:ascii="Arial" w:hAnsi="Arial" w:cs="Arial"/>
                                <w:bCs/>
                                <w:sz w:val="20"/>
                                <w:szCs w:val="20"/>
                                <w:lang w:val="en-GB"/>
                              </w:rPr>
                              <w:t xml:space="preserve"> o</w:t>
                            </w:r>
                            <w:r>
                              <w:rPr>
                                <w:rFonts w:ascii="Arial" w:hAnsi="Arial" w:cs="Arial"/>
                                <w:bCs/>
                                <w:sz w:val="20"/>
                                <w:szCs w:val="20"/>
                                <w:lang w:val="en-GB"/>
                              </w:rPr>
                              <w:t>n</w:t>
                            </w:r>
                            <w:r w:rsidRPr="00AD06FF">
                              <w:rPr>
                                <w:rFonts w:ascii="Arial" w:hAnsi="Arial" w:cs="Arial"/>
                                <w:bCs/>
                                <w:sz w:val="20"/>
                                <w:szCs w:val="20"/>
                                <w:lang w:val="en-GB"/>
                              </w:rPr>
                              <w:t xml:space="preserve"> forecasted load, scheduled and estimated generation, power reserves, </w:t>
                            </w:r>
                            <w:r>
                              <w:rPr>
                                <w:rFonts w:ascii="Arial" w:hAnsi="Arial" w:cs="Arial"/>
                                <w:bCs/>
                                <w:sz w:val="20"/>
                                <w:szCs w:val="20"/>
                                <w:lang w:val="en-GB"/>
                              </w:rPr>
                              <w:t xml:space="preserve">already nominated </w:t>
                            </w:r>
                            <w:r w:rsidRPr="00AD06FF">
                              <w:rPr>
                                <w:rFonts w:ascii="Arial" w:hAnsi="Arial" w:cs="Arial"/>
                                <w:bCs/>
                                <w:sz w:val="20"/>
                                <w:szCs w:val="20"/>
                                <w:lang w:val="en-GB"/>
                              </w:rPr>
                              <w:t xml:space="preserve">capacity and capabilities of control devices. </w:t>
                            </w:r>
                          </w:p>
                          <w:p w14:paraId="61CF7853" w14:textId="6AA6DC1A"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 xml:space="preserve">Each </w:t>
                            </w:r>
                            <w:r w:rsidRPr="00FB3BFD">
                              <w:rPr>
                                <w:rFonts w:ascii="Arial" w:hAnsi="Arial" w:cs="Arial"/>
                                <w:bCs/>
                                <w:sz w:val="20"/>
                                <w:szCs w:val="20"/>
                                <w:lang w:val="en-GB"/>
                              </w:rPr>
                              <w:t>system operator</w:t>
                            </w:r>
                            <w:r>
                              <w:rPr>
                                <w:rFonts w:ascii="Arial" w:hAnsi="Arial" w:cs="Arial"/>
                                <w:bCs/>
                                <w:sz w:val="20"/>
                                <w:szCs w:val="20"/>
                                <w:lang w:val="en-GB"/>
                              </w:rPr>
                              <w:t xml:space="preserve"> involved will outline the criteria that a</w:t>
                            </w:r>
                            <w:r w:rsidRPr="00FB3BFD">
                              <w:rPr>
                                <w:rFonts w:ascii="Arial" w:hAnsi="Arial" w:cs="Arial"/>
                                <w:bCs/>
                                <w:sz w:val="20"/>
                                <w:szCs w:val="20"/>
                                <w:lang w:val="en-GB"/>
                              </w:rPr>
                              <w:t xml:space="preserve">ll market participants (i.e. producers, traders, suppliers) will </w:t>
                            </w:r>
                            <w:r>
                              <w:rPr>
                                <w:rFonts w:ascii="Arial" w:hAnsi="Arial" w:cs="Arial"/>
                                <w:bCs/>
                                <w:sz w:val="20"/>
                                <w:szCs w:val="20"/>
                                <w:lang w:val="en-GB"/>
                              </w:rPr>
                              <w:t xml:space="preserve">have to fulfil in order </w:t>
                            </w:r>
                            <w:r w:rsidRPr="00FB3BFD">
                              <w:rPr>
                                <w:rFonts w:ascii="Arial" w:hAnsi="Arial" w:cs="Arial"/>
                                <w:bCs/>
                                <w:sz w:val="20"/>
                                <w:szCs w:val="20"/>
                                <w:lang w:val="en-GB"/>
                              </w:rPr>
                              <w:t xml:space="preserve">be given access to utilise </w:t>
                            </w:r>
                            <w:r>
                              <w:rPr>
                                <w:rFonts w:ascii="Arial" w:hAnsi="Arial" w:cs="Arial"/>
                                <w:bCs/>
                                <w:sz w:val="20"/>
                                <w:szCs w:val="20"/>
                                <w:lang w:val="en-GB"/>
                              </w:rPr>
                              <w:t>ATC</w:t>
                            </w:r>
                            <w:r w:rsidRPr="00FB3BFD">
                              <w:rPr>
                                <w:rFonts w:ascii="Arial" w:hAnsi="Arial" w:cs="Arial"/>
                                <w:bCs/>
                                <w:sz w:val="20"/>
                                <w:szCs w:val="20"/>
                                <w:lang w:val="en-GB"/>
                              </w:rPr>
                              <w:t xml:space="preserve"> under fair and transparent conditions in line with the underlying methodology. Only temporarily, until the adoption of the underlying methodology, those market participants who are, within each national electricity market, allowed to conduct cross</w:t>
                            </w:r>
                            <w:r>
                              <w:rPr>
                                <w:rFonts w:ascii="Arial" w:hAnsi="Arial" w:cs="Arial"/>
                                <w:bCs/>
                                <w:sz w:val="20"/>
                                <w:szCs w:val="20"/>
                                <w:lang w:val="en-GB"/>
                              </w:rPr>
                              <w:t>-</w:t>
                            </w:r>
                            <w:r w:rsidRPr="00FB3BFD">
                              <w:rPr>
                                <w:rFonts w:ascii="Arial" w:hAnsi="Arial" w:cs="Arial"/>
                                <w:bCs/>
                                <w:sz w:val="20"/>
                                <w:szCs w:val="20"/>
                                <w:lang w:val="en-GB"/>
                              </w:rPr>
                              <w:t xml:space="preserve">border trade will be </w:t>
                            </w:r>
                            <w:r>
                              <w:rPr>
                                <w:rFonts w:ascii="Arial" w:hAnsi="Arial" w:cs="Arial"/>
                                <w:bCs/>
                                <w:sz w:val="20"/>
                                <w:szCs w:val="20"/>
                                <w:lang w:val="en-GB"/>
                              </w:rPr>
                              <w:t>given</w:t>
                            </w:r>
                            <w:r w:rsidRPr="00FB3BFD">
                              <w:rPr>
                                <w:rFonts w:ascii="Arial" w:hAnsi="Arial" w:cs="Arial"/>
                                <w:bCs/>
                                <w:sz w:val="20"/>
                                <w:szCs w:val="20"/>
                                <w:lang w:val="en-GB"/>
                              </w:rPr>
                              <w:t xml:space="preserve"> </w:t>
                            </w:r>
                            <w:r>
                              <w:rPr>
                                <w:rFonts w:ascii="Arial" w:hAnsi="Arial" w:cs="Arial"/>
                                <w:bCs/>
                                <w:sz w:val="20"/>
                                <w:szCs w:val="20"/>
                                <w:lang w:val="en-GB"/>
                              </w:rPr>
                              <w:t>access</w:t>
                            </w:r>
                            <w:r w:rsidRPr="00FB3BFD">
                              <w:rPr>
                                <w:rFonts w:ascii="Arial" w:hAnsi="Arial" w:cs="Arial"/>
                                <w:bCs/>
                                <w:sz w:val="20"/>
                                <w:szCs w:val="20"/>
                                <w:lang w:val="en-GB"/>
                              </w:rPr>
                              <w:t xml:space="preserve"> to utilise </w:t>
                            </w:r>
                            <w:r>
                              <w:rPr>
                                <w:rFonts w:ascii="Arial" w:hAnsi="Arial" w:cs="Arial"/>
                                <w:bCs/>
                                <w:sz w:val="20"/>
                                <w:szCs w:val="20"/>
                                <w:lang w:val="en-GB"/>
                              </w:rPr>
                              <w:t>ATC</w:t>
                            </w:r>
                            <w:r w:rsidRPr="00FB3BFD">
                              <w:rPr>
                                <w:rFonts w:ascii="Arial" w:hAnsi="Arial" w:cs="Arial"/>
                                <w:bCs/>
                                <w:sz w:val="20"/>
                                <w:szCs w:val="20"/>
                                <w:lang w:val="en-GB"/>
                              </w:rPr>
                              <w:t>.</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0EC8EB" id="Text Box 29" o:spid="_x0000_s1051" type="#_x0000_t202" style="width:481.3pt;height:5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" fillcolor="#ebf1de" strokeweight=".5pt">
                <v:textbox>
                  <w:txbxContent>
                    <w:p w14:paraId="3291BD22" w14:textId="17BBC808" w:rsidR="005276A4" w:rsidRPr="00865FCB" w:rsidRDefault="005276A4" w:rsidP="00FB3BFD">
                      <w:pPr>
                        <w:jc w:val="left"/>
                        <w:rPr>
                          <w:bCs/>
                        </w:rPr>
                      </w:pPr>
                      <w:r w:rsidRPr="00865FCB">
                        <w:rPr>
                          <w:bCs/>
                        </w:rPr>
                        <w:t xml:space="preserve">Guidelines </w:t>
                      </w:r>
                      <w:r>
                        <w:rPr>
                          <w:bCs/>
                        </w:rPr>
                        <w:t>5.3.1:</w:t>
                      </w:r>
                      <w:r w:rsidRPr="00865FCB">
                        <w:rPr>
                          <w:bCs/>
                        </w:rPr>
                        <w:t xml:space="preserve"> </w:t>
                      </w:r>
                      <w:r w:rsidRPr="00C43280">
                        <w:rPr>
                          <w:bCs/>
                        </w:rPr>
                        <w:t>Transmission Capacity Allocation</w:t>
                      </w:r>
                      <w:r>
                        <w:rPr>
                          <w:bCs/>
                        </w:rPr>
                        <w:t xml:space="preserve"> – Determination of Capacity Available for Allocation </w:t>
                      </w:r>
                    </w:p>
                    <w:p w14:paraId="1C118DC8"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Total Transfer Capacity (TTC) will be defined as the maximum power transfer across a power corridor when the power transfer exceeds one of the four following conditions:</w:t>
                      </w:r>
                      <w:r>
                        <w:rPr>
                          <w:rFonts w:ascii="Arial" w:hAnsi="Arial" w:cs="Arial"/>
                          <w:bCs/>
                          <w:sz w:val="20"/>
                          <w:szCs w:val="20"/>
                          <w:lang w:val="en-GB"/>
                        </w:rPr>
                        <w:t xml:space="preserve"> </w:t>
                      </w:r>
                    </w:p>
                    <w:p w14:paraId="6878EF9F" w14:textId="77777777"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 xml:space="preserve">Any busbar voltage drops below 0.95 pu for system healthy conditions, unless agreed between </w:t>
                      </w:r>
                      <w:r>
                        <w:rPr>
                          <w:rFonts w:ascii="Arial" w:hAnsi="Arial" w:cs="Arial"/>
                          <w:bCs/>
                          <w:sz w:val="20"/>
                          <w:szCs w:val="20"/>
                          <w:lang w:val="en-GB"/>
                        </w:rPr>
                        <w:t xml:space="preserve">member </w:t>
                      </w:r>
                      <w:r w:rsidRPr="00AD06FF">
                        <w:rPr>
                          <w:rFonts w:ascii="Arial" w:hAnsi="Arial" w:cs="Arial"/>
                          <w:bCs/>
                          <w:sz w:val="20"/>
                          <w:szCs w:val="20"/>
                          <w:lang w:val="en-GB"/>
                        </w:rPr>
                        <w:t>utilities</w:t>
                      </w:r>
                      <w:r>
                        <w:rPr>
                          <w:rFonts w:ascii="Arial" w:hAnsi="Arial" w:cs="Arial"/>
                          <w:bCs/>
                          <w:sz w:val="20"/>
                          <w:szCs w:val="20"/>
                          <w:lang w:val="en-GB"/>
                        </w:rPr>
                        <w:t xml:space="preserve">; </w:t>
                      </w:r>
                    </w:p>
                    <w:p w14:paraId="028D88EC" w14:textId="77777777"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The power flow on the corridor exceeds 95% of the maximum power transferred at the knee point of the P</w:t>
                      </w:r>
                      <w:r>
                        <w:rPr>
                          <w:rFonts w:ascii="Arial" w:hAnsi="Arial" w:cs="Arial"/>
                          <w:bCs/>
                          <w:sz w:val="20"/>
                          <w:szCs w:val="20"/>
                          <w:lang w:val="en-GB"/>
                        </w:rPr>
                        <w:t>ower-</w:t>
                      </w:r>
                      <w:r w:rsidRPr="00AD06FF">
                        <w:rPr>
                          <w:rFonts w:ascii="Arial" w:hAnsi="Arial" w:cs="Arial"/>
                          <w:bCs/>
                          <w:sz w:val="20"/>
                          <w:szCs w:val="20"/>
                          <w:lang w:val="en-GB"/>
                        </w:rPr>
                        <w:t>V</w:t>
                      </w:r>
                      <w:r>
                        <w:rPr>
                          <w:rFonts w:ascii="Arial" w:hAnsi="Arial" w:cs="Arial"/>
                          <w:bCs/>
                          <w:sz w:val="20"/>
                          <w:szCs w:val="20"/>
                          <w:lang w:val="en-GB"/>
                        </w:rPr>
                        <w:t>oltage</w:t>
                      </w:r>
                      <w:r w:rsidRPr="00AD06FF">
                        <w:rPr>
                          <w:rFonts w:ascii="Arial" w:hAnsi="Arial" w:cs="Arial"/>
                          <w:bCs/>
                          <w:sz w:val="20"/>
                          <w:szCs w:val="20"/>
                          <w:lang w:val="en-GB"/>
                        </w:rPr>
                        <w:t xml:space="preserve"> curve for that corridor (Pmax)</w:t>
                      </w:r>
                      <w:r>
                        <w:rPr>
                          <w:rFonts w:ascii="Arial" w:hAnsi="Arial" w:cs="Arial"/>
                          <w:bCs/>
                          <w:sz w:val="20"/>
                          <w:szCs w:val="20"/>
                          <w:lang w:val="en-GB"/>
                        </w:rPr>
                        <w:t xml:space="preserve">; </w:t>
                      </w:r>
                    </w:p>
                    <w:p w14:paraId="0ACA7744" w14:textId="0BAB484A"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The reactive power exceeds 90% of the locally installed Static Var Compensators and/or generator reactive capacity in the affected area, i.e. a minimum 10% reactive reserve per area must be maintained on S</w:t>
                      </w:r>
                      <w:r>
                        <w:rPr>
                          <w:rFonts w:ascii="Arial" w:hAnsi="Arial" w:cs="Arial"/>
                          <w:bCs/>
                          <w:sz w:val="20"/>
                          <w:szCs w:val="20"/>
                          <w:lang w:val="en-GB"/>
                        </w:rPr>
                        <w:t xml:space="preserve">tatic </w:t>
                      </w:r>
                      <w:r w:rsidRPr="00AD06FF">
                        <w:rPr>
                          <w:rFonts w:ascii="Arial" w:hAnsi="Arial" w:cs="Arial"/>
                          <w:bCs/>
                          <w:sz w:val="20"/>
                          <w:szCs w:val="20"/>
                          <w:lang w:val="en-GB"/>
                        </w:rPr>
                        <w:t>V</w:t>
                      </w:r>
                      <w:r>
                        <w:rPr>
                          <w:rFonts w:ascii="Arial" w:hAnsi="Arial" w:cs="Arial"/>
                          <w:bCs/>
                          <w:sz w:val="20"/>
                          <w:szCs w:val="20"/>
                          <w:lang w:val="en-GB"/>
                        </w:rPr>
                        <w:t xml:space="preserve">ar </w:t>
                      </w:r>
                      <w:r w:rsidRPr="00AD06FF">
                        <w:rPr>
                          <w:rFonts w:ascii="Arial" w:hAnsi="Arial" w:cs="Arial"/>
                          <w:bCs/>
                          <w:sz w:val="20"/>
                          <w:szCs w:val="20"/>
                          <w:lang w:val="en-GB"/>
                        </w:rPr>
                        <w:t>C</w:t>
                      </w:r>
                      <w:r>
                        <w:rPr>
                          <w:rFonts w:ascii="Arial" w:hAnsi="Arial" w:cs="Arial"/>
                          <w:bCs/>
                          <w:sz w:val="20"/>
                          <w:szCs w:val="20"/>
                          <w:lang w:val="en-GB"/>
                        </w:rPr>
                        <w:t>ompensator</w:t>
                      </w:r>
                      <w:r w:rsidRPr="00AD06FF">
                        <w:rPr>
                          <w:rFonts w:ascii="Arial" w:hAnsi="Arial" w:cs="Arial"/>
                          <w:bCs/>
                          <w:sz w:val="20"/>
                          <w:szCs w:val="20"/>
                          <w:lang w:val="en-GB"/>
                        </w:rPr>
                        <w:t>s and/or generators</w:t>
                      </w:r>
                      <w:r>
                        <w:rPr>
                          <w:rFonts w:ascii="Arial" w:hAnsi="Arial" w:cs="Arial"/>
                          <w:bCs/>
                          <w:sz w:val="20"/>
                          <w:szCs w:val="20"/>
                          <w:lang w:val="en-GB"/>
                        </w:rPr>
                        <w:t xml:space="preserve">; and </w:t>
                      </w:r>
                    </w:p>
                    <w:p w14:paraId="144E21A8" w14:textId="77777777" w:rsidR="005276A4" w:rsidRPr="00AD06FF"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The drop in voltage for a 5% increase in load without transformer tap changer action exceeds 5%.</w:t>
                      </w:r>
                      <w:r>
                        <w:rPr>
                          <w:rFonts w:ascii="Arial" w:hAnsi="Arial" w:cs="Arial"/>
                          <w:bCs/>
                          <w:sz w:val="20"/>
                          <w:szCs w:val="20"/>
                          <w:lang w:val="en-GB"/>
                        </w:rPr>
                        <w:t xml:space="preserve"> </w:t>
                      </w:r>
                    </w:p>
                    <w:p w14:paraId="146DEC1D" w14:textId="764C3F94"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Net Transfer Capacity (NTC) will be defined as the value that represents the capacity that may be made available for commercial trading. NTC will have to take the power system security into account, which essentially means that no part of the transmission system (feeder, transformer, generator etc.) should be operated outside of its design limits and that the transmission system as a whole should be operated to ensure that no limits and realistic fault should cause the system to become unstable or result in widespread load shedding.</w:t>
                      </w:r>
                      <w:r>
                        <w:rPr>
                          <w:rFonts w:ascii="Arial" w:hAnsi="Arial" w:cs="Arial"/>
                          <w:bCs/>
                          <w:sz w:val="20"/>
                          <w:szCs w:val="20"/>
                          <w:lang w:val="en-GB"/>
                        </w:rPr>
                        <w:t xml:space="preserve"> NTC will be calculated as the value which remains after Transmission Reliability Margin (TRM) is deducted from TTC, i.e. NTC=TTC-TRM</w:t>
                      </w:r>
                      <w:r w:rsidR="00316837">
                        <w:rPr>
                          <w:rFonts w:ascii="Arial" w:hAnsi="Arial" w:cs="Arial"/>
                          <w:bCs/>
                          <w:sz w:val="20"/>
                          <w:szCs w:val="20"/>
                          <w:lang w:val="en-GB"/>
                        </w:rPr>
                        <w:t>.</w:t>
                      </w:r>
                      <w:r>
                        <w:rPr>
                          <w:rFonts w:ascii="Arial" w:hAnsi="Arial" w:cs="Arial"/>
                          <w:bCs/>
                          <w:sz w:val="20"/>
                          <w:szCs w:val="20"/>
                          <w:lang w:val="en-GB"/>
                        </w:rPr>
                        <w:t xml:space="preserve"> </w:t>
                      </w:r>
                    </w:p>
                    <w:p w14:paraId="5807C0B4" w14:textId="15B8F824" w:rsidR="005276A4" w:rsidRPr="00AD06F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Available Transmission Capacity (ATC) will be defined as the part of NTC that remains available, after allocated transmission rights, long-term nominations (LT</w:t>
                      </w:r>
                      <w:r>
                        <w:rPr>
                          <w:rFonts w:ascii="Arial" w:hAnsi="Arial" w:cs="Arial"/>
                          <w:bCs/>
                          <w:sz w:val="20"/>
                          <w:szCs w:val="20"/>
                          <w:lang w:val="en-GB"/>
                        </w:rPr>
                        <w:t>N</w:t>
                      </w:r>
                      <w:r w:rsidRPr="00AD06FF">
                        <w:rPr>
                          <w:rFonts w:ascii="Arial" w:hAnsi="Arial" w:cs="Arial"/>
                          <w:bCs/>
                          <w:sz w:val="20"/>
                          <w:szCs w:val="20"/>
                          <w:lang w:val="en-GB"/>
                        </w:rPr>
                        <w:t xml:space="preserve">) has been redrawn from NTC. ATC is simply = NTC </w:t>
                      </w:r>
                      <w:r>
                        <w:rPr>
                          <w:rFonts w:ascii="Arial" w:hAnsi="Arial" w:cs="Arial"/>
                          <w:bCs/>
                          <w:sz w:val="20"/>
                          <w:szCs w:val="20"/>
                          <w:lang w:val="en-GB"/>
                        </w:rPr>
                        <w:t>–</w:t>
                      </w:r>
                      <w:r w:rsidRPr="00AD06FF">
                        <w:rPr>
                          <w:rFonts w:ascii="Arial" w:hAnsi="Arial" w:cs="Arial"/>
                          <w:bCs/>
                          <w:sz w:val="20"/>
                          <w:szCs w:val="20"/>
                          <w:lang w:val="en-GB"/>
                        </w:rPr>
                        <w:t xml:space="preserve"> LT</w:t>
                      </w:r>
                      <w:r>
                        <w:rPr>
                          <w:rFonts w:ascii="Arial" w:hAnsi="Arial" w:cs="Arial"/>
                          <w:bCs/>
                          <w:sz w:val="20"/>
                          <w:szCs w:val="20"/>
                          <w:lang w:val="en-GB"/>
                        </w:rPr>
                        <w:t xml:space="preserve">N. </w:t>
                      </w:r>
                    </w:p>
                    <w:p w14:paraId="3C78A95F" w14:textId="091201DC"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 xml:space="preserve">Each </w:t>
                      </w:r>
                      <w:r>
                        <w:rPr>
                          <w:rFonts w:ascii="Arial" w:hAnsi="Arial" w:cs="Arial"/>
                          <w:bCs/>
                          <w:sz w:val="20"/>
                          <w:szCs w:val="20"/>
                          <w:lang w:val="en-GB"/>
                        </w:rPr>
                        <w:t>system operator involved</w:t>
                      </w:r>
                      <w:r w:rsidRPr="00AD06FF">
                        <w:rPr>
                          <w:rFonts w:ascii="Arial" w:hAnsi="Arial" w:cs="Arial"/>
                          <w:bCs/>
                          <w:sz w:val="20"/>
                          <w:szCs w:val="20"/>
                          <w:lang w:val="en-GB"/>
                        </w:rPr>
                        <w:t xml:space="preserve"> will perform an adequacy analysis </w:t>
                      </w:r>
                      <w:r>
                        <w:rPr>
                          <w:rFonts w:ascii="Arial" w:hAnsi="Arial" w:cs="Arial"/>
                          <w:bCs/>
                          <w:sz w:val="20"/>
                          <w:szCs w:val="20"/>
                          <w:lang w:val="en-GB"/>
                        </w:rPr>
                        <w:t xml:space="preserve">to identify ATC for allocation </w:t>
                      </w:r>
                      <w:r w:rsidRPr="00AD06FF">
                        <w:rPr>
                          <w:rFonts w:ascii="Arial" w:hAnsi="Arial" w:cs="Arial"/>
                          <w:bCs/>
                          <w:sz w:val="20"/>
                          <w:szCs w:val="20"/>
                          <w:lang w:val="en-GB"/>
                        </w:rPr>
                        <w:t>in all market timeframes bas</w:t>
                      </w:r>
                      <w:r>
                        <w:rPr>
                          <w:rFonts w:ascii="Arial" w:hAnsi="Arial" w:cs="Arial"/>
                          <w:bCs/>
                          <w:sz w:val="20"/>
                          <w:szCs w:val="20"/>
                          <w:lang w:val="en-GB"/>
                        </w:rPr>
                        <w:t>ed</w:t>
                      </w:r>
                      <w:r w:rsidRPr="00AD06FF">
                        <w:rPr>
                          <w:rFonts w:ascii="Arial" w:hAnsi="Arial" w:cs="Arial"/>
                          <w:bCs/>
                          <w:sz w:val="20"/>
                          <w:szCs w:val="20"/>
                          <w:lang w:val="en-GB"/>
                        </w:rPr>
                        <w:t xml:space="preserve"> o</w:t>
                      </w:r>
                      <w:r>
                        <w:rPr>
                          <w:rFonts w:ascii="Arial" w:hAnsi="Arial" w:cs="Arial"/>
                          <w:bCs/>
                          <w:sz w:val="20"/>
                          <w:szCs w:val="20"/>
                          <w:lang w:val="en-GB"/>
                        </w:rPr>
                        <w:t>n</w:t>
                      </w:r>
                      <w:r w:rsidRPr="00AD06FF">
                        <w:rPr>
                          <w:rFonts w:ascii="Arial" w:hAnsi="Arial" w:cs="Arial"/>
                          <w:bCs/>
                          <w:sz w:val="20"/>
                          <w:szCs w:val="20"/>
                          <w:lang w:val="en-GB"/>
                        </w:rPr>
                        <w:t xml:space="preserve"> forecasted load, scheduled and estimated generation, power reserves, </w:t>
                      </w:r>
                      <w:r>
                        <w:rPr>
                          <w:rFonts w:ascii="Arial" w:hAnsi="Arial" w:cs="Arial"/>
                          <w:bCs/>
                          <w:sz w:val="20"/>
                          <w:szCs w:val="20"/>
                          <w:lang w:val="en-GB"/>
                        </w:rPr>
                        <w:t xml:space="preserve">already nominated </w:t>
                      </w:r>
                      <w:r w:rsidRPr="00AD06FF">
                        <w:rPr>
                          <w:rFonts w:ascii="Arial" w:hAnsi="Arial" w:cs="Arial"/>
                          <w:bCs/>
                          <w:sz w:val="20"/>
                          <w:szCs w:val="20"/>
                          <w:lang w:val="en-GB"/>
                        </w:rPr>
                        <w:t xml:space="preserve">capacity and capabilities of control devices. </w:t>
                      </w:r>
                    </w:p>
                    <w:p w14:paraId="61CF7853" w14:textId="6AA6DC1A"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 xml:space="preserve">Each </w:t>
                      </w:r>
                      <w:r w:rsidRPr="00FB3BFD">
                        <w:rPr>
                          <w:rFonts w:ascii="Arial" w:hAnsi="Arial" w:cs="Arial"/>
                          <w:bCs/>
                          <w:sz w:val="20"/>
                          <w:szCs w:val="20"/>
                          <w:lang w:val="en-GB"/>
                        </w:rPr>
                        <w:t>system operator</w:t>
                      </w:r>
                      <w:r>
                        <w:rPr>
                          <w:rFonts w:ascii="Arial" w:hAnsi="Arial" w:cs="Arial"/>
                          <w:bCs/>
                          <w:sz w:val="20"/>
                          <w:szCs w:val="20"/>
                          <w:lang w:val="en-GB"/>
                        </w:rPr>
                        <w:t xml:space="preserve"> involved will outline the criteria that a</w:t>
                      </w:r>
                      <w:r w:rsidRPr="00FB3BFD">
                        <w:rPr>
                          <w:rFonts w:ascii="Arial" w:hAnsi="Arial" w:cs="Arial"/>
                          <w:bCs/>
                          <w:sz w:val="20"/>
                          <w:szCs w:val="20"/>
                          <w:lang w:val="en-GB"/>
                        </w:rPr>
                        <w:t xml:space="preserve">ll market participants (i.e. producers, traders, suppliers) will </w:t>
                      </w:r>
                      <w:r>
                        <w:rPr>
                          <w:rFonts w:ascii="Arial" w:hAnsi="Arial" w:cs="Arial"/>
                          <w:bCs/>
                          <w:sz w:val="20"/>
                          <w:szCs w:val="20"/>
                          <w:lang w:val="en-GB"/>
                        </w:rPr>
                        <w:t xml:space="preserve">have to fulfil in order </w:t>
                      </w:r>
                      <w:r w:rsidRPr="00FB3BFD">
                        <w:rPr>
                          <w:rFonts w:ascii="Arial" w:hAnsi="Arial" w:cs="Arial"/>
                          <w:bCs/>
                          <w:sz w:val="20"/>
                          <w:szCs w:val="20"/>
                          <w:lang w:val="en-GB"/>
                        </w:rPr>
                        <w:t xml:space="preserve">be given access to utilise </w:t>
                      </w:r>
                      <w:r>
                        <w:rPr>
                          <w:rFonts w:ascii="Arial" w:hAnsi="Arial" w:cs="Arial"/>
                          <w:bCs/>
                          <w:sz w:val="20"/>
                          <w:szCs w:val="20"/>
                          <w:lang w:val="en-GB"/>
                        </w:rPr>
                        <w:t>ATC</w:t>
                      </w:r>
                      <w:r w:rsidRPr="00FB3BFD">
                        <w:rPr>
                          <w:rFonts w:ascii="Arial" w:hAnsi="Arial" w:cs="Arial"/>
                          <w:bCs/>
                          <w:sz w:val="20"/>
                          <w:szCs w:val="20"/>
                          <w:lang w:val="en-GB"/>
                        </w:rPr>
                        <w:t xml:space="preserve"> under fair and transparent conditions in line with the underlying methodology. Only temporarily, until the adoption of the underlying methodology, those market participants who are, within each national electricity market, allowed to conduct cross</w:t>
                      </w:r>
                      <w:r>
                        <w:rPr>
                          <w:rFonts w:ascii="Arial" w:hAnsi="Arial" w:cs="Arial"/>
                          <w:bCs/>
                          <w:sz w:val="20"/>
                          <w:szCs w:val="20"/>
                          <w:lang w:val="en-GB"/>
                        </w:rPr>
                        <w:t>-</w:t>
                      </w:r>
                      <w:r w:rsidRPr="00FB3BFD">
                        <w:rPr>
                          <w:rFonts w:ascii="Arial" w:hAnsi="Arial" w:cs="Arial"/>
                          <w:bCs/>
                          <w:sz w:val="20"/>
                          <w:szCs w:val="20"/>
                          <w:lang w:val="en-GB"/>
                        </w:rPr>
                        <w:t xml:space="preserve">border trade will be </w:t>
                      </w:r>
                      <w:r>
                        <w:rPr>
                          <w:rFonts w:ascii="Arial" w:hAnsi="Arial" w:cs="Arial"/>
                          <w:bCs/>
                          <w:sz w:val="20"/>
                          <w:szCs w:val="20"/>
                          <w:lang w:val="en-GB"/>
                        </w:rPr>
                        <w:t>given</w:t>
                      </w:r>
                      <w:r w:rsidRPr="00FB3BFD">
                        <w:rPr>
                          <w:rFonts w:ascii="Arial" w:hAnsi="Arial" w:cs="Arial"/>
                          <w:bCs/>
                          <w:sz w:val="20"/>
                          <w:szCs w:val="20"/>
                          <w:lang w:val="en-GB"/>
                        </w:rPr>
                        <w:t xml:space="preserve"> </w:t>
                      </w:r>
                      <w:r>
                        <w:rPr>
                          <w:rFonts w:ascii="Arial" w:hAnsi="Arial" w:cs="Arial"/>
                          <w:bCs/>
                          <w:sz w:val="20"/>
                          <w:szCs w:val="20"/>
                          <w:lang w:val="en-GB"/>
                        </w:rPr>
                        <w:t>access</w:t>
                      </w:r>
                      <w:r w:rsidRPr="00FB3BFD">
                        <w:rPr>
                          <w:rFonts w:ascii="Arial" w:hAnsi="Arial" w:cs="Arial"/>
                          <w:bCs/>
                          <w:sz w:val="20"/>
                          <w:szCs w:val="20"/>
                          <w:lang w:val="en-GB"/>
                        </w:rPr>
                        <w:t xml:space="preserve"> to utilise </w:t>
                      </w:r>
                      <w:r>
                        <w:rPr>
                          <w:rFonts w:ascii="Arial" w:hAnsi="Arial" w:cs="Arial"/>
                          <w:bCs/>
                          <w:sz w:val="20"/>
                          <w:szCs w:val="20"/>
                          <w:lang w:val="en-GB"/>
                        </w:rPr>
                        <w:t>ATC</w:t>
                      </w:r>
                      <w:r w:rsidRPr="00FB3BFD">
                        <w:rPr>
                          <w:rFonts w:ascii="Arial" w:hAnsi="Arial" w:cs="Arial"/>
                          <w:bCs/>
                          <w:sz w:val="20"/>
                          <w:szCs w:val="20"/>
                          <w:lang w:val="en-GB"/>
                        </w:rPr>
                        <w:t>.</w:t>
                      </w:r>
                      <w:r>
                        <w:rPr>
                          <w:rFonts w:ascii="Arial" w:hAnsi="Arial" w:cs="Arial"/>
                          <w:bCs/>
                          <w:sz w:val="20"/>
                          <w:szCs w:val="20"/>
                          <w:lang w:val="en-GB"/>
                        </w:rPr>
                        <w:t xml:space="preserve"> </w:t>
                      </w:r>
                    </w:p>
                  </w:txbxContent>
                </v:textbox>
                <w10:anchorlock/>
              </v:shape>
            </w:pict>
          </mc:Fallback>
        </mc:AlternateContent>
      </w:r>
    </w:p>
    <w:p w14:paraId="3848779E" w14:textId="49AC7963" w:rsidR="00CE7FD9" w:rsidRPr="00654753" w:rsidRDefault="00C43280" w:rsidP="00CE7FD9">
      <w:pPr>
        <w:rPr>
          <w:rFonts w:eastAsia="Calibri"/>
          <w:szCs w:val="22"/>
        </w:rPr>
      </w:pPr>
      <w:r w:rsidRPr="006273BD">
        <w:rPr>
          <w:rFonts w:eastAsia="Calibri"/>
          <w:noProof/>
          <w:lang w:eastAsia="en-GB"/>
        </w:rPr>
        <w:lastRenderedPageBreak/>
        <mc:AlternateContent>
          <mc:Choice Requires="wps">
            <w:drawing>
              <wp:inline distT="0" distB="0" distL="0" distR="0" wp14:anchorId="78B99C42" wp14:editId="73790565">
                <wp:extent cx="6112800" cy="3689498"/>
                <wp:effectExtent l="0" t="0" r="21590" b="25400"/>
                <wp:docPr id="26" name="Text Box 26"/>
                <wp:cNvGraphicFramePr/>
                <a:graphic xmlns:a="http://schemas.openxmlformats.org/drawingml/2006/main">
                  <a:graphicData uri="http://schemas.microsoft.com/office/word/2010/wordprocessingShape">
                    <wps:wsp>
                      <wps:cNvSpPr txBox="1"/>
                      <wps:spPr>
                        <a:xfrm>
                          <a:off x="0" y="0"/>
                          <a:ext cx="6112800" cy="3689498"/>
                        </a:xfrm>
                        <a:prstGeom prst="rect">
                          <a:avLst/>
                        </a:prstGeom>
                        <a:solidFill>
                          <a:srgbClr val="9BBB59">
                            <a:lumMod val="20000"/>
                            <a:lumOff val="80000"/>
                          </a:srgbClr>
                        </a:solidFill>
                        <a:ln w="6350">
                          <a:solidFill>
                            <a:prstClr val="black"/>
                          </a:solidFill>
                        </a:ln>
                        <a:effectLst/>
                      </wps:spPr>
                      <wps:txbx>
                        <w:txbxContent>
                          <w:p w14:paraId="5ED4C87D" w14:textId="27BCA2D5" w:rsidR="005276A4" w:rsidRPr="00865FCB" w:rsidRDefault="005276A4" w:rsidP="00C43280">
                            <w:pPr>
                              <w:jc w:val="left"/>
                              <w:rPr>
                                <w:bCs/>
                              </w:rPr>
                            </w:pPr>
                            <w:r w:rsidRPr="00865FCB">
                              <w:rPr>
                                <w:bCs/>
                              </w:rPr>
                              <w:t xml:space="preserve">Guidelines </w:t>
                            </w:r>
                            <w:r>
                              <w:rPr>
                                <w:bCs/>
                              </w:rPr>
                              <w:t>5.3.2:</w:t>
                            </w:r>
                            <w:r w:rsidRPr="00865FCB">
                              <w:rPr>
                                <w:bCs/>
                              </w:rPr>
                              <w:t xml:space="preserve"> </w:t>
                            </w:r>
                            <w:r w:rsidRPr="00C43280">
                              <w:rPr>
                                <w:bCs/>
                              </w:rPr>
                              <w:t>Transmission Capacity Allocation</w:t>
                            </w:r>
                            <w:r>
                              <w:rPr>
                                <w:bCs/>
                              </w:rPr>
                              <w:t xml:space="preserve"> – The Methodology for Allocation </w:t>
                            </w:r>
                          </w:p>
                          <w:p w14:paraId="0A957E45" w14:textId="1C19DADF"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FB3BFD">
                              <w:rPr>
                                <w:rFonts w:ascii="Arial" w:hAnsi="Arial" w:cs="Arial"/>
                                <w:bCs/>
                                <w:sz w:val="20"/>
                                <w:szCs w:val="20"/>
                                <w:lang w:val="en-GB"/>
                              </w:rPr>
                              <w:t xml:space="preserve">In order to maximise the economic welfare of all market participants, the cross-border transmission capacity </w:t>
                            </w:r>
                            <w:r>
                              <w:rPr>
                                <w:rFonts w:ascii="Arial" w:hAnsi="Arial" w:cs="Arial"/>
                                <w:bCs/>
                                <w:sz w:val="20"/>
                                <w:szCs w:val="20"/>
                                <w:lang w:val="en-GB"/>
                              </w:rPr>
                              <w:t xml:space="preserve">(ATC) </w:t>
                            </w:r>
                            <w:r w:rsidRPr="00FB3BFD">
                              <w:rPr>
                                <w:rFonts w:ascii="Arial" w:hAnsi="Arial" w:cs="Arial"/>
                                <w:bCs/>
                                <w:sz w:val="20"/>
                                <w:szCs w:val="20"/>
                                <w:lang w:val="en-GB"/>
                              </w:rPr>
                              <w:t xml:space="preserve">will be allocated </w:t>
                            </w:r>
                            <w:r>
                              <w:rPr>
                                <w:rFonts w:ascii="Arial" w:hAnsi="Arial" w:cs="Arial"/>
                                <w:bCs/>
                                <w:sz w:val="20"/>
                                <w:szCs w:val="20"/>
                                <w:lang w:val="en-GB"/>
                              </w:rPr>
                              <w:t xml:space="preserve">by </w:t>
                            </w:r>
                            <w:r w:rsidRPr="00FB3BFD">
                              <w:rPr>
                                <w:rFonts w:ascii="Arial" w:hAnsi="Arial" w:cs="Arial"/>
                                <w:bCs/>
                                <w:sz w:val="20"/>
                                <w:szCs w:val="20"/>
                                <w:lang w:val="en-GB"/>
                              </w:rPr>
                              <w:t xml:space="preserve">using economically efficient methodology that maximises the utilisation of the capacity. </w:t>
                            </w:r>
                          </w:p>
                          <w:p w14:paraId="108F8473"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FB3BFD">
                              <w:rPr>
                                <w:rFonts w:ascii="Arial" w:hAnsi="Arial" w:cs="Arial"/>
                                <w:bCs/>
                                <w:sz w:val="20"/>
                                <w:szCs w:val="20"/>
                                <w:lang w:val="en-GB"/>
                              </w:rPr>
                              <w:t>The</w:t>
                            </w:r>
                            <w:r>
                              <w:rPr>
                                <w:rFonts w:ascii="Arial" w:hAnsi="Arial" w:cs="Arial"/>
                                <w:bCs/>
                                <w:sz w:val="20"/>
                                <w:szCs w:val="20"/>
                                <w:lang w:val="en-GB"/>
                              </w:rPr>
                              <w:t xml:space="preserve"> underlying methodology will</w:t>
                            </w:r>
                            <w:r w:rsidRPr="00FB3BFD">
                              <w:rPr>
                                <w:rFonts w:ascii="Arial" w:hAnsi="Arial" w:cs="Arial"/>
                                <w:bCs/>
                                <w:sz w:val="20"/>
                                <w:szCs w:val="20"/>
                                <w:lang w:val="en-GB"/>
                              </w:rPr>
                              <w:t xml:space="preserve"> include explicit and implicit capacity allocation performed in auctions</w:t>
                            </w:r>
                            <w:r>
                              <w:rPr>
                                <w:rFonts w:ascii="Arial" w:hAnsi="Arial" w:cs="Arial"/>
                                <w:bCs/>
                                <w:sz w:val="20"/>
                                <w:szCs w:val="20"/>
                                <w:lang w:val="en-GB"/>
                              </w:rPr>
                              <w:t>:</w:t>
                            </w:r>
                            <w:r w:rsidRPr="00FB3BFD">
                              <w:rPr>
                                <w:rFonts w:ascii="Arial" w:hAnsi="Arial" w:cs="Arial"/>
                                <w:bCs/>
                                <w:sz w:val="20"/>
                                <w:szCs w:val="20"/>
                                <w:lang w:val="en-GB"/>
                              </w:rPr>
                              <w:t xml:space="preserve"> </w:t>
                            </w:r>
                          </w:p>
                          <w:p w14:paraId="08FB1699" w14:textId="3784731A"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FB3BFD">
                              <w:rPr>
                                <w:rFonts w:ascii="Arial" w:hAnsi="Arial" w:cs="Arial"/>
                                <w:bCs/>
                                <w:sz w:val="20"/>
                                <w:szCs w:val="20"/>
                                <w:lang w:val="en-GB"/>
                              </w:rPr>
                              <w:t>Explicit capacity allocation</w:t>
                            </w:r>
                            <w:r>
                              <w:rPr>
                                <w:rFonts w:ascii="Arial" w:hAnsi="Arial" w:cs="Arial"/>
                                <w:bCs/>
                                <w:sz w:val="20"/>
                                <w:szCs w:val="20"/>
                                <w:lang w:val="en-GB"/>
                              </w:rPr>
                              <w:t>,</w:t>
                            </w:r>
                            <w:r w:rsidRPr="00FB3BFD">
                              <w:rPr>
                                <w:rFonts w:ascii="Arial" w:hAnsi="Arial" w:cs="Arial"/>
                                <w:bCs/>
                                <w:sz w:val="20"/>
                                <w:szCs w:val="20"/>
                                <w:lang w:val="en-GB"/>
                              </w:rPr>
                              <w:t xml:space="preserve"> based on type of transaction, will be performed in a multi-tier approach starting with firm bilateral transactions followed by non-firm bilateral transactions, and continuing with the transactions in the Forward Physical Market</w:t>
                            </w:r>
                            <w:r>
                              <w:rPr>
                                <w:rFonts w:ascii="Arial" w:hAnsi="Arial" w:cs="Arial"/>
                                <w:bCs/>
                                <w:sz w:val="20"/>
                                <w:szCs w:val="20"/>
                                <w:lang w:val="en-GB"/>
                              </w:rPr>
                              <w:t>;</w:t>
                            </w:r>
                            <w:r w:rsidRPr="00FB3BFD">
                              <w:rPr>
                                <w:rFonts w:ascii="Arial" w:hAnsi="Arial" w:cs="Arial"/>
                                <w:bCs/>
                                <w:sz w:val="20"/>
                                <w:szCs w:val="20"/>
                                <w:lang w:val="en-GB"/>
                              </w:rPr>
                              <w:t xml:space="preserve"> </w:t>
                            </w:r>
                            <w:r>
                              <w:rPr>
                                <w:rFonts w:ascii="Arial" w:hAnsi="Arial" w:cs="Arial"/>
                                <w:bCs/>
                                <w:sz w:val="20"/>
                                <w:szCs w:val="20"/>
                                <w:lang w:val="en-GB"/>
                              </w:rPr>
                              <w:t xml:space="preserve">and </w:t>
                            </w:r>
                          </w:p>
                          <w:p w14:paraId="0335321D" w14:textId="1706B719"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FB3BFD">
                              <w:rPr>
                                <w:rFonts w:ascii="Arial" w:hAnsi="Arial" w:cs="Arial"/>
                                <w:bCs/>
                                <w:sz w:val="20"/>
                                <w:szCs w:val="20"/>
                                <w:lang w:val="en-GB"/>
                              </w:rPr>
                              <w:t xml:space="preserve">Implicit capacity allocation will be performed for the transaction in the Day-Ahead Market and the Intraday </w:t>
                            </w:r>
                            <w:r>
                              <w:rPr>
                                <w:rFonts w:ascii="Arial" w:hAnsi="Arial" w:cs="Arial"/>
                                <w:bCs/>
                                <w:sz w:val="20"/>
                                <w:szCs w:val="20"/>
                                <w:lang w:val="en-GB"/>
                              </w:rPr>
                              <w:t>M</w:t>
                            </w:r>
                            <w:r w:rsidRPr="00FB3BFD">
                              <w:rPr>
                                <w:rFonts w:ascii="Arial" w:hAnsi="Arial" w:cs="Arial"/>
                                <w:bCs/>
                                <w:sz w:val="20"/>
                                <w:szCs w:val="20"/>
                                <w:lang w:val="en-GB"/>
                              </w:rPr>
                              <w:t xml:space="preserve">arket. </w:t>
                            </w:r>
                          </w:p>
                          <w:p w14:paraId="716FE1C4" w14:textId="1E56CF41"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FB3BFD">
                              <w:rPr>
                                <w:rFonts w:ascii="Arial" w:hAnsi="Arial" w:cs="Arial"/>
                                <w:bCs/>
                                <w:sz w:val="20"/>
                                <w:szCs w:val="20"/>
                                <w:lang w:val="en-GB"/>
                              </w:rPr>
                              <w:t>Preference will be given to allocation of the capacity for trade in the Day-Ahead Market via implicit auctions under the algorithm which will determine both the hourly prices and the amount of capacity allocated to each trade.</w:t>
                            </w:r>
                            <w:r>
                              <w:rPr>
                                <w:rFonts w:ascii="Arial" w:hAnsi="Arial" w:cs="Arial"/>
                                <w:bCs/>
                                <w:sz w:val="20"/>
                                <w:szCs w:val="20"/>
                                <w:lang w:val="en-GB"/>
                              </w:rPr>
                              <w:t xml:space="preserve"> </w:t>
                            </w:r>
                          </w:p>
                          <w:p w14:paraId="2E92EC4A" w14:textId="219569F8" w:rsidR="005276A4" w:rsidRPr="00AD06F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 xml:space="preserve">The </w:t>
                            </w:r>
                            <w:r>
                              <w:rPr>
                                <w:rFonts w:ascii="Arial" w:hAnsi="Arial" w:cs="Arial"/>
                                <w:bCs/>
                                <w:sz w:val="20"/>
                                <w:szCs w:val="20"/>
                                <w:lang w:val="en-GB"/>
                              </w:rPr>
                              <w:t>underlying methodology</w:t>
                            </w:r>
                            <w:r w:rsidRPr="00AD06FF">
                              <w:rPr>
                                <w:rFonts w:ascii="Arial" w:hAnsi="Arial" w:cs="Arial"/>
                                <w:bCs/>
                                <w:sz w:val="20"/>
                                <w:szCs w:val="20"/>
                                <w:lang w:val="en-GB"/>
                              </w:rPr>
                              <w:t xml:space="preserve"> will </w:t>
                            </w:r>
                            <w:r>
                              <w:rPr>
                                <w:rFonts w:ascii="Arial" w:hAnsi="Arial" w:cs="Arial"/>
                                <w:bCs/>
                                <w:sz w:val="20"/>
                                <w:szCs w:val="20"/>
                                <w:lang w:val="en-GB"/>
                              </w:rPr>
                              <w:t xml:space="preserve">comprise </w:t>
                            </w:r>
                            <w:r w:rsidRPr="00AD06FF">
                              <w:rPr>
                                <w:rFonts w:ascii="Arial" w:hAnsi="Arial" w:cs="Arial"/>
                                <w:bCs/>
                                <w:sz w:val="20"/>
                                <w:szCs w:val="20"/>
                                <w:lang w:val="en-GB"/>
                              </w:rPr>
                              <w:t>the rules for cost allocation and cost recovery by capacity (network) service providers.</w:t>
                            </w:r>
                            <w:r>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B99C42" id="Text Box 26" o:spid="_x0000_s1052" type="#_x0000_t202" style="width:481.3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" fillcolor="#ebf1de" strokeweight=".5pt">
                <v:textbox>
                  <w:txbxContent>
                    <w:p w14:paraId="5ED4C87D" w14:textId="27BCA2D5" w:rsidR="005276A4" w:rsidRPr="00865FCB" w:rsidRDefault="005276A4" w:rsidP="00C43280">
                      <w:pPr>
                        <w:jc w:val="left"/>
                        <w:rPr>
                          <w:bCs/>
                        </w:rPr>
                      </w:pPr>
                      <w:r w:rsidRPr="00865FCB">
                        <w:rPr>
                          <w:bCs/>
                        </w:rPr>
                        <w:t xml:space="preserve">Guidelines </w:t>
                      </w:r>
                      <w:r>
                        <w:rPr>
                          <w:bCs/>
                        </w:rPr>
                        <w:t>5.3.2:</w:t>
                      </w:r>
                      <w:r w:rsidRPr="00865FCB">
                        <w:rPr>
                          <w:bCs/>
                        </w:rPr>
                        <w:t xml:space="preserve"> </w:t>
                      </w:r>
                      <w:r w:rsidRPr="00C43280">
                        <w:rPr>
                          <w:bCs/>
                        </w:rPr>
                        <w:t>Transmission Capacity Allocation</w:t>
                      </w:r>
                      <w:r>
                        <w:rPr>
                          <w:bCs/>
                        </w:rPr>
                        <w:t xml:space="preserve"> – The Methodology for Allocation </w:t>
                      </w:r>
                    </w:p>
                    <w:p w14:paraId="0A957E45" w14:textId="1C19DADF"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FB3BFD">
                        <w:rPr>
                          <w:rFonts w:ascii="Arial" w:hAnsi="Arial" w:cs="Arial"/>
                          <w:bCs/>
                          <w:sz w:val="20"/>
                          <w:szCs w:val="20"/>
                          <w:lang w:val="en-GB"/>
                        </w:rPr>
                        <w:t xml:space="preserve">In order to maximise the economic welfare of all market participants, the cross-border transmission capacity </w:t>
                      </w:r>
                      <w:r>
                        <w:rPr>
                          <w:rFonts w:ascii="Arial" w:hAnsi="Arial" w:cs="Arial"/>
                          <w:bCs/>
                          <w:sz w:val="20"/>
                          <w:szCs w:val="20"/>
                          <w:lang w:val="en-GB"/>
                        </w:rPr>
                        <w:t xml:space="preserve">(ATC) </w:t>
                      </w:r>
                      <w:r w:rsidRPr="00FB3BFD">
                        <w:rPr>
                          <w:rFonts w:ascii="Arial" w:hAnsi="Arial" w:cs="Arial"/>
                          <w:bCs/>
                          <w:sz w:val="20"/>
                          <w:szCs w:val="20"/>
                          <w:lang w:val="en-GB"/>
                        </w:rPr>
                        <w:t xml:space="preserve">will be allocated </w:t>
                      </w:r>
                      <w:r>
                        <w:rPr>
                          <w:rFonts w:ascii="Arial" w:hAnsi="Arial" w:cs="Arial"/>
                          <w:bCs/>
                          <w:sz w:val="20"/>
                          <w:szCs w:val="20"/>
                          <w:lang w:val="en-GB"/>
                        </w:rPr>
                        <w:t xml:space="preserve">by </w:t>
                      </w:r>
                      <w:r w:rsidRPr="00FB3BFD">
                        <w:rPr>
                          <w:rFonts w:ascii="Arial" w:hAnsi="Arial" w:cs="Arial"/>
                          <w:bCs/>
                          <w:sz w:val="20"/>
                          <w:szCs w:val="20"/>
                          <w:lang w:val="en-GB"/>
                        </w:rPr>
                        <w:t xml:space="preserve">using economically efficient methodology that maximises the utilisation of the capacity. </w:t>
                      </w:r>
                    </w:p>
                    <w:p w14:paraId="108F8473" w14:textId="77777777"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FB3BFD">
                        <w:rPr>
                          <w:rFonts w:ascii="Arial" w:hAnsi="Arial" w:cs="Arial"/>
                          <w:bCs/>
                          <w:sz w:val="20"/>
                          <w:szCs w:val="20"/>
                          <w:lang w:val="en-GB"/>
                        </w:rPr>
                        <w:t>The</w:t>
                      </w:r>
                      <w:r>
                        <w:rPr>
                          <w:rFonts w:ascii="Arial" w:hAnsi="Arial" w:cs="Arial"/>
                          <w:bCs/>
                          <w:sz w:val="20"/>
                          <w:szCs w:val="20"/>
                          <w:lang w:val="en-GB"/>
                        </w:rPr>
                        <w:t xml:space="preserve"> underlying methodology will</w:t>
                      </w:r>
                      <w:r w:rsidRPr="00FB3BFD">
                        <w:rPr>
                          <w:rFonts w:ascii="Arial" w:hAnsi="Arial" w:cs="Arial"/>
                          <w:bCs/>
                          <w:sz w:val="20"/>
                          <w:szCs w:val="20"/>
                          <w:lang w:val="en-GB"/>
                        </w:rPr>
                        <w:t xml:space="preserve"> include explicit and implicit capacity allocation performed in auctions</w:t>
                      </w:r>
                      <w:r>
                        <w:rPr>
                          <w:rFonts w:ascii="Arial" w:hAnsi="Arial" w:cs="Arial"/>
                          <w:bCs/>
                          <w:sz w:val="20"/>
                          <w:szCs w:val="20"/>
                          <w:lang w:val="en-GB"/>
                        </w:rPr>
                        <w:t>:</w:t>
                      </w:r>
                      <w:r w:rsidRPr="00FB3BFD">
                        <w:rPr>
                          <w:rFonts w:ascii="Arial" w:hAnsi="Arial" w:cs="Arial"/>
                          <w:bCs/>
                          <w:sz w:val="20"/>
                          <w:szCs w:val="20"/>
                          <w:lang w:val="en-GB"/>
                        </w:rPr>
                        <w:t xml:space="preserve"> </w:t>
                      </w:r>
                    </w:p>
                    <w:p w14:paraId="08FB1699" w14:textId="3784731A"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FB3BFD">
                        <w:rPr>
                          <w:rFonts w:ascii="Arial" w:hAnsi="Arial" w:cs="Arial"/>
                          <w:bCs/>
                          <w:sz w:val="20"/>
                          <w:szCs w:val="20"/>
                          <w:lang w:val="en-GB"/>
                        </w:rPr>
                        <w:t>Explicit capacity allocation</w:t>
                      </w:r>
                      <w:r>
                        <w:rPr>
                          <w:rFonts w:ascii="Arial" w:hAnsi="Arial" w:cs="Arial"/>
                          <w:bCs/>
                          <w:sz w:val="20"/>
                          <w:szCs w:val="20"/>
                          <w:lang w:val="en-GB"/>
                        </w:rPr>
                        <w:t>,</w:t>
                      </w:r>
                      <w:r w:rsidRPr="00FB3BFD">
                        <w:rPr>
                          <w:rFonts w:ascii="Arial" w:hAnsi="Arial" w:cs="Arial"/>
                          <w:bCs/>
                          <w:sz w:val="20"/>
                          <w:szCs w:val="20"/>
                          <w:lang w:val="en-GB"/>
                        </w:rPr>
                        <w:t xml:space="preserve"> based on type of transaction, will be performed in a multi-tier approach starting with firm bilateral transactions followed by non-firm bilateral transactions, and continuing with the transactions in the Forward Physical Market</w:t>
                      </w:r>
                      <w:r>
                        <w:rPr>
                          <w:rFonts w:ascii="Arial" w:hAnsi="Arial" w:cs="Arial"/>
                          <w:bCs/>
                          <w:sz w:val="20"/>
                          <w:szCs w:val="20"/>
                          <w:lang w:val="en-GB"/>
                        </w:rPr>
                        <w:t>;</w:t>
                      </w:r>
                      <w:r w:rsidRPr="00FB3BFD">
                        <w:rPr>
                          <w:rFonts w:ascii="Arial" w:hAnsi="Arial" w:cs="Arial"/>
                          <w:bCs/>
                          <w:sz w:val="20"/>
                          <w:szCs w:val="20"/>
                          <w:lang w:val="en-GB"/>
                        </w:rPr>
                        <w:t xml:space="preserve"> </w:t>
                      </w:r>
                      <w:r>
                        <w:rPr>
                          <w:rFonts w:ascii="Arial" w:hAnsi="Arial" w:cs="Arial"/>
                          <w:bCs/>
                          <w:sz w:val="20"/>
                          <w:szCs w:val="20"/>
                          <w:lang w:val="en-GB"/>
                        </w:rPr>
                        <w:t xml:space="preserve">and </w:t>
                      </w:r>
                    </w:p>
                    <w:p w14:paraId="0335321D" w14:textId="1706B719"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sidRPr="00FB3BFD">
                        <w:rPr>
                          <w:rFonts w:ascii="Arial" w:hAnsi="Arial" w:cs="Arial"/>
                          <w:bCs/>
                          <w:sz w:val="20"/>
                          <w:szCs w:val="20"/>
                          <w:lang w:val="en-GB"/>
                        </w:rPr>
                        <w:t xml:space="preserve">Implicit capacity allocation will be performed for the transaction in the Day-Ahead Market and the Intraday </w:t>
                      </w:r>
                      <w:r>
                        <w:rPr>
                          <w:rFonts w:ascii="Arial" w:hAnsi="Arial" w:cs="Arial"/>
                          <w:bCs/>
                          <w:sz w:val="20"/>
                          <w:szCs w:val="20"/>
                          <w:lang w:val="en-GB"/>
                        </w:rPr>
                        <w:t>M</w:t>
                      </w:r>
                      <w:r w:rsidRPr="00FB3BFD">
                        <w:rPr>
                          <w:rFonts w:ascii="Arial" w:hAnsi="Arial" w:cs="Arial"/>
                          <w:bCs/>
                          <w:sz w:val="20"/>
                          <w:szCs w:val="20"/>
                          <w:lang w:val="en-GB"/>
                        </w:rPr>
                        <w:t xml:space="preserve">arket. </w:t>
                      </w:r>
                    </w:p>
                    <w:p w14:paraId="716FE1C4" w14:textId="1E56CF41"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FB3BFD">
                        <w:rPr>
                          <w:rFonts w:ascii="Arial" w:hAnsi="Arial" w:cs="Arial"/>
                          <w:bCs/>
                          <w:sz w:val="20"/>
                          <w:szCs w:val="20"/>
                          <w:lang w:val="en-GB"/>
                        </w:rPr>
                        <w:t>Preference will be given to allocation of the capacity for trade in the Day-Ahead Market via implicit auctions under the algorithm which will determine both the hourly prices and the amount of capacity allocated to each trade.</w:t>
                      </w:r>
                      <w:r>
                        <w:rPr>
                          <w:rFonts w:ascii="Arial" w:hAnsi="Arial" w:cs="Arial"/>
                          <w:bCs/>
                          <w:sz w:val="20"/>
                          <w:szCs w:val="20"/>
                          <w:lang w:val="en-GB"/>
                        </w:rPr>
                        <w:t xml:space="preserve"> </w:t>
                      </w:r>
                    </w:p>
                    <w:p w14:paraId="2E92EC4A" w14:textId="219569F8" w:rsidR="005276A4" w:rsidRPr="00AD06F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 xml:space="preserve">The </w:t>
                      </w:r>
                      <w:r>
                        <w:rPr>
                          <w:rFonts w:ascii="Arial" w:hAnsi="Arial" w:cs="Arial"/>
                          <w:bCs/>
                          <w:sz w:val="20"/>
                          <w:szCs w:val="20"/>
                          <w:lang w:val="en-GB"/>
                        </w:rPr>
                        <w:t>underlying methodology</w:t>
                      </w:r>
                      <w:r w:rsidRPr="00AD06FF">
                        <w:rPr>
                          <w:rFonts w:ascii="Arial" w:hAnsi="Arial" w:cs="Arial"/>
                          <w:bCs/>
                          <w:sz w:val="20"/>
                          <w:szCs w:val="20"/>
                          <w:lang w:val="en-GB"/>
                        </w:rPr>
                        <w:t xml:space="preserve"> will </w:t>
                      </w:r>
                      <w:r>
                        <w:rPr>
                          <w:rFonts w:ascii="Arial" w:hAnsi="Arial" w:cs="Arial"/>
                          <w:bCs/>
                          <w:sz w:val="20"/>
                          <w:szCs w:val="20"/>
                          <w:lang w:val="en-GB"/>
                        </w:rPr>
                        <w:t xml:space="preserve">comprise </w:t>
                      </w:r>
                      <w:r w:rsidRPr="00AD06FF">
                        <w:rPr>
                          <w:rFonts w:ascii="Arial" w:hAnsi="Arial" w:cs="Arial"/>
                          <w:bCs/>
                          <w:sz w:val="20"/>
                          <w:szCs w:val="20"/>
                          <w:lang w:val="en-GB"/>
                        </w:rPr>
                        <w:t>the rules for cost allocation and cost recovery by capacity (network) service providers.</w:t>
                      </w:r>
                      <w:r>
                        <w:rPr>
                          <w:rFonts w:ascii="Arial" w:hAnsi="Arial" w:cs="Arial"/>
                          <w:bCs/>
                          <w:sz w:val="20"/>
                          <w:szCs w:val="20"/>
                          <w:lang w:val="en-GB"/>
                        </w:rPr>
                        <w:t xml:space="preserve"> </w:t>
                      </w:r>
                    </w:p>
                  </w:txbxContent>
                </v:textbox>
                <w10:anchorlock/>
              </v:shape>
            </w:pict>
          </mc:Fallback>
        </mc:AlternateContent>
      </w:r>
    </w:p>
    <w:p w14:paraId="6B99842A" w14:textId="71B35D6D" w:rsidR="00C43280" w:rsidRPr="00654753" w:rsidRDefault="00FB3BFD" w:rsidP="00CE7FD9">
      <w:pPr>
        <w:rPr>
          <w:rFonts w:eastAsia="Calibri"/>
          <w:szCs w:val="22"/>
        </w:rPr>
      </w:pPr>
      <w:r w:rsidRPr="006273BD">
        <w:rPr>
          <w:rFonts w:eastAsia="Calibri"/>
          <w:noProof/>
          <w:lang w:eastAsia="en-GB"/>
        </w:rPr>
        <mc:AlternateContent>
          <mc:Choice Requires="wps">
            <w:drawing>
              <wp:inline distT="0" distB="0" distL="0" distR="0" wp14:anchorId="71AC0988" wp14:editId="141A5C2A">
                <wp:extent cx="6112800" cy="3019647"/>
                <wp:effectExtent l="0" t="0" r="21590" b="28575"/>
                <wp:docPr id="30" name="Text Box 30"/>
                <wp:cNvGraphicFramePr/>
                <a:graphic xmlns:a="http://schemas.openxmlformats.org/drawingml/2006/main">
                  <a:graphicData uri="http://schemas.microsoft.com/office/word/2010/wordprocessingShape">
                    <wps:wsp>
                      <wps:cNvSpPr txBox="1"/>
                      <wps:spPr>
                        <a:xfrm>
                          <a:off x="0" y="0"/>
                          <a:ext cx="6112800" cy="3019647"/>
                        </a:xfrm>
                        <a:prstGeom prst="rect">
                          <a:avLst/>
                        </a:prstGeom>
                        <a:solidFill>
                          <a:srgbClr val="9BBB59">
                            <a:lumMod val="20000"/>
                            <a:lumOff val="80000"/>
                          </a:srgbClr>
                        </a:solidFill>
                        <a:ln w="6350">
                          <a:solidFill>
                            <a:prstClr val="black"/>
                          </a:solidFill>
                        </a:ln>
                        <a:effectLst/>
                      </wps:spPr>
                      <wps:txbx>
                        <w:txbxContent>
                          <w:p w14:paraId="5BE2D97F" w14:textId="0359A31E" w:rsidR="005276A4" w:rsidRPr="00865FCB" w:rsidRDefault="005276A4" w:rsidP="00FB3BFD">
                            <w:pPr>
                              <w:jc w:val="left"/>
                              <w:rPr>
                                <w:bCs/>
                              </w:rPr>
                            </w:pPr>
                            <w:r w:rsidRPr="00865FCB">
                              <w:rPr>
                                <w:bCs/>
                              </w:rPr>
                              <w:t xml:space="preserve">Guidelines </w:t>
                            </w:r>
                            <w:r>
                              <w:rPr>
                                <w:bCs/>
                              </w:rPr>
                              <w:t>5.3.3:</w:t>
                            </w:r>
                            <w:r w:rsidRPr="00865FCB">
                              <w:rPr>
                                <w:bCs/>
                              </w:rPr>
                              <w:t xml:space="preserve"> </w:t>
                            </w:r>
                            <w:r w:rsidRPr="00C43280">
                              <w:rPr>
                                <w:bCs/>
                              </w:rPr>
                              <w:t>Transmission Capacity Allocation</w:t>
                            </w:r>
                            <w:r>
                              <w:rPr>
                                <w:bCs/>
                              </w:rPr>
                              <w:t xml:space="preserve"> – Allocation in the Market Timeframes </w:t>
                            </w:r>
                          </w:p>
                          <w:p w14:paraId="79937E6D" w14:textId="3C5EC489"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 xml:space="preserve">The cross-border transmission capacity will be allocated separately for each market </w:t>
                            </w:r>
                            <w:r>
                              <w:rPr>
                                <w:rFonts w:ascii="Arial" w:hAnsi="Arial" w:cs="Arial"/>
                                <w:bCs/>
                                <w:sz w:val="20"/>
                                <w:szCs w:val="20"/>
                                <w:lang w:val="en-GB"/>
                              </w:rPr>
                              <w:t xml:space="preserve">and market </w:t>
                            </w:r>
                            <w:r w:rsidRPr="00AD06FF">
                              <w:rPr>
                                <w:rFonts w:ascii="Arial" w:hAnsi="Arial" w:cs="Arial"/>
                                <w:bCs/>
                                <w:sz w:val="20"/>
                                <w:szCs w:val="20"/>
                                <w:lang w:val="en-GB"/>
                              </w:rPr>
                              <w:t xml:space="preserve">timeframe: </w:t>
                            </w:r>
                          </w:p>
                          <w:p w14:paraId="4EE7BC84" w14:textId="1D7427A7"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In the Bilateral Market timeframe</w:t>
                            </w:r>
                            <w:r w:rsidRPr="00FB3BFD">
                              <w:t xml:space="preserve"> </w:t>
                            </w:r>
                            <w:r w:rsidRPr="00FB3BFD">
                              <w:rPr>
                                <w:rFonts w:ascii="Arial" w:hAnsi="Arial" w:cs="Arial"/>
                                <w:bCs/>
                                <w:sz w:val="20"/>
                                <w:szCs w:val="20"/>
                                <w:lang w:val="en-GB"/>
                              </w:rPr>
                              <w:t>by using explicit allocation methods (allocation of electricity and capacity separately)</w:t>
                            </w:r>
                            <w:r>
                              <w:rPr>
                                <w:rFonts w:ascii="Arial" w:hAnsi="Arial" w:cs="Arial"/>
                                <w:bCs/>
                                <w:sz w:val="20"/>
                                <w:szCs w:val="20"/>
                                <w:lang w:val="en-GB"/>
                              </w:rPr>
                              <w:t xml:space="preserve"> based on auctions, </w:t>
                            </w:r>
                          </w:p>
                          <w:p w14:paraId="2A661B80" w14:textId="305AB02B"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I</w:t>
                            </w:r>
                            <w:r w:rsidRPr="00AD06FF">
                              <w:rPr>
                                <w:rFonts w:ascii="Arial" w:hAnsi="Arial" w:cs="Arial"/>
                                <w:bCs/>
                                <w:sz w:val="20"/>
                                <w:szCs w:val="20"/>
                                <w:lang w:val="en-GB"/>
                              </w:rPr>
                              <w:t>n the Forward Physical Market timeframe by using explicit allocation methods (allocation of electricity and capacity separately)</w:t>
                            </w:r>
                            <w:r>
                              <w:rPr>
                                <w:rFonts w:ascii="Arial" w:hAnsi="Arial" w:cs="Arial"/>
                                <w:bCs/>
                                <w:sz w:val="20"/>
                                <w:szCs w:val="20"/>
                                <w:lang w:val="en-GB"/>
                              </w:rPr>
                              <w:t xml:space="preserve"> based on auctions;</w:t>
                            </w:r>
                            <w:r w:rsidRPr="00AD06FF">
                              <w:rPr>
                                <w:rFonts w:ascii="Arial" w:hAnsi="Arial" w:cs="Arial"/>
                                <w:bCs/>
                                <w:sz w:val="20"/>
                                <w:szCs w:val="20"/>
                                <w:lang w:val="en-GB"/>
                              </w:rPr>
                              <w:t xml:space="preserve"> and </w:t>
                            </w:r>
                          </w:p>
                          <w:p w14:paraId="2A39D9BD" w14:textId="77777777"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I</w:t>
                            </w:r>
                            <w:r w:rsidRPr="00AD06FF">
                              <w:rPr>
                                <w:rFonts w:ascii="Arial" w:hAnsi="Arial" w:cs="Arial"/>
                                <w:bCs/>
                                <w:sz w:val="20"/>
                                <w:szCs w:val="20"/>
                                <w:lang w:val="en-GB"/>
                              </w:rPr>
                              <w:t xml:space="preserve">n the Day-Ahead and Intraday Market by using implicit allocation methods (allocation of electricity and capacity together). In the case of the Day-Ahead Market, this method will be implicit auction and in the case of the Intraday Market it will be continuous implicit allocation. </w:t>
                            </w:r>
                          </w:p>
                          <w:p w14:paraId="0862F225" w14:textId="77777777" w:rsidR="005276A4" w:rsidRPr="00AD06F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 xml:space="preserve">Further details are provided in the Guidelines 4.7: Market Compatibility for Trading – Integrated Management of Transmission Capacity.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AC0988" id="Text Box 30" o:spid="_x0000_s1053" type="#_x0000_t202" style="width:481.3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" fillcolor="#ebf1de" strokeweight=".5pt">
                <v:textbox>
                  <w:txbxContent>
                    <w:p w14:paraId="5BE2D97F" w14:textId="0359A31E" w:rsidR="005276A4" w:rsidRPr="00865FCB" w:rsidRDefault="005276A4" w:rsidP="00FB3BFD">
                      <w:pPr>
                        <w:jc w:val="left"/>
                        <w:rPr>
                          <w:bCs/>
                        </w:rPr>
                      </w:pPr>
                      <w:r w:rsidRPr="00865FCB">
                        <w:rPr>
                          <w:bCs/>
                        </w:rPr>
                        <w:t xml:space="preserve">Guidelines </w:t>
                      </w:r>
                      <w:r>
                        <w:rPr>
                          <w:bCs/>
                        </w:rPr>
                        <w:t>5.3.3:</w:t>
                      </w:r>
                      <w:r w:rsidRPr="00865FCB">
                        <w:rPr>
                          <w:bCs/>
                        </w:rPr>
                        <w:t xml:space="preserve"> </w:t>
                      </w:r>
                      <w:r w:rsidRPr="00C43280">
                        <w:rPr>
                          <w:bCs/>
                        </w:rPr>
                        <w:t>Transmission Capacity Allocation</w:t>
                      </w:r>
                      <w:r>
                        <w:rPr>
                          <w:bCs/>
                        </w:rPr>
                        <w:t xml:space="preserve"> – Allocation in the Market Timeframes </w:t>
                      </w:r>
                    </w:p>
                    <w:p w14:paraId="79937E6D" w14:textId="3C5EC489" w:rsidR="005276A4"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 xml:space="preserve">The cross-border transmission capacity will be allocated separately for each market </w:t>
                      </w:r>
                      <w:r>
                        <w:rPr>
                          <w:rFonts w:ascii="Arial" w:hAnsi="Arial" w:cs="Arial"/>
                          <w:bCs/>
                          <w:sz w:val="20"/>
                          <w:szCs w:val="20"/>
                          <w:lang w:val="en-GB"/>
                        </w:rPr>
                        <w:t xml:space="preserve">and market </w:t>
                      </w:r>
                      <w:r w:rsidRPr="00AD06FF">
                        <w:rPr>
                          <w:rFonts w:ascii="Arial" w:hAnsi="Arial" w:cs="Arial"/>
                          <w:bCs/>
                          <w:sz w:val="20"/>
                          <w:szCs w:val="20"/>
                          <w:lang w:val="en-GB"/>
                        </w:rPr>
                        <w:t xml:space="preserve">timeframe: </w:t>
                      </w:r>
                    </w:p>
                    <w:p w14:paraId="4EE7BC84" w14:textId="1D7427A7"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In the Bilateral Market timeframe</w:t>
                      </w:r>
                      <w:r w:rsidRPr="00FB3BFD">
                        <w:t xml:space="preserve"> </w:t>
                      </w:r>
                      <w:r w:rsidRPr="00FB3BFD">
                        <w:rPr>
                          <w:rFonts w:ascii="Arial" w:hAnsi="Arial" w:cs="Arial"/>
                          <w:bCs/>
                          <w:sz w:val="20"/>
                          <w:szCs w:val="20"/>
                          <w:lang w:val="en-GB"/>
                        </w:rPr>
                        <w:t>by using explicit allocation methods (allocation of electricity and capacity separately)</w:t>
                      </w:r>
                      <w:r>
                        <w:rPr>
                          <w:rFonts w:ascii="Arial" w:hAnsi="Arial" w:cs="Arial"/>
                          <w:bCs/>
                          <w:sz w:val="20"/>
                          <w:szCs w:val="20"/>
                          <w:lang w:val="en-GB"/>
                        </w:rPr>
                        <w:t xml:space="preserve"> based on auctions, </w:t>
                      </w:r>
                    </w:p>
                    <w:p w14:paraId="2A661B80" w14:textId="305AB02B"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I</w:t>
                      </w:r>
                      <w:r w:rsidRPr="00AD06FF">
                        <w:rPr>
                          <w:rFonts w:ascii="Arial" w:hAnsi="Arial" w:cs="Arial"/>
                          <w:bCs/>
                          <w:sz w:val="20"/>
                          <w:szCs w:val="20"/>
                          <w:lang w:val="en-GB"/>
                        </w:rPr>
                        <w:t>n the Forward Physical Market timeframe by using explicit allocation methods (allocation of electricity and capacity separately)</w:t>
                      </w:r>
                      <w:r>
                        <w:rPr>
                          <w:rFonts w:ascii="Arial" w:hAnsi="Arial" w:cs="Arial"/>
                          <w:bCs/>
                          <w:sz w:val="20"/>
                          <w:szCs w:val="20"/>
                          <w:lang w:val="en-GB"/>
                        </w:rPr>
                        <w:t xml:space="preserve"> based on auctions;</w:t>
                      </w:r>
                      <w:r w:rsidRPr="00AD06FF">
                        <w:rPr>
                          <w:rFonts w:ascii="Arial" w:hAnsi="Arial" w:cs="Arial"/>
                          <w:bCs/>
                          <w:sz w:val="20"/>
                          <w:szCs w:val="20"/>
                          <w:lang w:val="en-GB"/>
                        </w:rPr>
                        <w:t xml:space="preserve"> and </w:t>
                      </w:r>
                    </w:p>
                    <w:p w14:paraId="2A39D9BD" w14:textId="77777777" w:rsidR="005276A4" w:rsidRDefault="005276A4" w:rsidP="00E92788">
                      <w:pPr>
                        <w:pStyle w:val="ListParagraph"/>
                        <w:numPr>
                          <w:ilvl w:val="1"/>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I</w:t>
                      </w:r>
                      <w:r w:rsidRPr="00AD06FF">
                        <w:rPr>
                          <w:rFonts w:ascii="Arial" w:hAnsi="Arial" w:cs="Arial"/>
                          <w:bCs/>
                          <w:sz w:val="20"/>
                          <w:szCs w:val="20"/>
                          <w:lang w:val="en-GB"/>
                        </w:rPr>
                        <w:t xml:space="preserve">n the Day-Ahead and Intraday Market by using implicit allocation methods (allocation of electricity and capacity together). In the case of the Day-Ahead Market, this method will be implicit auction and in the case of the Intraday Market it will be continuous implicit allocation. </w:t>
                      </w:r>
                    </w:p>
                    <w:p w14:paraId="0862F225" w14:textId="77777777" w:rsidR="005276A4" w:rsidRPr="00AD06F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AD06FF">
                        <w:rPr>
                          <w:rFonts w:ascii="Arial" w:hAnsi="Arial" w:cs="Arial"/>
                          <w:bCs/>
                          <w:sz w:val="20"/>
                          <w:szCs w:val="20"/>
                          <w:lang w:val="en-GB"/>
                        </w:rPr>
                        <w:t xml:space="preserve">Further details are provided in the Guidelines 4.7: Market Compatibility for Trading – Integrated Management of Transmission Capacity. </w:t>
                      </w:r>
                    </w:p>
                  </w:txbxContent>
                </v:textbox>
                <w10:anchorlock/>
              </v:shape>
            </w:pict>
          </mc:Fallback>
        </mc:AlternateContent>
      </w:r>
    </w:p>
    <w:p w14:paraId="71B78A1B" w14:textId="572F3AD9" w:rsidR="00744D32" w:rsidRPr="00316837" w:rsidRDefault="00744D32" w:rsidP="00744D32">
      <w:pPr>
        <w:pStyle w:val="Heading3"/>
        <w:rPr>
          <w:rFonts w:eastAsia="Calibri"/>
        </w:rPr>
      </w:pPr>
      <w:bookmarkStart w:id="194" w:name="_Toc77256331"/>
      <w:bookmarkStart w:id="195" w:name="_Toc77257571"/>
      <w:bookmarkStart w:id="196" w:name="_Toc77260323"/>
      <w:bookmarkEnd w:id="194"/>
      <w:bookmarkEnd w:id="195"/>
      <w:r w:rsidRPr="00654753">
        <w:rPr>
          <w:rFonts w:eastAsia="Calibri"/>
        </w:rPr>
        <w:t>Guidelines 5.4: Ancillary Services Provisions</w:t>
      </w:r>
      <w:bookmarkEnd w:id="196"/>
      <w:r w:rsidRPr="00654753">
        <w:rPr>
          <w:rFonts w:eastAsia="Calibri"/>
        </w:rPr>
        <w:t xml:space="preserve"> </w:t>
      </w:r>
    </w:p>
    <w:p w14:paraId="30E20470" w14:textId="77777777" w:rsidR="00316837" w:rsidRDefault="00137A36" w:rsidP="00137A36">
      <w:pPr>
        <w:rPr>
          <w:rFonts w:eastAsia="Calibri"/>
          <w:szCs w:val="22"/>
        </w:rPr>
      </w:pPr>
      <w:r w:rsidRPr="00316837">
        <w:rPr>
          <w:rFonts w:eastAsia="Calibri"/>
          <w:szCs w:val="22"/>
        </w:rPr>
        <w:t xml:space="preserve">Ancillary services are necessary to support the transmission of electric power from seller to purchaser given the obligations of </w:t>
      </w:r>
      <w:r w:rsidR="00BC005C" w:rsidRPr="00316837">
        <w:rPr>
          <w:rFonts w:eastAsia="Calibri"/>
          <w:szCs w:val="22"/>
        </w:rPr>
        <w:t xml:space="preserve">the national TSOs and </w:t>
      </w:r>
      <w:r w:rsidRPr="00316837">
        <w:rPr>
          <w:rFonts w:eastAsia="Calibri"/>
          <w:szCs w:val="22"/>
        </w:rPr>
        <w:t>Control Area</w:t>
      </w:r>
      <w:r w:rsidR="00BC005C" w:rsidRPr="00316837">
        <w:rPr>
          <w:rFonts w:eastAsia="Calibri"/>
          <w:szCs w:val="22"/>
        </w:rPr>
        <w:t xml:space="preserve"> Operators</w:t>
      </w:r>
      <w:r w:rsidRPr="00316837">
        <w:rPr>
          <w:rFonts w:eastAsia="Calibri"/>
          <w:szCs w:val="22"/>
        </w:rPr>
        <w:t xml:space="preserve"> to maintain reliable operations of the interconnected transmission system</w:t>
      </w:r>
      <w:r w:rsidRPr="00654753">
        <w:rPr>
          <w:rFonts w:eastAsia="Calibri"/>
          <w:szCs w:val="22"/>
          <w:vertAlign w:val="superscript"/>
        </w:rPr>
        <w:footnoteReference w:id="12"/>
      </w:r>
      <w:r w:rsidRPr="00654753">
        <w:rPr>
          <w:rFonts w:eastAsia="Calibri"/>
          <w:szCs w:val="22"/>
        </w:rPr>
        <w:t xml:space="preserve">. </w:t>
      </w:r>
    </w:p>
    <w:p w14:paraId="17440144" w14:textId="4F5CE2F5" w:rsidR="00DE75CB" w:rsidRDefault="00137A36" w:rsidP="00137A36">
      <w:pPr>
        <w:rPr>
          <w:rFonts w:eastAsia="Calibri"/>
          <w:szCs w:val="20"/>
        </w:rPr>
      </w:pPr>
      <w:r w:rsidRPr="00654753">
        <w:rPr>
          <w:rFonts w:eastAsia="Calibri"/>
          <w:szCs w:val="22"/>
        </w:rPr>
        <w:t>Ancil</w:t>
      </w:r>
      <w:r w:rsidRPr="00681DAA">
        <w:rPr>
          <w:rFonts w:eastAsia="Calibri"/>
          <w:szCs w:val="22"/>
        </w:rPr>
        <w:t xml:space="preserve">lary </w:t>
      </w:r>
      <w:r w:rsidR="00BC005C" w:rsidRPr="00681DAA">
        <w:rPr>
          <w:rFonts w:eastAsia="Calibri"/>
          <w:szCs w:val="22"/>
        </w:rPr>
        <w:t>s</w:t>
      </w:r>
      <w:r w:rsidRPr="00316837">
        <w:rPr>
          <w:rFonts w:eastAsia="Calibri"/>
          <w:szCs w:val="22"/>
        </w:rPr>
        <w:t xml:space="preserve">ervices can be grouped under one of the </w:t>
      </w:r>
      <w:r w:rsidR="00BC005C" w:rsidRPr="00316837">
        <w:rPr>
          <w:rFonts w:eastAsia="Calibri"/>
          <w:szCs w:val="22"/>
        </w:rPr>
        <w:t xml:space="preserve">four main categories </w:t>
      </w:r>
      <w:r w:rsidR="00BC005C" w:rsidRPr="00316837">
        <w:rPr>
          <w:rFonts w:eastAsia="Calibri"/>
          <w:szCs w:val="20"/>
        </w:rPr>
        <w:t xml:space="preserve">(see </w:t>
      </w:r>
      <w:r w:rsidR="00BC005C" w:rsidRPr="00681DAA">
        <w:rPr>
          <w:rFonts w:eastAsia="Calibri"/>
          <w:szCs w:val="20"/>
        </w:rPr>
        <w:fldChar w:fldCharType="begin"/>
      </w:r>
      <w:r w:rsidR="00BC005C" w:rsidRPr="00316837">
        <w:rPr>
          <w:rFonts w:eastAsia="Calibri"/>
          <w:szCs w:val="20"/>
        </w:rPr>
        <w:instrText xml:space="preserve"> REF _Ref76465506 \h  \* MERGEFORMAT </w:instrText>
      </w:r>
      <w:r w:rsidR="00BC005C" w:rsidRPr="00681DAA">
        <w:rPr>
          <w:rFonts w:eastAsia="Calibri"/>
          <w:szCs w:val="20"/>
        </w:rPr>
      </w:r>
      <w:r w:rsidR="00BC005C" w:rsidRPr="00681DAA">
        <w:rPr>
          <w:rFonts w:eastAsia="Calibri"/>
          <w:szCs w:val="20"/>
        </w:rPr>
        <w:fldChar w:fldCharType="separate"/>
      </w:r>
      <w:r w:rsidR="00DD7C38" w:rsidRPr="00681DAA">
        <w:rPr>
          <w:szCs w:val="20"/>
        </w:rPr>
        <w:t>Table 5</w:t>
      </w:r>
      <w:r w:rsidR="00DD7C38" w:rsidRPr="00681DAA">
        <w:rPr>
          <w:szCs w:val="20"/>
        </w:rPr>
        <w:noBreakHyphen/>
        <w:t>2</w:t>
      </w:r>
      <w:r w:rsidR="00BC005C" w:rsidRPr="00681DAA">
        <w:rPr>
          <w:rFonts w:eastAsia="Calibri"/>
          <w:szCs w:val="20"/>
        </w:rPr>
        <w:fldChar w:fldCharType="end"/>
      </w:r>
      <w:r w:rsidR="00BC005C" w:rsidRPr="00654753">
        <w:rPr>
          <w:rFonts w:eastAsia="Calibri"/>
          <w:szCs w:val="20"/>
        </w:rPr>
        <w:t xml:space="preserve">). </w:t>
      </w:r>
    </w:p>
    <w:p w14:paraId="1A8A4929" w14:textId="77777777" w:rsidR="00316837" w:rsidRDefault="00316837" w:rsidP="00137A36">
      <w:pPr>
        <w:rPr>
          <w:rFonts w:eastAsia="Calibri"/>
          <w:szCs w:val="20"/>
        </w:rPr>
      </w:pPr>
    </w:p>
    <w:p w14:paraId="3AEE8DF1" w14:textId="77777777" w:rsidR="00316837" w:rsidRDefault="00316837" w:rsidP="00137A36">
      <w:pPr>
        <w:rPr>
          <w:rFonts w:eastAsia="Calibri"/>
          <w:szCs w:val="20"/>
        </w:rPr>
        <w:sectPr w:rsidR="00316837" w:rsidSect="00A3058D">
          <w:pgSz w:w="11907" w:h="16839" w:code="9"/>
          <w:pgMar w:top="510" w:right="1134" w:bottom="964" w:left="1134" w:header="720" w:footer="567" w:gutter="0"/>
          <w:cols w:space="720"/>
          <w:formProt w:val="0"/>
          <w:docGrid w:linePitch="286"/>
        </w:sectPr>
      </w:pPr>
    </w:p>
    <w:p w14:paraId="38DB027C" w14:textId="5A3BBC49" w:rsidR="00BC005C" w:rsidRPr="00316837" w:rsidRDefault="00BC005C" w:rsidP="00BC005C">
      <w:pPr>
        <w:rPr>
          <w:sz w:val="18"/>
          <w:szCs w:val="18"/>
        </w:rPr>
      </w:pPr>
      <w:bookmarkStart w:id="197" w:name="_Ref76465506"/>
      <w:bookmarkStart w:id="198" w:name="_Toc77260257"/>
      <w:r w:rsidRPr="00681DAA">
        <w:rPr>
          <w:sz w:val="18"/>
          <w:szCs w:val="18"/>
        </w:rPr>
        <w:lastRenderedPageBreak/>
        <w:t xml:space="preserve">Table </w:t>
      </w:r>
      <w:r w:rsidRPr="00681DAA">
        <w:rPr>
          <w:sz w:val="18"/>
          <w:szCs w:val="18"/>
        </w:rPr>
        <w:fldChar w:fldCharType="begin"/>
      </w:r>
      <w:r w:rsidRPr="00316837">
        <w:rPr>
          <w:sz w:val="18"/>
          <w:szCs w:val="18"/>
        </w:rPr>
        <w:instrText xml:space="preserve"> STYLEREF 1 \s </w:instrText>
      </w:r>
      <w:r w:rsidRPr="00681DAA">
        <w:rPr>
          <w:sz w:val="18"/>
          <w:szCs w:val="18"/>
        </w:rPr>
        <w:fldChar w:fldCharType="separate"/>
      </w:r>
      <w:r w:rsidRPr="00681DAA">
        <w:rPr>
          <w:sz w:val="18"/>
          <w:szCs w:val="18"/>
        </w:rPr>
        <w:t>5</w:t>
      </w:r>
      <w:r w:rsidRPr="00681DAA">
        <w:rPr>
          <w:sz w:val="18"/>
          <w:szCs w:val="18"/>
        </w:rPr>
        <w:fldChar w:fldCharType="end"/>
      </w:r>
      <w:r w:rsidRPr="00654753">
        <w:rPr>
          <w:sz w:val="18"/>
          <w:szCs w:val="18"/>
        </w:rPr>
        <w:noBreakHyphen/>
      </w:r>
      <w:r w:rsidRPr="00681DAA">
        <w:rPr>
          <w:sz w:val="18"/>
          <w:szCs w:val="18"/>
        </w:rPr>
        <w:fldChar w:fldCharType="begin"/>
      </w:r>
      <w:r w:rsidRPr="00316837">
        <w:rPr>
          <w:sz w:val="18"/>
          <w:szCs w:val="18"/>
        </w:rPr>
        <w:instrText xml:space="preserve"> SEQ Table \* ARABIC \s 1 </w:instrText>
      </w:r>
      <w:r w:rsidRPr="00681DAA">
        <w:rPr>
          <w:sz w:val="18"/>
          <w:szCs w:val="18"/>
        </w:rPr>
        <w:fldChar w:fldCharType="separate"/>
      </w:r>
      <w:r w:rsidR="00316837">
        <w:rPr>
          <w:noProof/>
          <w:sz w:val="18"/>
          <w:szCs w:val="18"/>
        </w:rPr>
        <w:t>2</w:t>
      </w:r>
      <w:r w:rsidRPr="00681DAA">
        <w:rPr>
          <w:sz w:val="18"/>
          <w:szCs w:val="18"/>
        </w:rPr>
        <w:fldChar w:fldCharType="end"/>
      </w:r>
      <w:bookmarkEnd w:id="197"/>
      <w:r w:rsidRPr="00654753">
        <w:rPr>
          <w:sz w:val="18"/>
          <w:szCs w:val="18"/>
        </w:rPr>
        <w:t xml:space="preserve">: </w:t>
      </w:r>
      <w:r w:rsidR="00E16180" w:rsidRPr="00681DAA">
        <w:rPr>
          <w:sz w:val="18"/>
          <w:szCs w:val="18"/>
        </w:rPr>
        <w:t>Classification</w:t>
      </w:r>
      <w:r w:rsidRPr="00316837">
        <w:rPr>
          <w:sz w:val="18"/>
          <w:szCs w:val="18"/>
        </w:rPr>
        <w:t xml:space="preserve"> of ancillary services</w:t>
      </w:r>
      <w:bookmarkEnd w:id="198"/>
      <w:r w:rsidRPr="00316837">
        <w:rPr>
          <w:sz w:val="18"/>
          <w:szCs w:val="18"/>
        </w:rPr>
        <w:t xml:space="preserve"> </w:t>
      </w:r>
    </w:p>
    <w:tbl>
      <w:tblPr>
        <w:tblStyle w:val="TableGrid"/>
        <w:tblW w:w="0" w:type="auto"/>
        <w:tblLook w:val="04A0" w:firstRow="1" w:lastRow="0" w:firstColumn="1" w:lastColumn="0" w:noHBand="0" w:noVBand="1"/>
      </w:tblPr>
      <w:tblGrid>
        <w:gridCol w:w="805"/>
        <w:gridCol w:w="3720"/>
        <w:gridCol w:w="1278"/>
        <w:gridCol w:w="3826"/>
      </w:tblGrid>
      <w:tr w:rsidR="005766A4" w:rsidRPr="0069087F" w14:paraId="668ABCDD" w14:textId="5EB1C2CE" w:rsidTr="006273BD">
        <w:tc>
          <w:tcPr>
            <w:tcW w:w="805" w:type="dxa"/>
            <w:vMerge w:val="restart"/>
            <w:shd w:val="clear" w:color="auto" w:fill="F2F2F2" w:themeFill="background1" w:themeFillShade="F2"/>
          </w:tcPr>
          <w:p w14:paraId="62D127EB" w14:textId="205CBDD6" w:rsidR="005766A4" w:rsidRPr="006273BD" w:rsidRDefault="00316837" w:rsidP="00BC005C">
            <w:pPr>
              <w:spacing w:before="120" w:after="120"/>
              <w:jc w:val="left"/>
              <w:rPr>
                <w:rFonts w:eastAsia="Calibri"/>
                <w:b/>
                <w:bCs/>
                <w:sz w:val="18"/>
                <w:szCs w:val="18"/>
              </w:rPr>
            </w:pPr>
            <w:r w:rsidRPr="006273BD">
              <w:rPr>
                <w:rFonts w:eastAsia="Calibri"/>
                <w:b/>
                <w:bCs/>
                <w:sz w:val="18"/>
                <w:szCs w:val="18"/>
              </w:rPr>
              <w:t>No</w:t>
            </w:r>
          </w:p>
        </w:tc>
        <w:tc>
          <w:tcPr>
            <w:tcW w:w="3720" w:type="dxa"/>
            <w:vMerge w:val="restart"/>
            <w:shd w:val="clear" w:color="auto" w:fill="F2F2F2" w:themeFill="background1" w:themeFillShade="F2"/>
          </w:tcPr>
          <w:p w14:paraId="558EE8ED" w14:textId="7F971A19" w:rsidR="005766A4" w:rsidRPr="006273BD" w:rsidRDefault="005766A4" w:rsidP="00BC005C">
            <w:pPr>
              <w:spacing w:before="120" w:after="120"/>
              <w:jc w:val="left"/>
              <w:rPr>
                <w:rFonts w:eastAsia="Calibri"/>
                <w:b/>
                <w:bCs/>
                <w:sz w:val="18"/>
                <w:szCs w:val="18"/>
              </w:rPr>
            </w:pPr>
            <w:r w:rsidRPr="006273BD">
              <w:rPr>
                <w:rFonts w:eastAsia="Calibri"/>
                <w:b/>
                <w:bCs/>
                <w:sz w:val="18"/>
                <w:szCs w:val="18"/>
              </w:rPr>
              <w:t xml:space="preserve">Main groups of ancillary services </w:t>
            </w:r>
          </w:p>
        </w:tc>
        <w:tc>
          <w:tcPr>
            <w:tcW w:w="5104" w:type="dxa"/>
            <w:gridSpan w:val="2"/>
            <w:shd w:val="clear" w:color="auto" w:fill="F2F2F2" w:themeFill="background1" w:themeFillShade="F2"/>
          </w:tcPr>
          <w:p w14:paraId="648B4422" w14:textId="6BF0FD5A" w:rsidR="005766A4" w:rsidRPr="006273BD" w:rsidRDefault="005766A4" w:rsidP="00BC005C">
            <w:pPr>
              <w:spacing w:before="120" w:after="120"/>
              <w:jc w:val="left"/>
              <w:rPr>
                <w:rFonts w:eastAsia="Calibri"/>
                <w:b/>
                <w:bCs/>
                <w:sz w:val="18"/>
                <w:szCs w:val="18"/>
              </w:rPr>
            </w:pPr>
            <w:r w:rsidRPr="006273BD">
              <w:rPr>
                <w:rFonts w:eastAsia="Calibri"/>
                <w:b/>
                <w:bCs/>
                <w:sz w:val="18"/>
                <w:szCs w:val="18"/>
              </w:rPr>
              <w:t xml:space="preserve">Sub-groups of ancillary services </w:t>
            </w:r>
          </w:p>
        </w:tc>
      </w:tr>
      <w:tr w:rsidR="005766A4" w:rsidRPr="0069087F" w14:paraId="1A1493C0" w14:textId="77777777" w:rsidTr="006273BD">
        <w:tc>
          <w:tcPr>
            <w:tcW w:w="805" w:type="dxa"/>
            <w:vMerge/>
            <w:shd w:val="clear" w:color="auto" w:fill="F2F2F2" w:themeFill="background1" w:themeFillShade="F2"/>
          </w:tcPr>
          <w:p w14:paraId="37922F99" w14:textId="77777777" w:rsidR="005766A4" w:rsidRPr="006273BD" w:rsidRDefault="005766A4" w:rsidP="00BC005C">
            <w:pPr>
              <w:spacing w:before="120" w:after="120"/>
              <w:jc w:val="left"/>
              <w:rPr>
                <w:rFonts w:eastAsia="Calibri"/>
                <w:b/>
                <w:bCs/>
                <w:sz w:val="18"/>
                <w:szCs w:val="18"/>
              </w:rPr>
            </w:pPr>
          </w:p>
        </w:tc>
        <w:tc>
          <w:tcPr>
            <w:tcW w:w="3720" w:type="dxa"/>
            <w:vMerge/>
            <w:shd w:val="clear" w:color="auto" w:fill="F2F2F2" w:themeFill="background1" w:themeFillShade="F2"/>
          </w:tcPr>
          <w:p w14:paraId="76021BF2" w14:textId="0CF53F83" w:rsidR="005766A4" w:rsidRPr="006273BD" w:rsidRDefault="005766A4" w:rsidP="00BC005C">
            <w:pPr>
              <w:spacing w:before="120" w:after="120"/>
              <w:jc w:val="left"/>
              <w:rPr>
                <w:rFonts w:eastAsia="Calibri"/>
                <w:b/>
                <w:bCs/>
                <w:sz w:val="18"/>
                <w:szCs w:val="18"/>
              </w:rPr>
            </w:pPr>
          </w:p>
        </w:tc>
        <w:tc>
          <w:tcPr>
            <w:tcW w:w="1278" w:type="dxa"/>
            <w:shd w:val="clear" w:color="auto" w:fill="F2F2F2" w:themeFill="background1" w:themeFillShade="F2"/>
          </w:tcPr>
          <w:p w14:paraId="49F6FFB6" w14:textId="66A11171" w:rsidR="005766A4" w:rsidRPr="006273BD" w:rsidRDefault="00E16180" w:rsidP="00BC005C">
            <w:pPr>
              <w:spacing w:before="120" w:after="120"/>
              <w:jc w:val="left"/>
              <w:rPr>
                <w:rFonts w:eastAsia="Calibri"/>
                <w:b/>
                <w:bCs/>
                <w:sz w:val="18"/>
                <w:szCs w:val="18"/>
              </w:rPr>
            </w:pPr>
            <w:r w:rsidRPr="006273BD">
              <w:rPr>
                <w:rFonts w:eastAsia="Calibri"/>
                <w:b/>
                <w:bCs/>
                <w:sz w:val="18"/>
                <w:szCs w:val="18"/>
              </w:rPr>
              <w:t xml:space="preserve">Type </w:t>
            </w:r>
          </w:p>
        </w:tc>
        <w:tc>
          <w:tcPr>
            <w:tcW w:w="3826" w:type="dxa"/>
            <w:shd w:val="clear" w:color="auto" w:fill="F2F2F2" w:themeFill="background1" w:themeFillShade="F2"/>
          </w:tcPr>
          <w:p w14:paraId="23BCB911" w14:textId="4DBD96C1" w:rsidR="005766A4" w:rsidRPr="006273BD" w:rsidRDefault="005766A4" w:rsidP="00BC005C">
            <w:pPr>
              <w:spacing w:before="120" w:after="120"/>
              <w:jc w:val="left"/>
              <w:rPr>
                <w:rFonts w:eastAsia="Calibri"/>
                <w:b/>
                <w:bCs/>
                <w:sz w:val="18"/>
                <w:szCs w:val="18"/>
              </w:rPr>
            </w:pPr>
            <w:r w:rsidRPr="006273BD">
              <w:rPr>
                <w:rFonts w:eastAsia="Calibri"/>
                <w:b/>
                <w:bCs/>
                <w:sz w:val="18"/>
                <w:szCs w:val="18"/>
              </w:rPr>
              <w:t xml:space="preserve">Usage </w:t>
            </w:r>
          </w:p>
        </w:tc>
      </w:tr>
      <w:tr w:rsidR="005766A4" w:rsidRPr="00316837" w14:paraId="67450C5E" w14:textId="77777777" w:rsidTr="006273BD">
        <w:tc>
          <w:tcPr>
            <w:tcW w:w="805" w:type="dxa"/>
            <w:shd w:val="clear" w:color="auto" w:fill="FFFFFF" w:themeFill="background1"/>
          </w:tcPr>
          <w:p w14:paraId="67617B2F" w14:textId="4C270121" w:rsidR="005766A4" w:rsidRPr="00316837" w:rsidRDefault="005766A4" w:rsidP="00BC005C">
            <w:pPr>
              <w:spacing w:before="120" w:after="120"/>
              <w:jc w:val="left"/>
              <w:rPr>
                <w:rFonts w:eastAsia="Calibri"/>
                <w:sz w:val="18"/>
                <w:szCs w:val="18"/>
              </w:rPr>
            </w:pPr>
            <w:r w:rsidRPr="00316837">
              <w:rPr>
                <w:rFonts w:eastAsia="Calibri"/>
                <w:sz w:val="18"/>
                <w:szCs w:val="18"/>
              </w:rPr>
              <w:t>1</w:t>
            </w:r>
            <w:r w:rsidR="00316837">
              <w:rPr>
                <w:rFonts w:eastAsia="Calibri"/>
                <w:sz w:val="18"/>
                <w:szCs w:val="18"/>
              </w:rPr>
              <w:t xml:space="preserve"> </w:t>
            </w:r>
          </w:p>
        </w:tc>
        <w:tc>
          <w:tcPr>
            <w:tcW w:w="3720" w:type="dxa"/>
            <w:shd w:val="clear" w:color="auto" w:fill="FFFFFF" w:themeFill="background1"/>
          </w:tcPr>
          <w:p w14:paraId="52A9D4D2" w14:textId="0F632A1B" w:rsidR="005766A4" w:rsidRDefault="005766A4" w:rsidP="00BC005C">
            <w:pPr>
              <w:spacing w:before="120" w:after="120"/>
              <w:jc w:val="left"/>
              <w:rPr>
                <w:rFonts w:eastAsia="Calibri"/>
                <w:sz w:val="18"/>
                <w:szCs w:val="18"/>
              </w:rPr>
            </w:pPr>
            <w:r w:rsidRPr="00316837">
              <w:rPr>
                <w:rFonts w:eastAsia="Calibri"/>
                <w:sz w:val="18"/>
                <w:szCs w:val="18"/>
              </w:rPr>
              <w:t>Frequency control ancillary services</w:t>
            </w:r>
            <w:r w:rsidR="00316837">
              <w:rPr>
                <w:rFonts w:eastAsia="Calibri"/>
                <w:sz w:val="18"/>
                <w:szCs w:val="18"/>
              </w:rPr>
              <w:t xml:space="preserve"> </w:t>
            </w:r>
          </w:p>
          <w:p w14:paraId="716D4A76" w14:textId="77777777" w:rsidR="00316837" w:rsidRPr="00316837" w:rsidRDefault="00316837" w:rsidP="00316837">
            <w:pPr>
              <w:spacing w:before="120" w:after="120"/>
              <w:jc w:val="left"/>
              <w:rPr>
                <w:rFonts w:eastAsia="Calibri"/>
                <w:sz w:val="18"/>
                <w:szCs w:val="18"/>
              </w:rPr>
            </w:pPr>
            <w:r w:rsidRPr="00316837">
              <w:rPr>
                <w:rFonts w:eastAsia="Calibri"/>
                <w:sz w:val="18"/>
                <w:szCs w:val="18"/>
              </w:rPr>
              <w:t xml:space="preserve">------------------------------------------------- </w:t>
            </w:r>
          </w:p>
          <w:p w14:paraId="585665A3" w14:textId="686A131C" w:rsidR="005766A4" w:rsidRPr="00316837" w:rsidRDefault="005766A4" w:rsidP="00BC005C">
            <w:pPr>
              <w:spacing w:before="120" w:after="120"/>
              <w:jc w:val="left"/>
              <w:rPr>
                <w:rFonts w:eastAsia="Calibri"/>
                <w:sz w:val="18"/>
                <w:szCs w:val="18"/>
              </w:rPr>
            </w:pPr>
            <w:r w:rsidRPr="00316837">
              <w:rPr>
                <w:rFonts w:eastAsia="Calibri"/>
                <w:sz w:val="18"/>
                <w:szCs w:val="18"/>
              </w:rPr>
              <w:t>These ancillary services are used by the national TSOs and the RSMOs to maintain the frequency in the power system at any point in time, within the ranges as required by the frequency standards in the grid code and the technical regulations</w:t>
            </w:r>
            <w:r w:rsidR="00316837">
              <w:rPr>
                <w:rFonts w:eastAsia="Calibri"/>
                <w:sz w:val="18"/>
                <w:szCs w:val="18"/>
              </w:rPr>
              <w:t xml:space="preserve">. </w:t>
            </w:r>
          </w:p>
          <w:p w14:paraId="21BF9EB5" w14:textId="0CAD2779" w:rsidR="005766A4" w:rsidRPr="00316837" w:rsidRDefault="005766A4" w:rsidP="00BC005C">
            <w:pPr>
              <w:spacing w:before="120" w:after="120"/>
              <w:jc w:val="left"/>
              <w:rPr>
                <w:rFonts w:eastAsia="Calibri"/>
                <w:sz w:val="18"/>
                <w:szCs w:val="18"/>
              </w:rPr>
            </w:pPr>
            <w:r w:rsidRPr="00316837">
              <w:rPr>
                <w:rFonts w:eastAsia="Calibri"/>
                <w:sz w:val="18"/>
                <w:szCs w:val="18"/>
              </w:rPr>
              <w:t>Frequency will deviate necessitating frequency control, if the load varies in the power system without a corresponding variation in the generation feeding that power system</w:t>
            </w:r>
            <w:r w:rsidR="00316837">
              <w:rPr>
                <w:rFonts w:eastAsia="Calibri"/>
                <w:sz w:val="18"/>
                <w:szCs w:val="18"/>
              </w:rPr>
              <w:t xml:space="preserve">. </w:t>
            </w:r>
          </w:p>
        </w:tc>
        <w:tc>
          <w:tcPr>
            <w:tcW w:w="1278" w:type="dxa"/>
            <w:shd w:val="clear" w:color="auto" w:fill="FFFFFF" w:themeFill="background1"/>
          </w:tcPr>
          <w:p w14:paraId="4F38370E" w14:textId="74E2CB44" w:rsidR="005766A4" w:rsidRPr="00316837" w:rsidRDefault="005766A4" w:rsidP="00BC005C">
            <w:pPr>
              <w:spacing w:before="120" w:after="120"/>
              <w:jc w:val="left"/>
              <w:rPr>
                <w:rFonts w:eastAsia="Calibri"/>
                <w:sz w:val="18"/>
                <w:szCs w:val="18"/>
              </w:rPr>
            </w:pPr>
            <w:r w:rsidRPr="00316837">
              <w:rPr>
                <w:rFonts w:eastAsia="Calibri"/>
                <w:sz w:val="18"/>
                <w:szCs w:val="18"/>
              </w:rPr>
              <w:t>Frequency regulation control</w:t>
            </w:r>
          </w:p>
        </w:tc>
        <w:tc>
          <w:tcPr>
            <w:tcW w:w="3826" w:type="dxa"/>
            <w:shd w:val="clear" w:color="auto" w:fill="FFFFFF" w:themeFill="background1"/>
          </w:tcPr>
          <w:p w14:paraId="3AA501DB" w14:textId="5C191BA1" w:rsidR="005766A4" w:rsidRPr="00316837" w:rsidRDefault="005766A4" w:rsidP="00BC005C">
            <w:pPr>
              <w:spacing w:before="120" w:after="120"/>
              <w:jc w:val="left"/>
              <w:rPr>
                <w:rFonts w:eastAsia="Calibri"/>
                <w:sz w:val="18"/>
                <w:szCs w:val="18"/>
              </w:rPr>
            </w:pPr>
            <w:r w:rsidRPr="00316837">
              <w:rPr>
                <w:rFonts w:eastAsia="Calibri"/>
                <w:sz w:val="18"/>
                <w:szCs w:val="18"/>
              </w:rPr>
              <w:t>This is the correction of the generation/demand balance in response to minor deviations in load or generation. These ancillary services are provided by generators on Automatic Generation Control (AGC). This allows the national TSOs to continually monitor the system frequency and to send control signals out to generators providing regulation in such a manner that the frequency is maintained within the normal operating range. The control signals from the national TSOs alter the megawatt (MW) output of the generators in such a manner that this action corrects the demand/generation (supply) imbalance.</w:t>
            </w:r>
          </w:p>
        </w:tc>
      </w:tr>
      <w:tr w:rsidR="00316837" w:rsidRPr="00316837" w14:paraId="1E8DD769" w14:textId="4DC1AA63" w:rsidTr="006273BD">
        <w:tc>
          <w:tcPr>
            <w:tcW w:w="805" w:type="dxa"/>
          </w:tcPr>
          <w:p w14:paraId="67A16193" w14:textId="6AE43D0C" w:rsidR="00316837" w:rsidRPr="00316837" w:rsidRDefault="00316837" w:rsidP="00316837">
            <w:pPr>
              <w:spacing w:before="120" w:after="120"/>
              <w:jc w:val="left"/>
              <w:rPr>
                <w:rFonts w:eastAsia="Calibri"/>
                <w:sz w:val="18"/>
                <w:szCs w:val="18"/>
              </w:rPr>
            </w:pPr>
            <w:r w:rsidRPr="00316837">
              <w:rPr>
                <w:rFonts w:eastAsia="Calibri"/>
                <w:sz w:val="18"/>
                <w:szCs w:val="18"/>
              </w:rPr>
              <w:t>2</w:t>
            </w:r>
            <w:r>
              <w:rPr>
                <w:rFonts w:eastAsia="Calibri"/>
                <w:sz w:val="18"/>
                <w:szCs w:val="18"/>
              </w:rPr>
              <w:t xml:space="preserve"> </w:t>
            </w:r>
          </w:p>
        </w:tc>
        <w:tc>
          <w:tcPr>
            <w:tcW w:w="3720" w:type="dxa"/>
          </w:tcPr>
          <w:p w14:paraId="1A3315A7" w14:textId="77777777" w:rsidR="00316837" w:rsidRDefault="00316837" w:rsidP="00316837">
            <w:pPr>
              <w:spacing w:before="120" w:after="120"/>
              <w:jc w:val="left"/>
              <w:rPr>
                <w:rFonts w:eastAsia="Calibri"/>
                <w:sz w:val="18"/>
                <w:szCs w:val="18"/>
              </w:rPr>
            </w:pPr>
            <w:r w:rsidRPr="00316837">
              <w:rPr>
                <w:rFonts w:eastAsia="Calibri"/>
                <w:sz w:val="18"/>
                <w:szCs w:val="18"/>
              </w:rPr>
              <w:t>Operating reserves and contingency frequency control</w:t>
            </w:r>
            <w:r>
              <w:rPr>
                <w:rFonts w:eastAsia="Calibri"/>
                <w:sz w:val="18"/>
                <w:szCs w:val="18"/>
              </w:rPr>
              <w:t xml:space="preserve"> </w:t>
            </w:r>
          </w:p>
          <w:p w14:paraId="75DBA5EF" w14:textId="77777777" w:rsidR="00316837" w:rsidRPr="00316837" w:rsidRDefault="00316837" w:rsidP="00316837">
            <w:pPr>
              <w:spacing w:before="120" w:after="120"/>
              <w:jc w:val="left"/>
              <w:rPr>
                <w:rFonts w:eastAsia="Calibri"/>
                <w:sz w:val="18"/>
                <w:szCs w:val="18"/>
              </w:rPr>
            </w:pPr>
            <w:r w:rsidRPr="00316837">
              <w:rPr>
                <w:rFonts w:eastAsia="Calibri"/>
                <w:sz w:val="18"/>
                <w:szCs w:val="18"/>
              </w:rPr>
              <w:t xml:space="preserve">------------------------------------------------- </w:t>
            </w:r>
          </w:p>
          <w:p w14:paraId="366F19C0" w14:textId="797AA49D" w:rsidR="00316837" w:rsidRPr="00316837" w:rsidRDefault="00316837" w:rsidP="00316837">
            <w:pPr>
              <w:spacing w:before="120" w:after="120"/>
              <w:jc w:val="left"/>
              <w:rPr>
                <w:rFonts w:eastAsia="Calibri" w:cs="Arial"/>
                <w:sz w:val="18"/>
                <w:szCs w:val="18"/>
              </w:rPr>
            </w:pPr>
            <w:r w:rsidRPr="00316837">
              <w:rPr>
                <w:rFonts w:eastAsia="Calibri" w:cs="Arial"/>
                <w:sz w:val="18"/>
                <w:szCs w:val="18"/>
              </w:rPr>
              <w:t xml:space="preserve">Operating reserves </w:t>
            </w:r>
            <w:r>
              <w:rPr>
                <w:rFonts w:eastAsia="Calibri" w:cs="Arial"/>
                <w:sz w:val="18"/>
                <w:szCs w:val="18"/>
              </w:rPr>
              <w:t xml:space="preserve">are used to </w:t>
            </w:r>
            <w:r w:rsidRPr="00316837">
              <w:rPr>
                <w:rFonts w:eastAsia="Calibri" w:cs="Arial"/>
                <w:sz w:val="18"/>
                <w:szCs w:val="18"/>
              </w:rPr>
              <w:t xml:space="preserve">balance generation to load in response to unexpected generation or transmission outages and/or a significant increase in demand. </w:t>
            </w:r>
          </w:p>
          <w:p w14:paraId="036D98DC" w14:textId="1FBB36B8" w:rsidR="00316837" w:rsidRPr="00316837" w:rsidRDefault="00316837" w:rsidP="00316837">
            <w:pPr>
              <w:spacing w:before="120" w:after="120"/>
              <w:jc w:val="left"/>
              <w:rPr>
                <w:rFonts w:eastAsia="Calibri" w:cs="Arial"/>
                <w:sz w:val="18"/>
                <w:szCs w:val="18"/>
              </w:rPr>
            </w:pPr>
            <w:r w:rsidRPr="00316837">
              <w:rPr>
                <w:rFonts w:eastAsia="Calibri" w:cs="Arial"/>
                <w:sz w:val="18"/>
                <w:szCs w:val="18"/>
              </w:rPr>
              <w:t xml:space="preserve">Contingency frequency control </w:t>
            </w:r>
            <w:r>
              <w:rPr>
                <w:rFonts w:eastAsia="Calibri" w:cs="Arial"/>
                <w:sz w:val="18"/>
                <w:szCs w:val="18"/>
              </w:rPr>
              <w:t>is used as</w:t>
            </w:r>
            <w:r w:rsidRPr="00316837">
              <w:rPr>
                <w:rFonts w:eastAsia="Calibri" w:cs="Arial"/>
                <w:sz w:val="18"/>
                <w:szCs w:val="18"/>
              </w:rPr>
              <w:t xml:space="preserve"> the correction of the generation/demand balance following a major contingency event such as the loss of a generating unit/major industrial load, or a large transmission element. It ensures that following a contingency event, the frequency deviation remains within the contingency band and is returned to the normal operating range within the time period (minutes) indicated in the grid code. </w:t>
            </w:r>
          </w:p>
        </w:tc>
        <w:tc>
          <w:tcPr>
            <w:tcW w:w="1278" w:type="dxa"/>
          </w:tcPr>
          <w:p w14:paraId="1AD32DAE" w14:textId="6BEC4995"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Frequency </w:t>
            </w:r>
            <w:r>
              <w:rPr>
                <w:rFonts w:eastAsia="Calibri"/>
                <w:sz w:val="18"/>
                <w:szCs w:val="18"/>
              </w:rPr>
              <w:t>r</w:t>
            </w:r>
            <w:r w:rsidRPr="00316837">
              <w:rPr>
                <w:rFonts w:eastAsia="Calibri"/>
                <w:sz w:val="18"/>
                <w:szCs w:val="18"/>
              </w:rPr>
              <w:t>egulation</w:t>
            </w:r>
            <w:r>
              <w:rPr>
                <w:rFonts w:eastAsia="Calibri"/>
                <w:sz w:val="18"/>
                <w:szCs w:val="18"/>
              </w:rPr>
              <w:t xml:space="preserve"> c</w:t>
            </w:r>
            <w:r w:rsidRPr="00316837">
              <w:rPr>
                <w:rFonts w:eastAsia="Calibri"/>
                <w:sz w:val="18"/>
                <w:szCs w:val="18"/>
              </w:rPr>
              <w:t xml:space="preserve">ontrol </w:t>
            </w:r>
          </w:p>
        </w:tc>
        <w:tc>
          <w:tcPr>
            <w:tcW w:w="3826" w:type="dxa"/>
          </w:tcPr>
          <w:p w14:paraId="30D2BA8E" w14:textId="77777777" w:rsidR="00316837" w:rsidRPr="00316837" w:rsidRDefault="00316837" w:rsidP="00BC005C">
            <w:pPr>
              <w:spacing w:before="120" w:after="120"/>
              <w:jc w:val="left"/>
              <w:rPr>
                <w:rFonts w:eastAsia="Calibri" w:cs="Arial"/>
                <w:sz w:val="18"/>
                <w:szCs w:val="18"/>
              </w:rPr>
            </w:pPr>
            <w:r w:rsidRPr="00316837">
              <w:rPr>
                <w:rFonts w:eastAsia="Calibri" w:cs="Arial"/>
                <w:sz w:val="18"/>
                <w:szCs w:val="18"/>
              </w:rPr>
              <w:t xml:space="preserve">Contingency frequency correction services can be provided by technologies that can locally detect the frequency deviation and respond in a manner that corrects the frequency. Some examples of these technologies include: </w:t>
            </w:r>
          </w:p>
          <w:p w14:paraId="1F4BB7EC" w14:textId="77777777" w:rsidR="00316837" w:rsidRPr="00316837" w:rsidRDefault="00316837" w:rsidP="00E92788">
            <w:pPr>
              <w:pStyle w:val="ListParagraph"/>
              <w:numPr>
                <w:ilvl w:val="2"/>
                <w:numId w:val="70"/>
              </w:numPr>
              <w:spacing w:before="120" w:line="288" w:lineRule="auto"/>
              <w:ind w:left="316" w:hanging="284"/>
              <w:jc w:val="left"/>
              <w:rPr>
                <w:rFonts w:ascii="Arial" w:eastAsia="Calibri" w:hAnsi="Arial" w:cs="Arial"/>
                <w:sz w:val="18"/>
                <w:szCs w:val="18"/>
                <w:lang w:val="en-GB"/>
              </w:rPr>
            </w:pPr>
            <w:r w:rsidRPr="00316837">
              <w:rPr>
                <w:rFonts w:ascii="Arial" w:eastAsia="Calibri" w:hAnsi="Arial" w:cs="Arial"/>
                <w:sz w:val="18"/>
                <w:szCs w:val="18"/>
                <w:lang w:val="en-GB"/>
              </w:rPr>
              <w:t xml:space="preserve">Generator governor response, where the generator governor reacts to the frequency deviation by opening or closing the turbine steam valve (for thermal units) or turbine blades (for hydro units) and altering the MW output of the generating set accordingly; </w:t>
            </w:r>
          </w:p>
          <w:p w14:paraId="36DBA683" w14:textId="77777777" w:rsidR="00316837" w:rsidRPr="00316837" w:rsidRDefault="00316837" w:rsidP="00E92788">
            <w:pPr>
              <w:pStyle w:val="ListParagraph"/>
              <w:numPr>
                <w:ilvl w:val="2"/>
                <w:numId w:val="70"/>
              </w:numPr>
              <w:spacing w:before="120" w:line="288" w:lineRule="auto"/>
              <w:ind w:left="316" w:hanging="284"/>
              <w:jc w:val="left"/>
              <w:rPr>
                <w:rFonts w:ascii="Arial" w:eastAsia="Calibri" w:hAnsi="Arial" w:cs="Arial"/>
                <w:sz w:val="18"/>
                <w:szCs w:val="18"/>
                <w:lang w:val="en-GB"/>
              </w:rPr>
            </w:pPr>
            <w:r w:rsidRPr="00316837">
              <w:rPr>
                <w:rFonts w:ascii="Arial" w:eastAsia="Calibri" w:hAnsi="Arial" w:cs="Arial"/>
                <w:sz w:val="18"/>
                <w:szCs w:val="18"/>
                <w:lang w:val="en-GB"/>
              </w:rPr>
              <w:t xml:space="preserve">Load shedding, where a load can be quickly disconnected from the electrical system and used to correct for low frequency only; </w:t>
            </w:r>
          </w:p>
          <w:p w14:paraId="238FB7E6" w14:textId="77777777" w:rsidR="00316837" w:rsidRPr="00316837" w:rsidRDefault="00316837" w:rsidP="00E92788">
            <w:pPr>
              <w:pStyle w:val="ListParagraph"/>
              <w:numPr>
                <w:ilvl w:val="2"/>
                <w:numId w:val="70"/>
              </w:numPr>
              <w:spacing w:before="120" w:line="288" w:lineRule="auto"/>
              <w:ind w:left="316" w:hanging="284"/>
              <w:jc w:val="left"/>
              <w:rPr>
                <w:rFonts w:ascii="Arial" w:eastAsia="Calibri" w:hAnsi="Arial" w:cs="Arial"/>
                <w:sz w:val="18"/>
                <w:szCs w:val="18"/>
                <w:lang w:val="en-GB"/>
              </w:rPr>
            </w:pPr>
            <w:r w:rsidRPr="00316837">
              <w:rPr>
                <w:rFonts w:ascii="Arial" w:eastAsia="Calibri" w:hAnsi="Arial" w:cs="Arial"/>
                <w:sz w:val="18"/>
                <w:szCs w:val="18"/>
                <w:lang w:val="en-GB"/>
              </w:rPr>
              <w:t xml:space="preserve">Rapid generation, where a frequency relay will detect a low frequency and correspondingly start a fast generator, and can be used to correct for low frequency only; </w:t>
            </w:r>
          </w:p>
          <w:p w14:paraId="5B8EB0E5" w14:textId="77777777" w:rsidR="00316837" w:rsidRPr="00316837" w:rsidRDefault="00316837" w:rsidP="00E92788">
            <w:pPr>
              <w:pStyle w:val="ListParagraph"/>
              <w:numPr>
                <w:ilvl w:val="2"/>
                <w:numId w:val="70"/>
              </w:numPr>
              <w:spacing w:before="120" w:line="288" w:lineRule="auto"/>
              <w:ind w:left="316" w:hanging="284"/>
              <w:jc w:val="left"/>
              <w:rPr>
                <w:rFonts w:ascii="Arial" w:eastAsia="Calibri" w:hAnsi="Arial" w:cs="Arial"/>
                <w:sz w:val="18"/>
                <w:szCs w:val="18"/>
                <w:lang w:val="en-GB"/>
              </w:rPr>
            </w:pPr>
            <w:r w:rsidRPr="00316837">
              <w:rPr>
                <w:rFonts w:ascii="Arial" w:eastAsia="Calibri" w:hAnsi="Arial" w:cs="Arial"/>
                <w:sz w:val="18"/>
                <w:szCs w:val="18"/>
                <w:lang w:val="en-GB"/>
              </w:rPr>
              <w:t xml:space="preserve">Rapid unit unloading, where a frequency relay will detect a high frequency and correspondingly reduce a generator output (can act to correct a high frequency only). </w:t>
            </w:r>
          </w:p>
          <w:p w14:paraId="0C251FD4" w14:textId="77777777" w:rsidR="00316837" w:rsidRPr="00316837" w:rsidRDefault="00316837" w:rsidP="00BC005C">
            <w:pPr>
              <w:spacing w:before="120" w:after="120"/>
              <w:jc w:val="left"/>
              <w:rPr>
                <w:rFonts w:eastAsia="Calibri" w:cs="Arial"/>
                <w:sz w:val="18"/>
                <w:szCs w:val="18"/>
              </w:rPr>
            </w:pPr>
            <w:r w:rsidRPr="00316837">
              <w:rPr>
                <w:rFonts w:eastAsia="Calibri" w:cs="Arial"/>
                <w:sz w:val="18"/>
                <w:szCs w:val="18"/>
              </w:rPr>
              <w:t xml:space="preserve">Rapid generation that are used to meet generation and transmission outages are split into two as follows: </w:t>
            </w:r>
          </w:p>
          <w:p w14:paraId="0742CB4E" w14:textId="77777777" w:rsidR="00316837" w:rsidRPr="00316837" w:rsidRDefault="00316837" w:rsidP="00E92788">
            <w:pPr>
              <w:pStyle w:val="ListParagraph"/>
              <w:numPr>
                <w:ilvl w:val="2"/>
                <w:numId w:val="70"/>
              </w:numPr>
              <w:spacing w:before="120" w:line="288" w:lineRule="auto"/>
              <w:ind w:left="316" w:hanging="284"/>
              <w:jc w:val="left"/>
              <w:rPr>
                <w:rFonts w:ascii="Arial" w:eastAsia="Calibri" w:hAnsi="Arial" w:cs="Arial"/>
                <w:sz w:val="18"/>
                <w:szCs w:val="18"/>
                <w:lang w:val="en-GB"/>
              </w:rPr>
            </w:pPr>
            <w:r w:rsidRPr="00316837">
              <w:rPr>
                <w:rFonts w:ascii="Arial" w:eastAsia="Calibri" w:hAnsi="Arial" w:cs="Arial"/>
                <w:sz w:val="18"/>
                <w:szCs w:val="18"/>
                <w:lang w:val="en-GB"/>
              </w:rPr>
              <w:t xml:space="preserve">Primary or reliability reserves, which include spinning reserves and other generation units that can be started </w:t>
            </w:r>
            <w:r w:rsidRPr="00316837">
              <w:rPr>
                <w:rFonts w:ascii="Arial" w:eastAsia="Calibri" w:hAnsi="Arial" w:cs="Arial"/>
                <w:sz w:val="18"/>
                <w:szCs w:val="18"/>
                <w:lang w:val="en-GB"/>
              </w:rPr>
              <w:lastRenderedPageBreak/>
              <w:t xml:space="preserve">quickly, all of which must be fully available within the time period (minutes) as prescribed by the grid code; and </w:t>
            </w:r>
          </w:p>
          <w:p w14:paraId="19B2703C" w14:textId="287E2729" w:rsidR="00316837" w:rsidRPr="00316837" w:rsidRDefault="00316837" w:rsidP="00E92788">
            <w:pPr>
              <w:pStyle w:val="ListParagraph"/>
              <w:numPr>
                <w:ilvl w:val="2"/>
                <w:numId w:val="70"/>
              </w:numPr>
              <w:spacing w:before="120" w:line="288" w:lineRule="auto"/>
              <w:ind w:left="316" w:hanging="284"/>
              <w:jc w:val="left"/>
              <w:rPr>
                <w:rFonts w:eastAsia="Calibri"/>
                <w:sz w:val="18"/>
                <w:szCs w:val="18"/>
                <w:lang w:val="en-GB"/>
              </w:rPr>
            </w:pPr>
            <w:r w:rsidRPr="00316837">
              <w:rPr>
                <w:rFonts w:ascii="Arial" w:eastAsia="Calibri" w:hAnsi="Arial" w:cs="Arial"/>
                <w:sz w:val="18"/>
                <w:szCs w:val="18"/>
                <w:lang w:val="en-GB"/>
              </w:rPr>
              <w:t xml:space="preserve">Secondary or supplemental-operating reserves, which include generation units that can begin to provide power and are fully available within the time indicated (minutes) in the harmonised grid code. These reserves are intended to replace the reliability reserves and are usually on stand-by to meet additional contingencies. </w:t>
            </w:r>
          </w:p>
        </w:tc>
      </w:tr>
      <w:tr w:rsidR="00316837" w:rsidRPr="00316837" w14:paraId="6F79E45D" w14:textId="6F19D05D" w:rsidTr="006273BD">
        <w:tc>
          <w:tcPr>
            <w:tcW w:w="805" w:type="dxa"/>
            <w:vMerge w:val="restart"/>
          </w:tcPr>
          <w:p w14:paraId="3F548074" w14:textId="2839D725" w:rsidR="00316837" w:rsidRPr="00316837" w:rsidRDefault="00316837" w:rsidP="00BC005C">
            <w:pPr>
              <w:spacing w:before="120" w:after="120"/>
              <w:jc w:val="left"/>
              <w:rPr>
                <w:rFonts w:eastAsia="Calibri"/>
                <w:sz w:val="18"/>
                <w:szCs w:val="18"/>
              </w:rPr>
            </w:pPr>
            <w:r w:rsidRPr="00316837">
              <w:rPr>
                <w:rFonts w:eastAsia="Calibri"/>
                <w:sz w:val="18"/>
                <w:szCs w:val="18"/>
              </w:rPr>
              <w:lastRenderedPageBreak/>
              <w:t>3</w:t>
            </w:r>
            <w:r>
              <w:rPr>
                <w:rFonts w:eastAsia="Calibri"/>
                <w:sz w:val="18"/>
                <w:szCs w:val="18"/>
              </w:rPr>
              <w:t xml:space="preserve"> </w:t>
            </w:r>
          </w:p>
        </w:tc>
        <w:tc>
          <w:tcPr>
            <w:tcW w:w="3720" w:type="dxa"/>
            <w:vMerge w:val="restart"/>
          </w:tcPr>
          <w:p w14:paraId="603DBC3A" w14:textId="2850D051"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Network support and control ancillary services </w:t>
            </w:r>
          </w:p>
          <w:p w14:paraId="10D9CB3F" w14:textId="42EC3109"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 </w:t>
            </w:r>
          </w:p>
          <w:p w14:paraId="0F20917B" w14:textId="17146A9A"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These ancillary services are used to control voltage and network loading, as well as to preserve transient and oscillatory stability. </w:t>
            </w:r>
          </w:p>
        </w:tc>
        <w:tc>
          <w:tcPr>
            <w:tcW w:w="1278" w:type="dxa"/>
          </w:tcPr>
          <w:p w14:paraId="532FC432" w14:textId="3296F88C"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Voltage control ancillary service </w:t>
            </w:r>
          </w:p>
        </w:tc>
        <w:tc>
          <w:tcPr>
            <w:tcW w:w="3826" w:type="dxa"/>
          </w:tcPr>
          <w:p w14:paraId="02CC4D01" w14:textId="77777777"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One method of controlling voltages on the system is through the dispatch of voltage control ancillary services where generators absorb or supply reactive power from or onto the electricity grid and control the local voltage accordingly. </w:t>
            </w:r>
          </w:p>
          <w:p w14:paraId="63CC6D8A" w14:textId="72B2C3B3"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The voltage control ancillary services can be further categorised as follows: </w:t>
            </w:r>
          </w:p>
          <w:p w14:paraId="34933A4C" w14:textId="0786C14C" w:rsidR="00316837" w:rsidRPr="00316837" w:rsidRDefault="00316837" w:rsidP="00E92788">
            <w:pPr>
              <w:pStyle w:val="ListParagraph"/>
              <w:numPr>
                <w:ilvl w:val="2"/>
                <w:numId w:val="70"/>
              </w:numPr>
              <w:spacing w:before="120" w:line="288" w:lineRule="auto"/>
              <w:ind w:left="316" w:hanging="284"/>
              <w:jc w:val="left"/>
              <w:rPr>
                <w:rFonts w:ascii="Arial" w:eastAsia="Calibri" w:hAnsi="Arial" w:cs="Arial"/>
                <w:sz w:val="18"/>
                <w:szCs w:val="18"/>
                <w:lang w:val="en-GB"/>
              </w:rPr>
            </w:pPr>
            <w:r w:rsidRPr="00316837">
              <w:rPr>
                <w:rFonts w:ascii="Arial" w:eastAsia="Calibri" w:hAnsi="Arial" w:cs="Arial"/>
                <w:sz w:val="18"/>
                <w:szCs w:val="18"/>
                <w:lang w:val="en-GB"/>
              </w:rPr>
              <w:t xml:space="preserve">Synchronous condenser, which is a generation unit that can generate or absorb reactive power while not generating energy in the market; and </w:t>
            </w:r>
          </w:p>
          <w:p w14:paraId="4C5B6F21" w14:textId="69716EC4" w:rsidR="00316837" w:rsidRPr="00316837" w:rsidRDefault="00316837" w:rsidP="00E92788">
            <w:pPr>
              <w:pStyle w:val="ListParagraph"/>
              <w:numPr>
                <w:ilvl w:val="2"/>
                <w:numId w:val="70"/>
              </w:numPr>
              <w:spacing w:before="120" w:line="288" w:lineRule="auto"/>
              <w:ind w:left="316" w:hanging="284"/>
              <w:jc w:val="left"/>
              <w:rPr>
                <w:rFonts w:eastAsia="Calibri"/>
                <w:sz w:val="18"/>
                <w:szCs w:val="18"/>
                <w:lang w:val="en-GB"/>
              </w:rPr>
            </w:pPr>
            <w:r w:rsidRPr="00316837">
              <w:rPr>
                <w:rFonts w:ascii="Arial" w:eastAsia="Calibri" w:hAnsi="Arial" w:cs="Arial"/>
                <w:sz w:val="18"/>
                <w:szCs w:val="18"/>
                <w:lang w:val="en-GB"/>
              </w:rPr>
              <w:t xml:space="preserve">Static reactive plant, which is an equipment such as capacitors or reactors that can supply or absorb reactive power. </w:t>
            </w:r>
          </w:p>
        </w:tc>
      </w:tr>
      <w:tr w:rsidR="00316837" w:rsidRPr="00316837" w14:paraId="50A1A542" w14:textId="77777777" w:rsidTr="006273BD">
        <w:tc>
          <w:tcPr>
            <w:tcW w:w="805" w:type="dxa"/>
            <w:vMerge/>
          </w:tcPr>
          <w:p w14:paraId="0C35EFF7" w14:textId="77777777" w:rsidR="00316837" w:rsidRPr="00316837" w:rsidRDefault="00316837" w:rsidP="00BC005C">
            <w:pPr>
              <w:spacing w:before="120" w:after="120"/>
              <w:jc w:val="left"/>
              <w:rPr>
                <w:rFonts w:eastAsia="Calibri"/>
                <w:sz w:val="18"/>
                <w:szCs w:val="18"/>
              </w:rPr>
            </w:pPr>
          </w:p>
        </w:tc>
        <w:tc>
          <w:tcPr>
            <w:tcW w:w="3720" w:type="dxa"/>
            <w:vMerge/>
          </w:tcPr>
          <w:p w14:paraId="523A2719" w14:textId="27D0B17E" w:rsidR="00316837" w:rsidRPr="00316837" w:rsidRDefault="00316837" w:rsidP="00BC005C">
            <w:pPr>
              <w:spacing w:before="120" w:after="120"/>
              <w:jc w:val="left"/>
              <w:rPr>
                <w:rFonts w:eastAsia="Calibri"/>
                <w:sz w:val="18"/>
                <w:szCs w:val="18"/>
              </w:rPr>
            </w:pPr>
          </w:p>
        </w:tc>
        <w:tc>
          <w:tcPr>
            <w:tcW w:w="1278" w:type="dxa"/>
          </w:tcPr>
          <w:p w14:paraId="1BFAD5AE" w14:textId="64C9F2D7"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Network loading control ancillary service </w:t>
            </w:r>
          </w:p>
        </w:tc>
        <w:tc>
          <w:tcPr>
            <w:tcW w:w="3826" w:type="dxa"/>
          </w:tcPr>
          <w:p w14:paraId="00E447C3" w14:textId="32761618"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Network loading ancillary services are used by the national TSOs to control the flow on interconnectors to within short-term limits. If for example the flow on an interconnector from region 1 to region 2 exceeds the short-term limit, the national TSOs can reduce the flow by increasing the generation levels of generators in region 2 or by shedding load in region 1. With this action, the flow on network elements can be controlled through the use of Automatic Generation Control. </w:t>
            </w:r>
          </w:p>
        </w:tc>
      </w:tr>
      <w:tr w:rsidR="00316837" w:rsidRPr="00316837" w14:paraId="40171990" w14:textId="77777777" w:rsidTr="006273BD">
        <w:tc>
          <w:tcPr>
            <w:tcW w:w="805" w:type="dxa"/>
            <w:vMerge/>
          </w:tcPr>
          <w:p w14:paraId="1642231E" w14:textId="77777777" w:rsidR="00316837" w:rsidRPr="00316837" w:rsidRDefault="00316837" w:rsidP="00BC005C">
            <w:pPr>
              <w:spacing w:before="120" w:after="120"/>
              <w:jc w:val="left"/>
              <w:rPr>
                <w:rFonts w:eastAsia="Calibri"/>
                <w:sz w:val="18"/>
                <w:szCs w:val="18"/>
              </w:rPr>
            </w:pPr>
          </w:p>
        </w:tc>
        <w:tc>
          <w:tcPr>
            <w:tcW w:w="3720" w:type="dxa"/>
            <w:vMerge/>
          </w:tcPr>
          <w:p w14:paraId="1349A44A" w14:textId="0C438B42" w:rsidR="00316837" w:rsidRPr="00316837" w:rsidRDefault="00316837" w:rsidP="00BC005C">
            <w:pPr>
              <w:spacing w:before="120" w:after="120"/>
              <w:jc w:val="left"/>
              <w:rPr>
                <w:rFonts w:eastAsia="Calibri"/>
                <w:sz w:val="18"/>
                <w:szCs w:val="18"/>
              </w:rPr>
            </w:pPr>
          </w:p>
        </w:tc>
        <w:tc>
          <w:tcPr>
            <w:tcW w:w="1278" w:type="dxa"/>
          </w:tcPr>
          <w:p w14:paraId="0B306388" w14:textId="773A7773"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Transient and oscillatory stability ancillary service </w:t>
            </w:r>
          </w:p>
        </w:tc>
        <w:tc>
          <w:tcPr>
            <w:tcW w:w="3826" w:type="dxa"/>
          </w:tcPr>
          <w:p w14:paraId="4D2FD4C4" w14:textId="77777777"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Transient and oscillatory stability ancillary services control and fast-regulate the network voltage, increase the inertia of rotating mass connected to the power system or rapidly increase/reduce load connected to the power system. </w:t>
            </w:r>
          </w:p>
          <w:p w14:paraId="51E45813" w14:textId="77777777" w:rsidR="00316837" w:rsidRPr="00316837" w:rsidRDefault="00316837" w:rsidP="00BC005C">
            <w:pPr>
              <w:spacing w:before="120" w:after="120"/>
              <w:jc w:val="left"/>
              <w:rPr>
                <w:rFonts w:eastAsia="Calibri"/>
                <w:sz w:val="18"/>
                <w:szCs w:val="18"/>
              </w:rPr>
            </w:pPr>
            <w:r w:rsidRPr="00316837">
              <w:rPr>
                <w:rFonts w:eastAsia="Calibri"/>
                <w:sz w:val="18"/>
                <w:szCs w:val="18"/>
              </w:rPr>
              <w:t xml:space="preserve">Some examples of the services are: </w:t>
            </w:r>
          </w:p>
          <w:p w14:paraId="0380EECB" w14:textId="77777777" w:rsidR="00316837" w:rsidRPr="00316837" w:rsidRDefault="00316837" w:rsidP="00E92788">
            <w:pPr>
              <w:pStyle w:val="ListParagraph"/>
              <w:numPr>
                <w:ilvl w:val="2"/>
                <w:numId w:val="70"/>
              </w:numPr>
              <w:spacing w:before="120" w:line="288" w:lineRule="auto"/>
              <w:ind w:left="316" w:hanging="284"/>
              <w:jc w:val="left"/>
              <w:rPr>
                <w:rFonts w:eastAsia="Calibri"/>
                <w:sz w:val="18"/>
                <w:szCs w:val="18"/>
                <w:lang w:val="en-GB"/>
              </w:rPr>
            </w:pPr>
            <w:r w:rsidRPr="00316837">
              <w:rPr>
                <w:rFonts w:ascii="Arial" w:eastAsia="Calibri" w:hAnsi="Arial" w:cs="Arial"/>
                <w:sz w:val="18"/>
                <w:szCs w:val="18"/>
                <w:lang w:val="en-GB"/>
              </w:rPr>
              <w:t xml:space="preserve">Power system stabilisers; </w:t>
            </w:r>
          </w:p>
          <w:p w14:paraId="613F2968" w14:textId="225CD146" w:rsidR="00316837" w:rsidRPr="00316837" w:rsidRDefault="00316837" w:rsidP="00E92788">
            <w:pPr>
              <w:pStyle w:val="ListParagraph"/>
              <w:numPr>
                <w:ilvl w:val="2"/>
                <w:numId w:val="70"/>
              </w:numPr>
              <w:spacing w:before="120" w:line="288" w:lineRule="auto"/>
              <w:ind w:left="316" w:hanging="284"/>
              <w:jc w:val="left"/>
              <w:rPr>
                <w:rFonts w:eastAsia="Calibri"/>
                <w:sz w:val="18"/>
                <w:szCs w:val="18"/>
                <w:lang w:val="en-GB"/>
              </w:rPr>
            </w:pPr>
            <w:r w:rsidRPr="00316837">
              <w:rPr>
                <w:rFonts w:ascii="Arial" w:eastAsia="Calibri" w:hAnsi="Arial" w:cs="Arial"/>
                <w:sz w:val="18"/>
                <w:szCs w:val="18"/>
                <w:lang w:val="en-GB"/>
              </w:rPr>
              <w:t xml:space="preserve">Fast regulating voltage services (synchronous condensers, Static Var Compensators, generators), </w:t>
            </w:r>
          </w:p>
          <w:p w14:paraId="5A67182B" w14:textId="190563BA" w:rsidR="00316837" w:rsidRPr="00316837" w:rsidRDefault="00316837" w:rsidP="00E92788">
            <w:pPr>
              <w:pStyle w:val="ListParagraph"/>
              <w:numPr>
                <w:ilvl w:val="2"/>
                <w:numId w:val="70"/>
              </w:numPr>
              <w:spacing w:before="120" w:line="288" w:lineRule="auto"/>
              <w:ind w:left="316" w:hanging="284"/>
              <w:jc w:val="left"/>
              <w:rPr>
                <w:rFonts w:eastAsia="Calibri"/>
                <w:sz w:val="18"/>
                <w:szCs w:val="18"/>
                <w:lang w:val="en-GB"/>
              </w:rPr>
            </w:pPr>
            <w:r w:rsidRPr="00316837">
              <w:rPr>
                <w:rFonts w:ascii="Arial" w:eastAsia="Calibri" w:hAnsi="Arial" w:cs="Arial"/>
                <w:sz w:val="18"/>
                <w:szCs w:val="18"/>
                <w:lang w:val="en-GB"/>
              </w:rPr>
              <w:t xml:space="preserve">Inertia support services, etc. </w:t>
            </w:r>
          </w:p>
        </w:tc>
      </w:tr>
      <w:tr w:rsidR="005766A4" w:rsidRPr="00316837" w14:paraId="7D90D8A7" w14:textId="6AC31BD4" w:rsidTr="006273BD">
        <w:tc>
          <w:tcPr>
            <w:tcW w:w="805" w:type="dxa"/>
          </w:tcPr>
          <w:p w14:paraId="6B53B979" w14:textId="4DFF69E0" w:rsidR="005766A4" w:rsidRPr="00316837" w:rsidRDefault="00513A0F" w:rsidP="00BC005C">
            <w:pPr>
              <w:spacing w:before="120" w:after="120"/>
              <w:jc w:val="left"/>
              <w:rPr>
                <w:rFonts w:eastAsia="Calibri"/>
                <w:sz w:val="18"/>
                <w:szCs w:val="18"/>
              </w:rPr>
            </w:pPr>
            <w:r w:rsidRPr="00316837">
              <w:rPr>
                <w:rFonts w:eastAsia="Calibri"/>
                <w:sz w:val="18"/>
                <w:szCs w:val="18"/>
              </w:rPr>
              <w:lastRenderedPageBreak/>
              <w:t>4</w:t>
            </w:r>
            <w:r w:rsidR="00316837">
              <w:rPr>
                <w:rFonts w:eastAsia="Calibri"/>
                <w:sz w:val="18"/>
                <w:szCs w:val="18"/>
              </w:rPr>
              <w:t xml:space="preserve"> </w:t>
            </w:r>
          </w:p>
        </w:tc>
        <w:tc>
          <w:tcPr>
            <w:tcW w:w="3720" w:type="dxa"/>
          </w:tcPr>
          <w:p w14:paraId="5151470F" w14:textId="0249FBF6" w:rsidR="005766A4" w:rsidRPr="00316837" w:rsidRDefault="005766A4" w:rsidP="00BC005C">
            <w:pPr>
              <w:spacing w:before="120" w:after="120"/>
              <w:jc w:val="left"/>
              <w:rPr>
                <w:rFonts w:eastAsia="Calibri"/>
                <w:sz w:val="18"/>
                <w:szCs w:val="18"/>
              </w:rPr>
            </w:pPr>
            <w:r w:rsidRPr="00316837">
              <w:rPr>
                <w:rFonts w:eastAsia="Calibri"/>
                <w:sz w:val="18"/>
                <w:szCs w:val="18"/>
              </w:rPr>
              <w:t>System restart ancillary services</w:t>
            </w:r>
          </w:p>
          <w:p w14:paraId="035A1BF8" w14:textId="5C7574F1" w:rsidR="005766A4" w:rsidRPr="00316837" w:rsidRDefault="005766A4" w:rsidP="00BC005C">
            <w:pPr>
              <w:spacing w:before="120" w:after="120"/>
              <w:jc w:val="left"/>
              <w:rPr>
                <w:rFonts w:eastAsia="Calibri"/>
                <w:sz w:val="18"/>
                <w:szCs w:val="18"/>
              </w:rPr>
            </w:pPr>
            <w:r w:rsidRPr="00316837">
              <w:rPr>
                <w:rFonts w:eastAsia="Calibri"/>
                <w:sz w:val="18"/>
                <w:szCs w:val="18"/>
              </w:rPr>
              <w:t xml:space="preserve">------------------------------------------------- </w:t>
            </w:r>
          </w:p>
          <w:p w14:paraId="0ED78833" w14:textId="37F3861A" w:rsidR="005766A4" w:rsidRPr="00316837" w:rsidRDefault="005766A4" w:rsidP="00BC005C">
            <w:pPr>
              <w:spacing w:before="120" w:after="120"/>
              <w:jc w:val="left"/>
              <w:rPr>
                <w:rFonts w:eastAsia="Calibri"/>
                <w:sz w:val="18"/>
                <w:szCs w:val="18"/>
              </w:rPr>
            </w:pPr>
            <w:r w:rsidRPr="00316837">
              <w:rPr>
                <w:rFonts w:eastAsia="Calibri"/>
                <w:sz w:val="18"/>
                <w:szCs w:val="18"/>
              </w:rPr>
              <w:t xml:space="preserve">These </w:t>
            </w:r>
            <w:r w:rsidR="00316837">
              <w:rPr>
                <w:rFonts w:eastAsia="Calibri"/>
                <w:sz w:val="18"/>
                <w:szCs w:val="18"/>
              </w:rPr>
              <w:t xml:space="preserve">ancillary services </w:t>
            </w:r>
            <w:r w:rsidRPr="00316837">
              <w:rPr>
                <w:rFonts w:eastAsia="Calibri"/>
                <w:sz w:val="18"/>
                <w:szCs w:val="18"/>
              </w:rPr>
              <w:t xml:space="preserve">are used to restore the state of the power system after major disturbances caused loss of supply in a part or a whole of the power system. </w:t>
            </w:r>
          </w:p>
        </w:tc>
        <w:tc>
          <w:tcPr>
            <w:tcW w:w="1278" w:type="dxa"/>
          </w:tcPr>
          <w:p w14:paraId="458241DF" w14:textId="7ECF8E3D" w:rsidR="005766A4" w:rsidRPr="00316837" w:rsidRDefault="005766A4" w:rsidP="00BC005C">
            <w:pPr>
              <w:spacing w:before="120" w:after="120"/>
              <w:jc w:val="left"/>
              <w:rPr>
                <w:rFonts w:eastAsia="Calibri"/>
                <w:sz w:val="18"/>
                <w:szCs w:val="18"/>
              </w:rPr>
            </w:pPr>
            <w:r w:rsidRPr="00316837">
              <w:rPr>
                <w:rFonts w:eastAsia="Calibri"/>
                <w:sz w:val="18"/>
                <w:szCs w:val="18"/>
              </w:rPr>
              <w:t xml:space="preserve">Black-start capability </w:t>
            </w:r>
          </w:p>
        </w:tc>
        <w:tc>
          <w:tcPr>
            <w:tcW w:w="3826" w:type="dxa"/>
          </w:tcPr>
          <w:p w14:paraId="5C03A849" w14:textId="77777777" w:rsidR="005766A4" w:rsidRPr="00316837" w:rsidRDefault="005766A4" w:rsidP="00BC005C">
            <w:pPr>
              <w:spacing w:before="120" w:after="120"/>
              <w:jc w:val="left"/>
              <w:rPr>
                <w:rFonts w:eastAsia="Calibri"/>
                <w:sz w:val="18"/>
                <w:szCs w:val="18"/>
              </w:rPr>
            </w:pPr>
            <w:r w:rsidRPr="00316837">
              <w:rPr>
                <w:rFonts w:eastAsia="Calibri"/>
                <w:sz w:val="18"/>
                <w:szCs w:val="18"/>
              </w:rPr>
              <w:t xml:space="preserve">Under conditions of system collapse, it may not be possible to draw power from the grid. </w:t>
            </w:r>
          </w:p>
          <w:p w14:paraId="1D8F8964" w14:textId="4A37DC1A" w:rsidR="005766A4" w:rsidRPr="00316837" w:rsidRDefault="005766A4" w:rsidP="00BC005C">
            <w:pPr>
              <w:spacing w:before="120" w:after="120"/>
              <w:jc w:val="left"/>
              <w:rPr>
                <w:rFonts w:eastAsia="Calibri"/>
                <w:sz w:val="18"/>
                <w:szCs w:val="18"/>
              </w:rPr>
            </w:pPr>
            <w:r w:rsidRPr="00316837">
              <w:rPr>
                <w:rFonts w:eastAsia="Calibri"/>
                <w:sz w:val="18"/>
                <w:szCs w:val="18"/>
              </w:rPr>
              <w:t xml:space="preserve">Generation units that can restart without taking power from the grid are called black-start units. </w:t>
            </w:r>
          </w:p>
          <w:p w14:paraId="47A16290" w14:textId="21142D9A" w:rsidR="005766A4" w:rsidRPr="00316837" w:rsidRDefault="005766A4" w:rsidP="00BC005C">
            <w:pPr>
              <w:spacing w:before="120" w:after="120"/>
              <w:jc w:val="left"/>
              <w:rPr>
                <w:rFonts w:eastAsia="Calibri"/>
                <w:sz w:val="18"/>
                <w:szCs w:val="18"/>
              </w:rPr>
            </w:pPr>
            <w:r w:rsidRPr="00316837">
              <w:rPr>
                <w:rFonts w:eastAsia="Calibri"/>
                <w:sz w:val="18"/>
                <w:szCs w:val="18"/>
              </w:rPr>
              <w:t xml:space="preserve">System restart ancillary services are required to enable the power system to be restarted following a complete or partial black-out. </w:t>
            </w:r>
          </w:p>
          <w:p w14:paraId="15BBDD8A" w14:textId="058E1467" w:rsidR="005766A4" w:rsidRPr="00316837" w:rsidRDefault="005766A4" w:rsidP="00BC005C">
            <w:pPr>
              <w:spacing w:before="120" w:after="120"/>
              <w:jc w:val="left"/>
              <w:rPr>
                <w:rFonts w:eastAsia="Calibri"/>
                <w:sz w:val="18"/>
                <w:szCs w:val="18"/>
              </w:rPr>
            </w:pPr>
            <w:r w:rsidRPr="00316837">
              <w:rPr>
                <w:rFonts w:eastAsia="Calibri"/>
                <w:sz w:val="18"/>
                <w:szCs w:val="18"/>
              </w:rPr>
              <w:t xml:space="preserve">These ancillary services can be provided by a General Restart Source which is a generator that can start and supply energy to the transmission grid without any external source of supply. </w:t>
            </w:r>
          </w:p>
          <w:p w14:paraId="5A0F81DC" w14:textId="7B90B8C9" w:rsidR="005766A4" w:rsidRPr="00316837" w:rsidRDefault="005766A4" w:rsidP="00BC005C">
            <w:pPr>
              <w:spacing w:before="120" w:after="120"/>
              <w:jc w:val="left"/>
              <w:rPr>
                <w:rFonts w:eastAsia="Calibri"/>
                <w:sz w:val="18"/>
                <w:szCs w:val="18"/>
              </w:rPr>
            </w:pPr>
            <w:r w:rsidRPr="00316837">
              <w:rPr>
                <w:rFonts w:eastAsia="Calibri"/>
                <w:sz w:val="18"/>
                <w:szCs w:val="18"/>
              </w:rPr>
              <w:t xml:space="preserve">A generator that can be used to start other units should have black-start capability and must be appropriately located on the grid. </w:t>
            </w:r>
          </w:p>
        </w:tc>
      </w:tr>
    </w:tbl>
    <w:p w14:paraId="2F726D07" w14:textId="5A8DA27F" w:rsidR="00137A36" w:rsidRPr="00316837" w:rsidRDefault="00AF1D24" w:rsidP="00137A36">
      <w:pPr>
        <w:rPr>
          <w:rFonts w:eastAsia="Calibri"/>
          <w:szCs w:val="22"/>
        </w:rPr>
      </w:pPr>
      <w:r w:rsidRPr="00316837">
        <w:rPr>
          <w:rFonts w:eastAsia="Calibri"/>
          <w:szCs w:val="22"/>
        </w:rPr>
        <w:t xml:space="preserve">SAPP has the Agreement </w:t>
      </w:r>
      <w:r w:rsidR="00E16180" w:rsidRPr="00316837">
        <w:rPr>
          <w:rFonts w:eastAsia="Calibri"/>
          <w:szCs w:val="22"/>
        </w:rPr>
        <w:t>b</w:t>
      </w:r>
      <w:r w:rsidRPr="00316837">
        <w:rPr>
          <w:rFonts w:eastAsia="Calibri"/>
          <w:szCs w:val="22"/>
        </w:rPr>
        <w:t>etween Operating Members which sets the standards and obligations for all member utilities interconnecting to the SAPP grid. This is complimented by the Operating, Planning and Environmental Management Guidelines. It is currently working in collaboration with the regional regulatory association (RERA) to harmonise the Grid Codes for the SADC Region. SAPP has already established an imbalance management mechanism to minimise imbalance energy at cross-border interconnectors. This will be complemented by the introduction of the balancing market which is at its final stages of development and will be implemented soon. A</w:t>
      </w:r>
      <w:r w:rsidR="00137A36" w:rsidRPr="00316837">
        <w:rPr>
          <w:rFonts w:eastAsia="Calibri"/>
          <w:szCs w:val="22"/>
        </w:rPr>
        <w:t xml:space="preserve">s part of its future </w:t>
      </w:r>
      <w:r w:rsidRPr="00316837">
        <w:rPr>
          <w:rFonts w:eastAsia="Calibri"/>
          <w:szCs w:val="22"/>
        </w:rPr>
        <w:t xml:space="preserve">development of the regional electricity </w:t>
      </w:r>
      <w:r w:rsidR="00137A36" w:rsidRPr="00316837">
        <w:rPr>
          <w:rFonts w:eastAsia="Calibri"/>
          <w:szCs w:val="22"/>
        </w:rPr>
        <w:t xml:space="preserve">market, SAPP plans to establish </w:t>
      </w:r>
      <w:r w:rsidRPr="00316837">
        <w:rPr>
          <w:rFonts w:eastAsia="Calibri"/>
          <w:szCs w:val="22"/>
        </w:rPr>
        <w:t xml:space="preserve">the </w:t>
      </w:r>
      <w:r w:rsidR="00137A36" w:rsidRPr="00316837">
        <w:rPr>
          <w:rFonts w:eastAsia="Calibri"/>
          <w:szCs w:val="22"/>
        </w:rPr>
        <w:t>Ancillary Services Market</w:t>
      </w:r>
      <w:r w:rsidRPr="00316837">
        <w:rPr>
          <w:rFonts w:eastAsia="Calibri"/>
          <w:szCs w:val="22"/>
        </w:rPr>
        <w:t xml:space="preserve"> too</w:t>
      </w:r>
      <w:r w:rsidR="00137A36" w:rsidRPr="00316837">
        <w:rPr>
          <w:rFonts w:eastAsia="Calibri"/>
          <w:szCs w:val="22"/>
        </w:rPr>
        <w:t xml:space="preserve">. </w:t>
      </w:r>
    </w:p>
    <w:p w14:paraId="0D158A5B" w14:textId="2CB1BC3F" w:rsidR="00137A36" w:rsidRPr="00316837" w:rsidRDefault="00137A36" w:rsidP="00137A36">
      <w:pPr>
        <w:rPr>
          <w:rFonts w:eastAsia="Calibri"/>
          <w:szCs w:val="22"/>
        </w:rPr>
      </w:pPr>
      <w:r w:rsidRPr="00316837">
        <w:rPr>
          <w:rFonts w:eastAsia="Calibri"/>
          <w:szCs w:val="22"/>
        </w:rPr>
        <w:t>For WAPP, the aim is to complete a project that will ensure the synchroni</w:t>
      </w:r>
      <w:r w:rsidR="00AF1D24" w:rsidRPr="00316837">
        <w:rPr>
          <w:rFonts w:eastAsia="Calibri"/>
          <w:szCs w:val="22"/>
        </w:rPr>
        <w:t>s</w:t>
      </w:r>
      <w:r w:rsidRPr="00316837">
        <w:rPr>
          <w:rFonts w:eastAsia="Calibri"/>
          <w:szCs w:val="22"/>
        </w:rPr>
        <w:t>ation of the interconnected network of the 14 ECOWAS countries.</w:t>
      </w:r>
      <w:r w:rsidRPr="00316837">
        <w:rPr>
          <w:rFonts w:eastAsia="Calibri"/>
          <w:i/>
          <w:szCs w:val="22"/>
        </w:rPr>
        <w:t xml:space="preserve"> </w:t>
      </w:r>
      <w:r w:rsidRPr="00316837">
        <w:rPr>
          <w:rFonts w:eastAsia="Calibri"/>
          <w:szCs w:val="22"/>
        </w:rPr>
        <w:t xml:space="preserve">The </w:t>
      </w:r>
      <w:r w:rsidR="00AF1D24" w:rsidRPr="00316837">
        <w:rPr>
          <w:rFonts w:eastAsia="Calibri"/>
          <w:szCs w:val="22"/>
        </w:rPr>
        <w:t xml:space="preserve">synchronisation </w:t>
      </w:r>
      <w:r w:rsidRPr="00316837">
        <w:rPr>
          <w:rFonts w:eastAsia="Calibri"/>
          <w:szCs w:val="22"/>
        </w:rPr>
        <w:t xml:space="preserve">project is being carried out under </w:t>
      </w:r>
      <w:r w:rsidR="00AF1D24" w:rsidRPr="00316837">
        <w:rPr>
          <w:rFonts w:eastAsia="Calibri"/>
          <w:szCs w:val="22"/>
        </w:rPr>
        <w:t xml:space="preserve">the </w:t>
      </w:r>
      <w:r w:rsidRPr="00316837">
        <w:rPr>
          <w:rFonts w:eastAsia="Calibri"/>
          <w:szCs w:val="22"/>
        </w:rPr>
        <w:t xml:space="preserve">World Bank grant of US$ 21.5 million and is expected to be completed in 2022. Key aspects of the </w:t>
      </w:r>
      <w:r w:rsidR="00AF1D24" w:rsidRPr="00316837">
        <w:rPr>
          <w:rFonts w:eastAsia="Calibri"/>
          <w:szCs w:val="22"/>
        </w:rPr>
        <w:t xml:space="preserve">synchronisation </w:t>
      </w:r>
      <w:r w:rsidRPr="00316837">
        <w:rPr>
          <w:rFonts w:eastAsia="Calibri"/>
          <w:szCs w:val="22"/>
        </w:rPr>
        <w:t xml:space="preserve">project include: </w:t>
      </w:r>
    </w:p>
    <w:p w14:paraId="0E6979F6" w14:textId="26120726" w:rsidR="00137A36" w:rsidRPr="00316837" w:rsidRDefault="00137A36" w:rsidP="00E92788">
      <w:pPr>
        <w:pStyle w:val="ListParagraph"/>
        <w:numPr>
          <w:ilvl w:val="0"/>
          <w:numId w:val="75"/>
        </w:numPr>
        <w:spacing w:before="160" w:after="0" w:line="288" w:lineRule="auto"/>
        <w:rPr>
          <w:rFonts w:ascii="Arial" w:hAnsi="Arial" w:cs="Arial"/>
          <w:sz w:val="20"/>
          <w:szCs w:val="20"/>
          <w:lang w:val="en-GB"/>
        </w:rPr>
      </w:pPr>
      <w:r w:rsidRPr="00316837">
        <w:rPr>
          <w:rFonts w:ascii="Arial" w:hAnsi="Arial" w:cs="Arial"/>
          <w:sz w:val="20"/>
          <w:szCs w:val="20"/>
          <w:lang w:val="en-GB"/>
        </w:rPr>
        <w:t>Voltage control</w:t>
      </w:r>
      <w:r w:rsidR="00AF1D24" w:rsidRPr="00316837">
        <w:rPr>
          <w:rFonts w:ascii="Arial" w:hAnsi="Arial" w:cs="Arial"/>
          <w:sz w:val="20"/>
          <w:szCs w:val="20"/>
          <w:lang w:val="en-GB"/>
        </w:rPr>
        <w:t xml:space="preserve"> – i</w:t>
      </w:r>
      <w:r w:rsidRPr="00316837">
        <w:rPr>
          <w:rFonts w:ascii="Arial" w:hAnsi="Arial" w:cs="Arial"/>
          <w:sz w:val="20"/>
          <w:szCs w:val="20"/>
          <w:lang w:val="en-GB"/>
        </w:rPr>
        <w:t>nstallation</w:t>
      </w:r>
      <w:r w:rsidR="00AF1D24" w:rsidRPr="00316837">
        <w:rPr>
          <w:rFonts w:ascii="Arial" w:hAnsi="Arial" w:cs="Arial"/>
          <w:sz w:val="20"/>
          <w:szCs w:val="20"/>
          <w:lang w:val="en-GB"/>
        </w:rPr>
        <w:t xml:space="preserve"> </w:t>
      </w:r>
      <w:r w:rsidRPr="00316837">
        <w:rPr>
          <w:rFonts w:ascii="Arial" w:hAnsi="Arial" w:cs="Arial"/>
          <w:sz w:val="20"/>
          <w:szCs w:val="20"/>
          <w:lang w:val="en-GB"/>
        </w:rPr>
        <w:t>of S</w:t>
      </w:r>
      <w:r w:rsidR="00B6101C" w:rsidRPr="00316837">
        <w:rPr>
          <w:rFonts w:ascii="Arial" w:hAnsi="Arial" w:cs="Arial"/>
          <w:sz w:val="20"/>
          <w:szCs w:val="20"/>
          <w:lang w:val="en-GB"/>
        </w:rPr>
        <w:t xml:space="preserve">tatic </w:t>
      </w:r>
      <w:r w:rsidRPr="00316837">
        <w:rPr>
          <w:rFonts w:ascii="Arial" w:hAnsi="Arial" w:cs="Arial"/>
          <w:sz w:val="20"/>
          <w:szCs w:val="20"/>
          <w:lang w:val="en-GB"/>
        </w:rPr>
        <w:t>V</w:t>
      </w:r>
      <w:r w:rsidR="00B6101C" w:rsidRPr="00316837">
        <w:rPr>
          <w:rFonts w:ascii="Arial" w:hAnsi="Arial" w:cs="Arial"/>
          <w:sz w:val="20"/>
          <w:szCs w:val="20"/>
          <w:lang w:val="en-GB"/>
        </w:rPr>
        <w:t xml:space="preserve">ar </w:t>
      </w:r>
      <w:r w:rsidRPr="00316837">
        <w:rPr>
          <w:rFonts w:ascii="Arial" w:hAnsi="Arial" w:cs="Arial"/>
          <w:sz w:val="20"/>
          <w:szCs w:val="20"/>
          <w:lang w:val="en-GB"/>
        </w:rPr>
        <w:t>C</w:t>
      </w:r>
      <w:r w:rsidR="00B6101C" w:rsidRPr="00316837">
        <w:rPr>
          <w:rFonts w:ascii="Arial" w:hAnsi="Arial" w:cs="Arial"/>
          <w:sz w:val="20"/>
          <w:szCs w:val="20"/>
          <w:lang w:val="en-GB"/>
        </w:rPr>
        <w:t>ompensator</w:t>
      </w:r>
      <w:r w:rsidRPr="00316837">
        <w:rPr>
          <w:rFonts w:ascii="Arial" w:hAnsi="Arial" w:cs="Arial"/>
          <w:sz w:val="20"/>
          <w:szCs w:val="20"/>
          <w:lang w:val="en-GB"/>
        </w:rPr>
        <w:t>s;</w:t>
      </w:r>
      <w:r w:rsidR="00AF1D24" w:rsidRPr="00316837">
        <w:rPr>
          <w:rFonts w:ascii="Arial" w:hAnsi="Arial" w:cs="Arial"/>
          <w:sz w:val="20"/>
          <w:szCs w:val="20"/>
          <w:lang w:val="en-GB"/>
        </w:rPr>
        <w:t xml:space="preserve"> </w:t>
      </w:r>
    </w:p>
    <w:p w14:paraId="7F788EFB" w14:textId="16C4F6FB" w:rsidR="00137A36" w:rsidRPr="00316837" w:rsidRDefault="00137A36" w:rsidP="00E92788">
      <w:pPr>
        <w:pStyle w:val="ListParagraph"/>
        <w:numPr>
          <w:ilvl w:val="0"/>
          <w:numId w:val="75"/>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Network </w:t>
      </w:r>
      <w:r w:rsidR="00AF1D24" w:rsidRPr="00316837">
        <w:rPr>
          <w:rFonts w:ascii="Arial" w:hAnsi="Arial" w:cs="Arial"/>
          <w:sz w:val="20"/>
          <w:szCs w:val="20"/>
          <w:lang w:val="en-GB"/>
        </w:rPr>
        <w:t>s</w:t>
      </w:r>
      <w:r w:rsidRPr="00316837">
        <w:rPr>
          <w:rFonts w:ascii="Arial" w:hAnsi="Arial" w:cs="Arial"/>
          <w:sz w:val="20"/>
          <w:szCs w:val="20"/>
          <w:lang w:val="en-GB"/>
        </w:rPr>
        <w:t xml:space="preserve">afety and </w:t>
      </w:r>
      <w:r w:rsidR="00AF1D24" w:rsidRPr="00316837">
        <w:rPr>
          <w:rFonts w:ascii="Arial" w:hAnsi="Arial" w:cs="Arial"/>
          <w:sz w:val="20"/>
          <w:szCs w:val="20"/>
          <w:lang w:val="en-GB"/>
        </w:rPr>
        <w:t>s</w:t>
      </w:r>
      <w:r w:rsidRPr="00316837">
        <w:rPr>
          <w:rFonts w:ascii="Arial" w:hAnsi="Arial" w:cs="Arial"/>
          <w:sz w:val="20"/>
          <w:szCs w:val="20"/>
          <w:lang w:val="en-GB"/>
        </w:rPr>
        <w:t>ecurity</w:t>
      </w:r>
      <w:r w:rsidR="00AF1D24" w:rsidRPr="00316837">
        <w:rPr>
          <w:rFonts w:ascii="Arial" w:hAnsi="Arial" w:cs="Arial"/>
          <w:sz w:val="20"/>
          <w:szCs w:val="20"/>
          <w:lang w:val="en-GB"/>
        </w:rPr>
        <w:t xml:space="preserve"> – i</w:t>
      </w:r>
      <w:r w:rsidRPr="00316837">
        <w:rPr>
          <w:rFonts w:ascii="Arial" w:hAnsi="Arial" w:cs="Arial"/>
          <w:sz w:val="20"/>
          <w:szCs w:val="20"/>
          <w:lang w:val="en-GB"/>
        </w:rPr>
        <w:t>nstallation</w:t>
      </w:r>
      <w:r w:rsidR="00AF1D24" w:rsidRPr="00316837">
        <w:rPr>
          <w:rFonts w:ascii="Arial" w:hAnsi="Arial" w:cs="Arial"/>
          <w:sz w:val="20"/>
          <w:szCs w:val="20"/>
          <w:lang w:val="en-GB"/>
        </w:rPr>
        <w:t xml:space="preserve"> </w:t>
      </w:r>
      <w:r w:rsidRPr="00316837">
        <w:rPr>
          <w:rFonts w:ascii="Arial" w:hAnsi="Arial" w:cs="Arial"/>
          <w:sz w:val="20"/>
          <w:szCs w:val="20"/>
          <w:lang w:val="en-GB"/>
        </w:rPr>
        <w:t>of PMUs at each end of the interconnection lines to be integrated into the WAMS and installation of the decoupling relay;</w:t>
      </w:r>
      <w:r w:rsidR="00AF1D24" w:rsidRPr="00316837">
        <w:rPr>
          <w:rFonts w:ascii="Arial" w:hAnsi="Arial" w:cs="Arial"/>
          <w:sz w:val="20"/>
          <w:szCs w:val="20"/>
          <w:lang w:val="en-GB"/>
        </w:rPr>
        <w:t xml:space="preserve"> and </w:t>
      </w:r>
    </w:p>
    <w:p w14:paraId="4F12315D" w14:textId="0829ECC9" w:rsidR="00137A36" w:rsidRPr="00316837" w:rsidRDefault="00137A36" w:rsidP="00E92788">
      <w:pPr>
        <w:pStyle w:val="ListParagraph"/>
        <w:numPr>
          <w:ilvl w:val="0"/>
          <w:numId w:val="75"/>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Frequency </w:t>
      </w:r>
      <w:r w:rsidR="00AF1D24" w:rsidRPr="00316837">
        <w:rPr>
          <w:rFonts w:ascii="Arial" w:hAnsi="Arial" w:cs="Arial"/>
          <w:sz w:val="20"/>
          <w:szCs w:val="20"/>
          <w:lang w:val="en-GB"/>
        </w:rPr>
        <w:t>c</w:t>
      </w:r>
      <w:r w:rsidRPr="00316837">
        <w:rPr>
          <w:rFonts w:ascii="Arial" w:hAnsi="Arial" w:cs="Arial"/>
          <w:sz w:val="20"/>
          <w:szCs w:val="20"/>
          <w:lang w:val="en-GB"/>
        </w:rPr>
        <w:t>ontrol</w:t>
      </w:r>
      <w:r w:rsidR="00AF1D24" w:rsidRPr="00316837">
        <w:rPr>
          <w:rFonts w:ascii="Arial" w:hAnsi="Arial" w:cs="Arial"/>
          <w:sz w:val="20"/>
          <w:szCs w:val="20"/>
          <w:lang w:val="en-GB"/>
        </w:rPr>
        <w:t xml:space="preserve"> –</w:t>
      </w:r>
      <w:r w:rsidRPr="00316837">
        <w:rPr>
          <w:rFonts w:ascii="Arial" w:hAnsi="Arial" w:cs="Arial"/>
          <w:sz w:val="20"/>
          <w:szCs w:val="20"/>
          <w:lang w:val="en-GB"/>
        </w:rPr>
        <w:t xml:space="preserve"> </w:t>
      </w:r>
      <w:r w:rsidR="00AF1D24" w:rsidRPr="00316837">
        <w:rPr>
          <w:rFonts w:ascii="Arial" w:hAnsi="Arial" w:cs="Arial"/>
          <w:sz w:val="20"/>
          <w:szCs w:val="20"/>
          <w:lang w:val="en-GB"/>
        </w:rPr>
        <w:t>u</w:t>
      </w:r>
      <w:r w:rsidRPr="00316837">
        <w:rPr>
          <w:rFonts w:ascii="Arial" w:hAnsi="Arial" w:cs="Arial"/>
          <w:sz w:val="20"/>
          <w:szCs w:val="20"/>
          <w:lang w:val="en-GB"/>
        </w:rPr>
        <w:t>pgrading</w:t>
      </w:r>
      <w:r w:rsidR="00AF1D24" w:rsidRPr="00316837">
        <w:rPr>
          <w:rFonts w:ascii="Arial" w:hAnsi="Arial" w:cs="Arial"/>
          <w:sz w:val="20"/>
          <w:szCs w:val="20"/>
          <w:lang w:val="en-GB"/>
        </w:rPr>
        <w:t xml:space="preserve"> </w:t>
      </w:r>
      <w:r w:rsidRPr="00316837">
        <w:rPr>
          <w:rFonts w:ascii="Arial" w:hAnsi="Arial" w:cs="Arial"/>
          <w:sz w:val="20"/>
          <w:szCs w:val="20"/>
          <w:lang w:val="en-GB"/>
        </w:rPr>
        <w:t>of works to enhance frequency setting and stability.</w:t>
      </w:r>
      <w:r w:rsidR="00AF1D24" w:rsidRPr="00316837">
        <w:rPr>
          <w:rFonts w:ascii="Arial" w:hAnsi="Arial" w:cs="Arial"/>
          <w:sz w:val="20"/>
          <w:szCs w:val="20"/>
          <w:lang w:val="en-GB"/>
        </w:rPr>
        <w:t xml:space="preserve"> </w:t>
      </w:r>
    </w:p>
    <w:p w14:paraId="33C660A3" w14:textId="596B87E1" w:rsidR="00137A36" w:rsidRPr="00316837" w:rsidRDefault="00137A36" w:rsidP="00AF1D24">
      <w:pPr>
        <w:rPr>
          <w:rFonts w:eastAsia="Calibri"/>
          <w:szCs w:val="22"/>
        </w:rPr>
      </w:pPr>
      <w:r w:rsidRPr="00316837">
        <w:rPr>
          <w:rFonts w:eastAsia="Calibri"/>
          <w:szCs w:val="22"/>
        </w:rPr>
        <w:t>In order to implement the synchroni</w:t>
      </w:r>
      <w:r w:rsidR="00AF1D24" w:rsidRPr="00316837">
        <w:rPr>
          <w:rFonts w:eastAsia="Calibri"/>
          <w:szCs w:val="22"/>
        </w:rPr>
        <w:t>s</w:t>
      </w:r>
      <w:r w:rsidRPr="00316837">
        <w:rPr>
          <w:rFonts w:eastAsia="Calibri"/>
          <w:szCs w:val="22"/>
        </w:rPr>
        <w:t>ation project, WAPP has established the working groups</w:t>
      </w:r>
      <w:r w:rsidR="00AF1D24" w:rsidRPr="00316837">
        <w:rPr>
          <w:rFonts w:eastAsia="Calibri"/>
          <w:szCs w:val="22"/>
        </w:rPr>
        <w:t xml:space="preserve"> for f</w:t>
      </w:r>
      <w:r w:rsidRPr="00316837">
        <w:rPr>
          <w:rFonts w:eastAsia="Calibri"/>
          <w:szCs w:val="22"/>
        </w:rPr>
        <w:t xml:space="preserve">requency </w:t>
      </w:r>
      <w:r w:rsidR="00AF1D24" w:rsidRPr="00316837">
        <w:rPr>
          <w:rFonts w:eastAsia="Calibri"/>
          <w:szCs w:val="22"/>
        </w:rPr>
        <w:t>a</w:t>
      </w:r>
      <w:r w:rsidRPr="00316837">
        <w:rPr>
          <w:rFonts w:eastAsia="Calibri"/>
          <w:szCs w:val="22"/>
        </w:rPr>
        <w:t>djustment</w:t>
      </w:r>
      <w:r w:rsidR="00AF1D24" w:rsidRPr="00316837">
        <w:rPr>
          <w:rFonts w:eastAsia="Calibri"/>
          <w:szCs w:val="22"/>
        </w:rPr>
        <w:t>, p</w:t>
      </w:r>
      <w:r w:rsidRPr="00316837">
        <w:rPr>
          <w:rFonts w:eastAsia="Calibri"/>
          <w:szCs w:val="22"/>
        </w:rPr>
        <w:t xml:space="preserve">rotection </w:t>
      </w:r>
      <w:r w:rsidR="00AF1D24" w:rsidRPr="00316837">
        <w:rPr>
          <w:rFonts w:eastAsia="Calibri"/>
          <w:szCs w:val="22"/>
        </w:rPr>
        <w:t>c</w:t>
      </w:r>
      <w:r w:rsidRPr="00316837">
        <w:rPr>
          <w:rFonts w:eastAsia="Calibri"/>
          <w:szCs w:val="22"/>
        </w:rPr>
        <w:t>oordination</w:t>
      </w:r>
      <w:r w:rsidR="00AF1D24" w:rsidRPr="00316837">
        <w:rPr>
          <w:rFonts w:eastAsia="Calibri"/>
          <w:szCs w:val="22"/>
        </w:rPr>
        <w:t>, and n</w:t>
      </w:r>
      <w:r w:rsidRPr="00316837">
        <w:rPr>
          <w:rFonts w:eastAsia="Calibri"/>
          <w:szCs w:val="22"/>
        </w:rPr>
        <w:t xml:space="preserve">etwork </w:t>
      </w:r>
      <w:r w:rsidR="00AF1D24" w:rsidRPr="00316837">
        <w:rPr>
          <w:rFonts w:eastAsia="Calibri"/>
          <w:szCs w:val="22"/>
        </w:rPr>
        <w:t>r</w:t>
      </w:r>
      <w:r w:rsidRPr="00316837">
        <w:rPr>
          <w:rFonts w:eastAsia="Calibri"/>
          <w:szCs w:val="22"/>
        </w:rPr>
        <w:t xml:space="preserve">eliability </w:t>
      </w:r>
      <w:r w:rsidR="00AF1D24" w:rsidRPr="00316837">
        <w:rPr>
          <w:rFonts w:eastAsia="Calibri"/>
          <w:szCs w:val="22"/>
        </w:rPr>
        <w:t>a</w:t>
      </w:r>
      <w:r w:rsidRPr="00316837">
        <w:rPr>
          <w:rFonts w:eastAsia="Calibri"/>
          <w:szCs w:val="22"/>
        </w:rPr>
        <w:t>ssessment</w:t>
      </w:r>
      <w:r w:rsidR="00AF1D24" w:rsidRPr="00316837">
        <w:rPr>
          <w:rFonts w:eastAsia="Calibri"/>
          <w:szCs w:val="22"/>
        </w:rPr>
        <w:t xml:space="preserve">. </w:t>
      </w:r>
    </w:p>
    <w:p w14:paraId="0E03969B" w14:textId="77777777" w:rsidR="00AF1D24" w:rsidRPr="00316837" w:rsidRDefault="00137A36" w:rsidP="00AF1D24">
      <w:pPr>
        <w:rPr>
          <w:rFonts w:eastAsia="Calibri"/>
          <w:szCs w:val="22"/>
        </w:rPr>
      </w:pPr>
      <w:r w:rsidRPr="00316837">
        <w:rPr>
          <w:rFonts w:eastAsia="Calibri"/>
          <w:szCs w:val="22"/>
        </w:rPr>
        <w:t xml:space="preserve">The study report </w:t>
      </w:r>
      <w:r w:rsidR="00AF1D24" w:rsidRPr="00316837">
        <w:rPr>
          <w:rFonts w:eastAsia="Calibri"/>
          <w:szCs w:val="22"/>
        </w:rPr>
        <w:t xml:space="preserve">has been elaborated </w:t>
      </w:r>
      <w:r w:rsidRPr="00316837">
        <w:rPr>
          <w:rFonts w:eastAsia="Calibri"/>
          <w:szCs w:val="22"/>
        </w:rPr>
        <w:t>on the advisability for</w:t>
      </w:r>
      <w:r w:rsidR="00AF1D24" w:rsidRPr="00316837">
        <w:rPr>
          <w:rFonts w:eastAsia="Calibri"/>
          <w:szCs w:val="22"/>
        </w:rPr>
        <w:t>:</w:t>
      </w:r>
      <w:r w:rsidRPr="00316837">
        <w:rPr>
          <w:rFonts w:eastAsia="Calibri"/>
          <w:szCs w:val="22"/>
        </w:rPr>
        <w:t xml:space="preserve"> </w:t>
      </w:r>
    </w:p>
    <w:p w14:paraId="5C760D0D" w14:textId="6933BC69" w:rsidR="00137A36" w:rsidRPr="00316837" w:rsidRDefault="00AF1D24" w:rsidP="00E92788">
      <w:pPr>
        <w:pStyle w:val="ListParagraph"/>
        <w:numPr>
          <w:ilvl w:val="0"/>
          <w:numId w:val="76"/>
        </w:numPr>
        <w:spacing w:before="160" w:after="0" w:line="288" w:lineRule="auto"/>
        <w:rPr>
          <w:rFonts w:ascii="Arial" w:hAnsi="Arial" w:cs="Arial"/>
          <w:sz w:val="20"/>
          <w:szCs w:val="20"/>
          <w:lang w:val="en-GB"/>
        </w:rPr>
      </w:pPr>
      <w:r w:rsidRPr="00316837">
        <w:rPr>
          <w:rFonts w:ascii="Arial" w:hAnsi="Arial" w:cs="Arial"/>
          <w:sz w:val="20"/>
          <w:szCs w:val="20"/>
          <w:lang w:val="en-GB"/>
        </w:rPr>
        <w:t>E</w:t>
      </w:r>
      <w:r w:rsidR="00137A36" w:rsidRPr="00316837">
        <w:rPr>
          <w:rFonts w:ascii="Arial" w:hAnsi="Arial" w:cs="Arial"/>
          <w:sz w:val="20"/>
          <w:szCs w:val="20"/>
          <w:lang w:val="en-GB"/>
        </w:rPr>
        <w:t>stablish</w:t>
      </w:r>
      <w:r w:rsidRPr="00316837">
        <w:rPr>
          <w:rFonts w:ascii="Arial" w:hAnsi="Arial" w:cs="Arial"/>
          <w:sz w:val="20"/>
          <w:szCs w:val="20"/>
          <w:lang w:val="en-GB"/>
        </w:rPr>
        <w:t>ment of the</w:t>
      </w:r>
      <w:r w:rsidR="00137A36" w:rsidRPr="00316837">
        <w:rPr>
          <w:rFonts w:ascii="Arial" w:hAnsi="Arial" w:cs="Arial"/>
          <w:sz w:val="20"/>
          <w:szCs w:val="20"/>
          <w:lang w:val="en-GB"/>
        </w:rPr>
        <w:t xml:space="preserve"> Systems Services Market;</w:t>
      </w:r>
      <w:r w:rsidRPr="00316837">
        <w:rPr>
          <w:rFonts w:ascii="Arial" w:hAnsi="Arial" w:cs="Arial"/>
          <w:sz w:val="20"/>
          <w:szCs w:val="20"/>
          <w:lang w:val="en-GB"/>
        </w:rPr>
        <w:t xml:space="preserve"> </w:t>
      </w:r>
    </w:p>
    <w:p w14:paraId="37DFA2A2" w14:textId="2A841C13" w:rsidR="00137A36" w:rsidRPr="00316837" w:rsidRDefault="00137A36" w:rsidP="00E92788">
      <w:pPr>
        <w:pStyle w:val="ListParagraph"/>
        <w:numPr>
          <w:ilvl w:val="0"/>
          <w:numId w:val="76"/>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Establishment of </w:t>
      </w:r>
      <w:r w:rsidR="00AF1D24" w:rsidRPr="00316837">
        <w:rPr>
          <w:rFonts w:ascii="Arial" w:hAnsi="Arial" w:cs="Arial"/>
          <w:sz w:val="20"/>
          <w:szCs w:val="20"/>
          <w:lang w:val="en-GB"/>
        </w:rPr>
        <w:t xml:space="preserve">the </w:t>
      </w:r>
      <w:r w:rsidRPr="00316837">
        <w:rPr>
          <w:rFonts w:ascii="Arial" w:hAnsi="Arial" w:cs="Arial"/>
          <w:sz w:val="20"/>
          <w:szCs w:val="20"/>
          <w:lang w:val="en-GB"/>
        </w:rPr>
        <w:t>Operating Reserves</w:t>
      </w:r>
      <w:r w:rsidR="00AF1D24" w:rsidRPr="00316837">
        <w:rPr>
          <w:rFonts w:ascii="Arial" w:hAnsi="Arial" w:cs="Arial"/>
          <w:sz w:val="20"/>
          <w:szCs w:val="20"/>
          <w:lang w:val="en-GB"/>
        </w:rPr>
        <w:t xml:space="preserve"> (</w:t>
      </w:r>
      <w:r w:rsidRPr="00316837">
        <w:rPr>
          <w:rFonts w:ascii="Arial" w:hAnsi="Arial" w:cs="Arial"/>
          <w:sz w:val="20"/>
          <w:szCs w:val="20"/>
          <w:lang w:val="en-GB"/>
        </w:rPr>
        <w:t xml:space="preserve">primary, secondary, </w:t>
      </w:r>
      <w:r w:rsidR="00AF1D24" w:rsidRPr="00316837">
        <w:rPr>
          <w:rFonts w:ascii="Arial" w:hAnsi="Arial" w:cs="Arial"/>
          <w:sz w:val="20"/>
          <w:szCs w:val="20"/>
          <w:lang w:val="en-GB"/>
        </w:rPr>
        <w:t xml:space="preserve">and </w:t>
      </w:r>
      <w:r w:rsidRPr="00316837">
        <w:rPr>
          <w:rFonts w:ascii="Arial" w:hAnsi="Arial" w:cs="Arial"/>
          <w:sz w:val="20"/>
          <w:szCs w:val="20"/>
          <w:lang w:val="en-GB"/>
        </w:rPr>
        <w:t>tertiary reserves</w:t>
      </w:r>
      <w:r w:rsidR="00AF1D24" w:rsidRPr="00316837">
        <w:rPr>
          <w:rFonts w:ascii="Arial" w:hAnsi="Arial" w:cs="Arial"/>
          <w:sz w:val="20"/>
          <w:szCs w:val="20"/>
          <w:lang w:val="en-GB"/>
        </w:rPr>
        <w:t>)</w:t>
      </w:r>
      <w:r w:rsidRPr="00316837">
        <w:rPr>
          <w:rFonts w:ascii="Arial" w:hAnsi="Arial" w:cs="Arial"/>
          <w:sz w:val="20"/>
          <w:szCs w:val="20"/>
          <w:lang w:val="en-GB"/>
        </w:rPr>
        <w:t>;</w:t>
      </w:r>
      <w:r w:rsidR="00AF1D24" w:rsidRPr="00316837">
        <w:rPr>
          <w:rFonts w:ascii="Arial" w:hAnsi="Arial" w:cs="Arial"/>
          <w:sz w:val="20"/>
          <w:szCs w:val="20"/>
          <w:lang w:val="en-GB"/>
        </w:rPr>
        <w:t xml:space="preserve"> </w:t>
      </w:r>
    </w:p>
    <w:p w14:paraId="196F04CF" w14:textId="03D13EE2" w:rsidR="00137A36" w:rsidRPr="00316837" w:rsidRDefault="00137A36" w:rsidP="00E92788">
      <w:pPr>
        <w:pStyle w:val="ListParagraph"/>
        <w:numPr>
          <w:ilvl w:val="0"/>
          <w:numId w:val="76"/>
        </w:numPr>
        <w:spacing w:before="160" w:after="0" w:line="288" w:lineRule="auto"/>
        <w:rPr>
          <w:rFonts w:ascii="Arial" w:hAnsi="Arial" w:cs="Arial"/>
          <w:sz w:val="20"/>
          <w:szCs w:val="20"/>
          <w:lang w:val="en-GB"/>
        </w:rPr>
      </w:pPr>
      <w:r w:rsidRPr="00316837">
        <w:rPr>
          <w:rFonts w:ascii="Arial" w:hAnsi="Arial" w:cs="Arial"/>
          <w:sz w:val="20"/>
          <w:szCs w:val="20"/>
          <w:lang w:val="en-GB"/>
        </w:rPr>
        <w:t>Maintenance plan for good voltage for the electrical system</w:t>
      </w:r>
      <w:r w:rsidR="00AF1D24" w:rsidRPr="00316837">
        <w:rPr>
          <w:rFonts w:ascii="Arial" w:hAnsi="Arial" w:cs="Arial"/>
          <w:sz w:val="20"/>
          <w:szCs w:val="20"/>
          <w:lang w:val="en-GB"/>
        </w:rPr>
        <w:t xml:space="preserve">; and </w:t>
      </w:r>
    </w:p>
    <w:p w14:paraId="53183883" w14:textId="5622A044" w:rsidR="00137A36" w:rsidRPr="00316837" w:rsidRDefault="00137A36" w:rsidP="00E92788">
      <w:pPr>
        <w:pStyle w:val="ListParagraph"/>
        <w:numPr>
          <w:ilvl w:val="0"/>
          <w:numId w:val="76"/>
        </w:numPr>
        <w:spacing w:before="160" w:after="0" w:line="288" w:lineRule="auto"/>
        <w:rPr>
          <w:rFonts w:ascii="Arial" w:hAnsi="Arial" w:cs="Arial"/>
          <w:sz w:val="20"/>
          <w:szCs w:val="20"/>
          <w:lang w:val="en-GB"/>
        </w:rPr>
      </w:pPr>
      <w:r w:rsidRPr="00316837">
        <w:rPr>
          <w:rFonts w:ascii="Arial" w:hAnsi="Arial" w:cs="Arial"/>
          <w:sz w:val="20"/>
          <w:szCs w:val="20"/>
          <w:lang w:val="en-GB"/>
        </w:rPr>
        <w:t>Provision of mutual support for restarting the system (</w:t>
      </w:r>
      <w:r w:rsidR="00AF1D24" w:rsidRPr="00316837">
        <w:rPr>
          <w:rFonts w:ascii="Arial" w:hAnsi="Arial" w:cs="Arial"/>
          <w:sz w:val="20"/>
          <w:szCs w:val="20"/>
          <w:lang w:val="en-GB"/>
        </w:rPr>
        <w:t>b</w:t>
      </w:r>
      <w:r w:rsidRPr="00316837">
        <w:rPr>
          <w:rFonts w:ascii="Arial" w:hAnsi="Arial" w:cs="Arial"/>
          <w:sz w:val="20"/>
          <w:szCs w:val="20"/>
          <w:lang w:val="en-GB"/>
        </w:rPr>
        <w:t>lack-start</w:t>
      </w:r>
      <w:r w:rsidR="00AF1D24" w:rsidRPr="00316837">
        <w:rPr>
          <w:rFonts w:ascii="Arial" w:hAnsi="Arial" w:cs="Arial"/>
          <w:sz w:val="20"/>
          <w:szCs w:val="20"/>
          <w:lang w:val="en-GB"/>
        </w:rPr>
        <w:t xml:space="preserve"> capability</w:t>
      </w:r>
      <w:r w:rsidRPr="00316837">
        <w:rPr>
          <w:rFonts w:ascii="Arial" w:hAnsi="Arial" w:cs="Arial"/>
          <w:sz w:val="20"/>
          <w:szCs w:val="20"/>
          <w:lang w:val="en-GB"/>
        </w:rPr>
        <w:t>)</w:t>
      </w:r>
      <w:r w:rsidR="00AF1D24" w:rsidRPr="00316837">
        <w:rPr>
          <w:rFonts w:ascii="Arial" w:hAnsi="Arial" w:cs="Arial"/>
          <w:sz w:val="20"/>
          <w:szCs w:val="20"/>
          <w:lang w:val="en-GB"/>
        </w:rPr>
        <w:t xml:space="preserve">. </w:t>
      </w:r>
    </w:p>
    <w:p w14:paraId="633CE616" w14:textId="7FC04108" w:rsidR="00137A36" w:rsidRPr="00316837" w:rsidRDefault="00137A36" w:rsidP="00137A36">
      <w:pPr>
        <w:rPr>
          <w:rFonts w:eastAsia="Calibri"/>
          <w:szCs w:val="22"/>
        </w:rPr>
      </w:pPr>
      <w:r w:rsidRPr="00316837">
        <w:rPr>
          <w:rFonts w:eastAsia="Calibri"/>
          <w:szCs w:val="22"/>
        </w:rPr>
        <w:t xml:space="preserve">Based on the above discussions, </w:t>
      </w:r>
      <w:r w:rsidR="00AF1D24" w:rsidRPr="00316837">
        <w:rPr>
          <w:rFonts w:eastAsia="Calibri"/>
          <w:szCs w:val="22"/>
        </w:rPr>
        <w:t xml:space="preserve">the </w:t>
      </w:r>
      <w:r w:rsidRPr="00316837">
        <w:rPr>
          <w:rFonts w:eastAsia="Calibri"/>
          <w:szCs w:val="22"/>
        </w:rPr>
        <w:t>Guidelines 5.4 on Ancillary Services Provision is presented as follows:</w:t>
      </w:r>
      <w:r w:rsidR="00AF1D24" w:rsidRPr="00316837">
        <w:rPr>
          <w:rFonts w:eastAsia="Calibri"/>
          <w:szCs w:val="22"/>
        </w:rPr>
        <w:t xml:space="preserve"> </w:t>
      </w:r>
    </w:p>
    <w:p w14:paraId="1824D69A" w14:textId="16DCE135" w:rsidR="006E7E9E" w:rsidRPr="00654753" w:rsidRDefault="003D494F" w:rsidP="00483DE9">
      <w:pPr>
        <w:rPr>
          <w:rFonts w:eastAsia="Calibri"/>
          <w:szCs w:val="22"/>
        </w:rPr>
      </w:pPr>
      <w:r w:rsidRPr="006273BD">
        <w:rPr>
          <w:rFonts w:eastAsia="Calibri"/>
          <w:noProof/>
          <w:lang w:eastAsia="en-GB"/>
        </w:rPr>
        <w:lastRenderedPageBreak/>
        <mc:AlternateContent>
          <mc:Choice Requires="wps">
            <w:drawing>
              <wp:inline distT="0" distB="0" distL="0" distR="0" wp14:anchorId="32B8791C" wp14:editId="39099751">
                <wp:extent cx="6112800" cy="6736299"/>
                <wp:effectExtent l="0" t="0" r="21590" b="26670"/>
                <wp:docPr id="27" name="Text Box 27"/>
                <wp:cNvGraphicFramePr/>
                <a:graphic xmlns:a="http://schemas.openxmlformats.org/drawingml/2006/main">
                  <a:graphicData uri="http://schemas.microsoft.com/office/word/2010/wordprocessingShape">
                    <wps:wsp>
                      <wps:cNvSpPr txBox="1"/>
                      <wps:spPr>
                        <a:xfrm>
                          <a:off x="0" y="0"/>
                          <a:ext cx="6112800" cy="6736299"/>
                        </a:xfrm>
                        <a:prstGeom prst="rect">
                          <a:avLst/>
                        </a:prstGeom>
                        <a:solidFill>
                          <a:srgbClr val="9BBB59">
                            <a:lumMod val="20000"/>
                            <a:lumOff val="80000"/>
                          </a:srgbClr>
                        </a:solidFill>
                        <a:ln w="6350">
                          <a:solidFill>
                            <a:prstClr val="black"/>
                          </a:solidFill>
                        </a:ln>
                        <a:effectLst/>
                      </wps:spPr>
                      <wps:txbx>
                        <w:txbxContent>
                          <w:p w14:paraId="42BAAD33" w14:textId="6A6E0619" w:rsidR="005276A4" w:rsidRPr="003D494F" w:rsidRDefault="005276A4" w:rsidP="003D494F">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5.4</w:t>
                            </w:r>
                            <w:r>
                              <w:rPr>
                                <w:rFonts w:cs="Arial"/>
                                <w:bCs/>
                                <w:szCs w:val="20"/>
                              </w:rPr>
                              <w:t>:</w:t>
                            </w:r>
                            <w:r w:rsidRPr="003D494F">
                              <w:rPr>
                                <w:rFonts w:cs="Arial"/>
                                <w:bCs/>
                                <w:szCs w:val="20"/>
                              </w:rPr>
                              <w:t xml:space="preserve"> Ancillary Services Provision</w:t>
                            </w:r>
                            <w:r>
                              <w:rPr>
                                <w:rFonts w:cs="Arial"/>
                                <w:bCs/>
                                <w:szCs w:val="20"/>
                              </w:rPr>
                              <w:t xml:space="preserve"> </w:t>
                            </w:r>
                          </w:p>
                          <w:p w14:paraId="458B82D2" w14:textId="30BBE848"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For intra-</w:t>
                            </w:r>
                            <w:r>
                              <w:rPr>
                                <w:rFonts w:ascii="Arial" w:hAnsi="Arial" w:cs="Arial"/>
                                <w:bCs/>
                                <w:sz w:val="20"/>
                                <w:szCs w:val="20"/>
                                <w:lang w:val="en-GB"/>
                              </w:rPr>
                              <w:t>P</w:t>
                            </w:r>
                            <w:r w:rsidRPr="003D494F">
                              <w:rPr>
                                <w:rFonts w:ascii="Arial" w:hAnsi="Arial" w:cs="Arial"/>
                                <w:bCs/>
                                <w:sz w:val="20"/>
                                <w:szCs w:val="20"/>
                                <w:lang w:val="en-GB"/>
                              </w:rPr>
                              <w:t xml:space="preserve">ower </w:t>
                            </w:r>
                            <w:r>
                              <w:rPr>
                                <w:rFonts w:ascii="Arial" w:hAnsi="Arial" w:cs="Arial"/>
                                <w:bCs/>
                                <w:sz w:val="20"/>
                                <w:szCs w:val="20"/>
                                <w:lang w:val="en-GB"/>
                              </w:rPr>
                              <w:t>P</w:t>
                            </w:r>
                            <w:r w:rsidRPr="003D494F">
                              <w:rPr>
                                <w:rFonts w:ascii="Arial" w:hAnsi="Arial" w:cs="Arial"/>
                                <w:bCs/>
                                <w:sz w:val="20"/>
                                <w:szCs w:val="20"/>
                                <w:lang w:val="en-GB"/>
                              </w:rPr>
                              <w:t xml:space="preserve">ool exchanges and trading to take place for AfSEM, each </w:t>
                            </w:r>
                            <w:r>
                              <w:rPr>
                                <w:rFonts w:ascii="Arial" w:hAnsi="Arial" w:cs="Arial"/>
                                <w:bCs/>
                                <w:sz w:val="20"/>
                                <w:szCs w:val="20"/>
                                <w:lang w:val="en-GB"/>
                              </w:rPr>
                              <w:t>C</w:t>
                            </w:r>
                            <w:r w:rsidRPr="003D494F">
                              <w:rPr>
                                <w:rFonts w:ascii="Arial" w:hAnsi="Arial" w:cs="Arial"/>
                                <w:bCs/>
                                <w:sz w:val="20"/>
                                <w:szCs w:val="20"/>
                                <w:lang w:val="en-GB"/>
                              </w:rPr>
                              <w:t xml:space="preserve">ontrol </w:t>
                            </w:r>
                            <w:r>
                              <w:rPr>
                                <w:rFonts w:ascii="Arial" w:hAnsi="Arial" w:cs="Arial"/>
                                <w:bCs/>
                                <w:sz w:val="20"/>
                                <w:szCs w:val="20"/>
                                <w:lang w:val="en-GB"/>
                              </w:rPr>
                              <w:t>A</w:t>
                            </w:r>
                            <w:r w:rsidRPr="003D494F">
                              <w:rPr>
                                <w:rFonts w:ascii="Arial" w:hAnsi="Arial" w:cs="Arial"/>
                                <w:bCs/>
                                <w:sz w:val="20"/>
                                <w:szCs w:val="20"/>
                                <w:lang w:val="en-GB"/>
                              </w:rPr>
                              <w:t xml:space="preserve">rea </w:t>
                            </w:r>
                            <w:r>
                              <w:rPr>
                                <w:rFonts w:ascii="Arial" w:hAnsi="Arial" w:cs="Arial"/>
                                <w:bCs/>
                                <w:sz w:val="20"/>
                                <w:szCs w:val="20"/>
                                <w:lang w:val="en-GB"/>
                              </w:rPr>
                              <w:t xml:space="preserve">Operator </w:t>
                            </w:r>
                            <w:r w:rsidRPr="003D494F">
                              <w:rPr>
                                <w:rFonts w:ascii="Arial" w:hAnsi="Arial" w:cs="Arial"/>
                                <w:bCs/>
                                <w:sz w:val="20"/>
                                <w:szCs w:val="20"/>
                                <w:lang w:val="en-GB"/>
                              </w:rPr>
                              <w:t xml:space="preserve">should have a level of operating reserves and ancillary services in accordance with the regional harmonised Grid Code that will enable the </w:t>
                            </w:r>
                            <w:r>
                              <w:rPr>
                                <w:rFonts w:ascii="Arial" w:hAnsi="Arial" w:cs="Arial"/>
                                <w:bCs/>
                                <w:sz w:val="20"/>
                                <w:szCs w:val="20"/>
                                <w:lang w:val="en-GB"/>
                              </w:rPr>
                              <w:t xml:space="preserve">national </w:t>
                            </w:r>
                            <w:r w:rsidRPr="003D494F">
                              <w:rPr>
                                <w:rFonts w:ascii="Arial" w:hAnsi="Arial" w:cs="Arial"/>
                                <w:bCs/>
                                <w:sz w:val="20"/>
                                <w:szCs w:val="20"/>
                                <w:lang w:val="en-GB"/>
                              </w:rPr>
                              <w:t xml:space="preserve">TSOs to restore the imbalance that could follow from a loss of unexpected generation or transmission outage. </w:t>
                            </w:r>
                          </w:p>
                          <w:p w14:paraId="14268BAE" w14:textId="6F5FA5B7"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For inter</w:t>
                            </w:r>
                            <w:r>
                              <w:rPr>
                                <w:rFonts w:ascii="Arial" w:hAnsi="Arial" w:cs="Arial"/>
                                <w:bCs/>
                                <w:sz w:val="20"/>
                                <w:szCs w:val="20"/>
                                <w:lang w:val="en-GB"/>
                              </w:rPr>
                              <w:t>-P</w:t>
                            </w:r>
                            <w:r w:rsidRPr="003D494F">
                              <w:rPr>
                                <w:rFonts w:ascii="Arial" w:hAnsi="Arial" w:cs="Arial"/>
                                <w:bCs/>
                                <w:sz w:val="20"/>
                                <w:szCs w:val="20"/>
                                <w:lang w:val="en-GB"/>
                              </w:rPr>
                              <w:t xml:space="preserve">ower </w:t>
                            </w:r>
                            <w:r>
                              <w:rPr>
                                <w:rFonts w:ascii="Arial" w:hAnsi="Arial" w:cs="Arial"/>
                                <w:bCs/>
                                <w:sz w:val="20"/>
                                <w:szCs w:val="20"/>
                                <w:lang w:val="en-GB"/>
                              </w:rPr>
                              <w:t>P</w:t>
                            </w:r>
                            <w:r w:rsidRPr="003D494F">
                              <w:rPr>
                                <w:rFonts w:ascii="Arial" w:hAnsi="Arial" w:cs="Arial"/>
                                <w:bCs/>
                                <w:sz w:val="20"/>
                                <w:szCs w:val="20"/>
                                <w:lang w:val="en-GB"/>
                              </w:rPr>
                              <w:t xml:space="preserve">ool trading, the interconnecting </w:t>
                            </w:r>
                            <w:r>
                              <w:rPr>
                                <w:rFonts w:ascii="Arial" w:hAnsi="Arial" w:cs="Arial"/>
                                <w:bCs/>
                                <w:sz w:val="20"/>
                                <w:szCs w:val="20"/>
                                <w:lang w:val="en-GB"/>
                              </w:rPr>
                              <w:t>P</w:t>
                            </w:r>
                            <w:r w:rsidRPr="003D494F">
                              <w:rPr>
                                <w:rFonts w:ascii="Arial" w:hAnsi="Arial" w:cs="Arial"/>
                                <w:bCs/>
                                <w:sz w:val="20"/>
                                <w:szCs w:val="20"/>
                                <w:lang w:val="en-GB"/>
                              </w:rPr>
                              <w:t xml:space="preserve">ower </w:t>
                            </w:r>
                            <w:r>
                              <w:rPr>
                                <w:rFonts w:ascii="Arial" w:hAnsi="Arial" w:cs="Arial"/>
                                <w:bCs/>
                                <w:sz w:val="20"/>
                                <w:szCs w:val="20"/>
                                <w:lang w:val="en-GB"/>
                              </w:rPr>
                              <w:t>P</w:t>
                            </w:r>
                            <w:r w:rsidRPr="003D494F">
                              <w:rPr>
                                <w:rFonts w:ascii="Arial" w:hAnsi="Arial" w:cs="Arial"/>
                                <w:bCs/>
                                <w:sz w:val="20"/>
                                <w:szCs w:val="20"/>
                                <w:lang w:val="en-GB"/>
                              </w:rPr>
                              <w:t>ools shou</w:t>
                            </w:r>
                            <w:r>
                              <w:rPr>
                                <w:rFonts w:ascii="Arial" w:hAnsi="Arial" w:cs="Arial"/>
                                <w:bCs/>
                                <w:sz w:val="20"/>
                                <w:szCs w:val="20"/>
                                <w:lang w:val="en-GB"/>
                              </w:rPr>
                              <w:t>l</w:t>
                            </w:r>
                            <w:r w:rsidRPr="003D494F">
                              <w:rPr>
                                <w:rFonts w:ascii="Arial" w:hAnsi="Arial" w:cs="Arial"/>
                                <w:bCs/>
                                <w:sz w:val="20"/>
                                <w:szCs w:val="20"/>
                                <w:lang w:val="en-GB"/>
                              </w:rPr>
                              <w:t xml:space="preserve">d align their operating reserves requirements. The interconnecting </w:t>
                            </w:r>
                            <w:r>
                              <w:rPr>
                                <w:rFonts w:ascii="Arial" w:hAnsi="Arial" w:cs="Arial"/>
                                <w:bCs/>
                                <w:sz w:val="20"/>
                                <w:szCs w:val="20"/>
                                <w:lang w:val="en-GB"/>
                              </w:rPr>
                              <w:t>P</w:t>
                            </w:r>
                            <w:r w:rsidRPr="003D494F">
                              <w:rPr>
                                <w:rFonts w:ascii="Arial" w:hAnsi="Arial" w:cs="Arial"/>
                                <w:bCs/>
                                <w:sz w:val="20"/>
                                <w:szCs w:val="20"/>
                                <w:lang w:val="en-GB"/>
                              </w:rPr>
                              <w:t xml:space="preserve">ower </w:t>
                            </w:r>
                            <w:r>
                              <w:rPr>
                                <w:rFonts w:ascii="Arial" w:hAnsi="Arial" w:cs="Arial"/>
                                <w:bCs/>
                                <w:sz w:val="20"/>
                                <w:szCs w:val="20"/>
                                <w:lang w:val="en-GB"/>
                              </w:rPr>
                              <w:t>P</w:t>
                            </w:r>
                            <w:r w:rsidRPr="003D494F">
                              <w:rPr>
                                <w:rFonts w:ascii="Arial" w:hAnsi="Arial" w:cs="Arial"/>
                                <w:bCs/>
                                <w:sz w:val="20"/>
                                <w:szCs w:val="20"/>
                                <w:lang w:val="en-GB"/>
                              </w:rPr>
                              <w:t xml:space="preserve">ools will therefore need to develop a technical document and agree on the reserve obligations on the affected </w:t>
                            </w:r>
                            <w:r>
                              <w:rPr>
                                <w:rFonts w:ascii="Arial" w:hAnsi="Arial" w:cs="Arial"/>
                                <w:bCs/>
                                <w:sz w:val="20"/>
                                <w:szCs w:val="20"/>
                                <w:lang w:val="en-GB"/>
                              </w:rPr>
                              <w:t xml:space="preserve">national </w:t>
                            </w:r>
                            <w:r w:rsidRPr="003D494F">
                              <w:rPr>
                                <w:rFonts w:ascii="Arial" w:hAnsi="Arial" w:cs="Arial"/>
                                <w:bCs/>
                                <w:sz w:val="20"/>
                                <w:szCs w:val="20"/>
                                <w:lang w:val="en-GB"/>
                              </w:rPr>
                              <w:t xml:space="preserve">TSOs, including the reporting requirements. </w:t>
                            </w:r>
                          </w:p>
                          <w:p w14:paraId="25C96070" w14:textId="610BD273"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 xml:space="preserve">The harmonised issues related to the reserve requirements should include consideration for sharing of primary reserves for more than one </w:t>
                            </w:r>
                            <w:r>
                              <w:rPr>
                                <w:rFonts w:ascii="Arial" w:hAnsi="Arial" w:cs="Arial"/>
                                <w:bCs/>
                                <w:sz w:val="20"/>
                                <w:szCs w:val="20"/>
                                <w:lang w:val="en-GB"/>
                              </w:rPr>
                              <w:t>C</w:t>
                            </w:r>
                            <w:r w:rsidRPr="003D494F">
                              <w:rPr>
                                <w:rFonts w:ascii="Arial" w:hAnsi="Arial" w:cs="Arial"/>
                                <w:bCs/>
                                <w:sz w:val="20"/>
                                <w:szCs w:val="20"/>
                                <w:lang w:val="en-GB"/>
                              </w:rPr>
                              <w:t xml:space="preserve">ontrol </w:t>
                            </w:r>
                            <w:r>
                              <w:rPr>
                                <w:rFonts w:ascii="Arial" w:hAnsi="Arial" w:cs="Arial"/>
                                <w:bCs/>
                                <w:sz w:val="20"/>
                                <w:szCs w:val="20"/>
                                <w:lang w:val="en-GB"/>
                              </w:rPr>
                              <w:t>A</w:t>
                            </w:r>
                            <w:r w:rsidRPr="003D494F">
                              <w:rPr>
                                <w:rFonts w:ascii="Arial" w:hAnsi="Arial" w:cs="Arial"/>
                                <w:bCs/>
                                <w:sz w:val="20"/>
                                <w:szCs w:val="20"/>
                                <w:lang w:val="en-GB"/>
                              </w:rPr>
                              <w:t>rea</w:t>
                            </w:r>
                            <w:r>
                              <w:rPr>
                                <w:rFonts w:ascii="Arial" w:hAnsi="Arial" w:cs="Arial"/>
                                <w:bCs/>
                                <w:sz w:val="20"/>
                                <w:szCs w:val="20"/>
                                <w:lang w:val="en-GB"/>
                              </w:rPr>
                              <w:t xml:space="preserve"> Operator</w:t>
                            </w:r>
                            <w:r w:rsidRPr="003D494F">
                              <w:rPr>
                                <w:rFonts w:ascii="Arial" w:hAnsi="Arial" w:cs="Arial"/>
                                <w:bCs/>
                                <w:sz w:val="20"/>
                                <w:szCs w:val="20"/>
                                <w:lang w:val="en-GB"/>
                              </w:rPr>
                              <w:t>, as well as the alignment of inter</w:t>
                            </w:r>
                            <w:r>
                              <w:rPr>
                                <w:rFonts w:ascii="Arial" w:hAnsi="Arial" w:cs="Arial"/>
                                <w:bCs/>
                                <w:sz w:val="20"/>
                                <w:szCs w:val="20"/>
                                <w:lang w:val="en-GB"/>
                              </w:rPr>
                              <w:t>-</w:t>
                            </w:r>
                            <w:r w:rsidRPr="003D494F">
                              <w:rPr>
                                <w:rFonts w:ascii="Arial" w:hAnsi="Arial" w:cs="Arial"/>
                                <w:bCs/>
                                <w:sz w:val="20"/>
                                <w:szCs w:val="20"/>
                                <w:lang w:val="en-GB"/>
                              </w:rPr>
                              <w:t xml:space="preserve">Control Area </w:t>
                            </w:r>
                            <w:r>
                              <w:rPr>
                                <w:rFonts w:ascii="Arial" w:hAnsi="Arial" w:cs="Arial"/>
                                <w:bCs/>
                                <w:sz w:val="20"/>
                                <w:szCs w:val="20"/>
                                <w:lang w:val="en-GB"/>
                              </w:rPr>
                              <w:t xml:space="preserve">Operators </w:t>
                            </w:r>
                            <w:r w:rsidRPr="003D494F">
                              <w:rPr>
                                <w:rFonts w:ascii="Arial" w:hAnsi="Arial" w:cs="Arial"/>
                                <w:bCs/>
                                <w:sz w:val="20"/>
                                <w:szCs w:val="20"/>
                                <w:lang w:val="en-GB"/>
                              </w:rPr>
                              <w:t>response capability and availability periods of generators providing the reserves.</w:t>
                            </w:r>
                            <w:r>
                              <w:rPr>
                                <w:rFonts w:ascii="Arial" w:hAnsi="Arial" w:cs="Arial"/>
                                <w:bCs/>
                                <w:sz w:val="20"/>
                                <w:szCs w:val="20"/>
                                <w:lang w:val="en-GB"/>
                              </w:rPr>
                              <w:t xml:space="preserve"> </w:t>
                            </w:r>
                          </w:p>
                          <w:p w14:paraId="39857471" w14:textId="0C700800"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 xml:space="preserve">The Control Area Operators and the </w:t>
                            </w:r>
                            <w:r>
                              <w:rPr>
                                <w:rFonts w:ascii="Arial" w:hAnsi="Arial" w:cs="Arial"/>
                                <w:bCs/>
                                <w:sz w:val="20"/>
                                <w:szCs w:val="20"/>
                                <w:lang w:val="en-GB"/>
                              </w:rPr>
                              <w:t xml:space="preserve">national </w:t>
                            </w:r>
                            <w:r w:rsidRPr="003D494F">
                              <w:rPr>
                                <w:rFonts w:ascii="Arial" w:hAnsi="Arial" w:cs="Arial"/>
                                <w:bCs/>
                                <w:sz w:val="20"/>
                                <w:szCs w:val="20"/>
                                <w:lang w:val="en-GB"/>
                              </w:rPr>
                              <w:t>TSOs must control the voltages on the electrical network to within specified tolerances as required by the regional Grid Code. The interconnected system should have adequate reactive power compensation.</w:t>
                            </w:r>
                            <w:r>
                              <w:rPr>
                                <w:rFonts w:ascii="Arial" w:hAnsi="Arial" w:cs="Arial"/>
                                <w:bCs/>
                                <w:sz w:val="20"/>
                                <w:szCs w:val="20"/>
                                <w:lang w:val="en-GB"/>
                              </w:rPr>
                              <w:t xml:space="preserve"> </w:t>
                            </w:r>
                          </w:p>
                          <w:p w14:paraId="4FD0DF07" w14:textId="43CD61C0"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The generator frequency control dead bands and droop settings need to be consistent for the same synchronous areas to eliminate under or over response to frequency incidents. Response time to the signals also need to be defined since large different response times (time to full response) could lead to excessive loading on certain plants in the system.</w:t>
                            </w:r>
                            <w:r>
                              <w:rPr>
                                <w:rFonts w:ascii="Arial" w:hAnsi="Arial" w:cs="Arial"/>
                                <w:bCs/>
                                <w:sz w:val="20"/>
                                <w:szCs w:val="20"/>
                                <w:lang w:val="en-GB"/>
                              </w:rPr>
                              <w:t xml:space="preserve"> </w:t>
                            </w:r>
                          </w:p>
                          <w:p w14:paraId="1B08F06E" w14:textId="0FA59DA5"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 xml:space="preserve">There is the need to develop the standard for frequency regulation and mandatory frequency response actions. This should include procedure for adjusting and/or monitoring the settings of units by </w:t>
                            </w:r>
                            <w:r>
                              <w:rPr>
                                <w:rFonts w:ascii="Arial" w:hAnsi="Arial" w:cs="Arial"/>
                                <w:bCs/>
                                <w:sz w:val="20"/>
                                <w:szCs w:val="20"/>
                                <w:lang w:val="en-GB"/>
                              </w:rPr>
                              <w:t xml:space="preserve">the national TSOs. </w:t>
                            </w:r>
                          </w:p>
                          <w:p w14:paraId="40FC5A1E" w14:textId="01F28C03"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Under-frequency load shedding of the intercon</w:t>
                            </w:r>
                            <w:r>
                              <w:rPr>
                                <w:rFonts w:ascii="Arial" w:hAnsi="Arial" w:cs="Arial"/>
                                <w:bCs/>
                                <w:sz w:val="20"/>
                                <w:szCs w:val="20"/>
                                <w:lang w:val="en-GB"/>
                              </w:rPr>
                              <w:t>n</w:t>
                            </w:r>
                            <w:r w:rsidRPr="003D494F">
                              <w:rPr>
                                <w:rFonts w:ascii="Arial" w:hAnsi="Arial" w:cs="Arial"/>
                                <w:bCs/>
                                <w:sz w:val="20"/>
                                <w:szCs w:val="20"/>
                                <w:lang w:val="en-GB"/>
                              </w:rPr>
                              <w:t xml:space="preserve">ected </w:t>
                            </w:r>
                            <w:r>
                              <w:rPr>
                                <w:rFonts w:ascii="Arial" w:hAnsi="Arial" w:cs="Arial"/>
                                <w:bCs/>
                                <w:sz w:val="20"/>
                                <w:szCs w:val="20"/>
                                <w:lang w:val="en-GB"/>
                              </w:rPr>
                              <w:t>P</w:t>
                            </w:r>
                            <w:r w:rsidRPr="003D494F">
                              <w:rPr>
                                <w:rFonts w:ascii="Arial" w:hAnsi="Arial" w:cs="Arial"/>
                                <w:bCs/>
                                <w:sz w:val="20"/>
                                <w:szCs w:val="20"/>
                                <w:lang w:val="en-GB"/>
                              </w:rPr>
                              <w:t xml:space="preserve">ower </w:t>
                            </w:r>
                            <w:r>
                              <w:rPr>
                                <w:rFonts w:ascii="Arial" w:hAnsi="Arial" w:cs="Arial"/>
                                <w:bCs/>
                                <w:sz w:val="20"/>
                                <w:szCs w:val="20"/>
                                <w:lang w:val="en-GB"/>
                              </w:rPr>
                              <w:t>P</w:t>
                            </w:r>
                            <w:r w:rsidRPr="003D494F">
                              <w:rPr>
                                <w:rFonts w:ascii="Arial" w:hAnsi="Arial" w:cs="Arial"/>
                                <w:bCs/>
                                <w:sz w:val="20"/>
                                <w:szCs w:val="20"/>
                                <w:lang w:val="en-GB"/>
                              </w:rPr>
                              <w:t xml:space="preserve">ools needs to be aligned to ensure that uniform settings are applied. Under-frequency load shedding is important and serves as a response requirement if most options of increasing the frequency on the system has been exhausted. It is important to implement a harmonised </w:t>
                            </w:r>
                            <w:r>
                              <w:rPr>
                                <w:rFonts w:ascii="Arial" w:hAnsi="Arial" w:cs="Arial"/>
                                <w:bCs/>
                                <w:sz w:val="20"/>
                                <w:szCs w:val="20"/>
                                <w:lang w:val="en-GB"/>
                              </w:rPr>
                              <w:t>u</w:t>
                            </w:r>
                            <w:r w:rsidRPr="003D494F">
                              <w:rPr>
                                <w:rFonts w:ascii="Arial" w:hAnsi="Arial" w:cs="Arial"/>
                                <w:bCs/>
                                <w:sz w:val="20"/>
                                <w:szCs w:val="20"/>
                                <w:lang w:val="en-GB"/>
                              </w:rPr>
                              <w:t>nder</w:t>
                            </w:r>
                            <w:r>
                              <w:rPr>
                                <w:rFonts w:ascii="Arial" w:hAnsi="Arial" w:cs="Arial"/>
                                <w:bCs/>
                                <w:sz w:val="20"/>
                                <w:szCs w:val="20"/>
                                <w:lang w:val="en-GB"/>
                              </w:rPr>
                              <w:t>-f</w:t>
                            </w:r>
                            <w:r w:rsidRPr="003D494F">
                              <w:rPr>
                                <w:rFonts w:ascii="Arial" w:hAnsi="Arial" w:cs="Arial"/>
                                <w:bCs/>
                                <w:sz w:val="20"/>
                                <w:szCs w:val="20"/>
                                <w:lang w:val="en-GB"/>
                              </w:rPr>
                              <w:t xml:space="preserve">requency </w:t>
                            </w:r>
                            <w:r>
                              <w:rPr>
                                <w:rFonts w:ascii="Arial" w:hAnsi="Arial" w:cs="Arial"/>
                                <w:bCs/>
                                <w:sz w:val="20"/>
                                <w:szCs w:val="20"/>
                                <w:lang w:val="en-GB"/>
                              </w:rPr>
                              <w:t>l</w:t>
                            </w:r>
                            <w:r w:rsidRPr="003D494F">
                              <w:rPr>
                                <w:rFonts w:ascii="Arial" w:hAnsi="Arial" w:cs="Arial"/>
                                <w:bCs/>
                                <w:sz w:val="20"/>
                                <w:szCs w:val="20"/>
                                <w:lang w:val="en-GB"/>
                              </w:rPr>
                              <w:t xml:space="preserve">oad </w:t>
                            </w:r>
                            <w:r>
                              <w:rPr>
                                <w:rFonts w:ascii="Arial" w:hAnsi="Arial" w:cs="Arial"/>
                                <w:bCs/>
                                <w:sz w:val="20"/>
                                <w:szCs w:val="20"/>
                                <w:lang w:val="en-GB"/>
                              </w:rPr>
                              <w:t>s</w:t>
                            </w:r>
                            <w:r w:rsidRPr="003D494F">
                              <w:rPr>
                                <w:rFonts w:ascii="Arial" w:hAnsi="Arial" w:cs="Arial"/>
                                <w:bCs/>
                                <w:sz w:val="20"/>
                                <w:szCs w:val="20"/>
                                <w:lang w:val="en-GB"/>
                              </w:rPr>
                              <w:t>hedding scheme for the integrated electricity markets.</w:t>
                            </w:r>
                            <w:r>
                              <w:rPr>
                                <w:rFonts w:ascii="Arial" w:hAnsi="Arial" w:cs="Arial"/>
                                <w:bCs/>
                                <w:sz w:val="20"/>
                                <w:szCs w:val="20"/>
                                <w:lang w:val="en-GB"/>
                              </w:rPr>
                              <w:t xml:space="preserve"> </w:t>
                            </w:r>
                          </w:p>
                          <w:p w14:paraId="2C1A068B" w14:textId="5BD316E8"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 xml:space="preserve">The implementation of AGC at the national and regional levels should be implemented as a result of increased system complexity due to variable RES integration and deployment of more interconnections. AGC should be implemented to provide both secondary frequency and tie-line power flow control.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B8791C" id="Text Box 27" o:spid="_x0000_s1054" type="#_x0000_t202" style="width:481.3pt;height:5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" fillcolor="#ebf1de" strokeweight=".5pt">
                <v:textbox>
                  <w:txbxContent>
                    <w:p w14:paraId="42BAAD33" w14:textId="6A6E0619" w:rsidR="005276A4" w:rsidRPr="003D494F" w:rsidRDefault="005276A4" w:rsidP="003D494F">
                      <w:pPr>
                        <w:jc w:val="left"/>
                        <w:rPr>
                          <w:rFonts w:cs="Arial"/>
                          <w:bCs/>
                          <w:szCs w:val="20"/>
                        </w:rPr>
                      </w:pPr>
                      <w:r w:rsidRPr="003D494F">
                        <w:rPr>
                          <w:rFonts w:cs="Arial"/>
                          <w:bCs/>
                          <w:szCs w:val="20"/>
                        </w:rPr>
                        <w:t>Guideline</w:t>
                      </w:r>
                      <w:r>
                        <w:rPr>
                          <w:rFonts w:cs="Arial"/>
                          <w:bCs/>
                          <w:szCs w:val="20"/>
                        </w:rPr>
                        <w:t>s</w:t>
                      </w:r>
                      <w:r w:rsidRPr="003D494F">
                        <w:rPr>
                          <w:rFonts w:cs="Arial"/>
                          <w:bCs/>
                          <w:szCs w:val="20"/>
                        </w:rPr>
                        <w:t xml:space="preserve"> 5.4</w:t>
                      </w:r>
                      <w:r>
                        <w:rPr>
                          <w:rFonts w:cs="Arial"/>
                          <w:bCs/>
                          <w:szCs w:val="20"/>
                        </w:rPr>
                        <w:t>:</w:t>
                      </w:r>
                      <w:r w:rsidRPr="003D494F">
                        <w:rPr>
                          <w:rFonts w:cs="Arial"/>
                          <w:bCs/>
                          <w:szCs w:val="20"/>
                        </w:rPr>
                        <w:t xml:space="preserve"> Ancillary Services Provision</w:t>
                      </w:r>
                      <w:r>
                        <w:rPr>
                          <w:rFonts w:cs="Arial"/>
                          <w:bCs/>
                          <w:szCs w:val="20"/>
                        </w:rPr>
                        <w:t xml:space="preserve"> </w:t>
                      </w:r>
                    </w:p>
                    <w:p w14:paraId="458B82D2" w14:textId="30BBE848"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For intra-</w:t>
                      </w:r>
                      <w:r>
                        <w:rPr>
                          <w:rFonts w:ascii="Arial" w:hAnsi="Arial" w:cs="Arial"/>
                          <w:bCs/>
                          <w:sz w:val="20"/>
                          <w:szCs w:val="20"/>
                          <w:lang w:val="en-GB"/>
                        </w:rPr>
                        <w:t>P</w:t>
                      </w:r>
                      <w:r w:rsidRPr="003D494F">
                        <w:rPr>
                          <w:rFonts w:ascii="Arial" w:hAnsi="Arial" w:cs="Arial"/>
                          <w:bCs/>
                          <w:sz w:val="20"/>
                          <w:szCs w:val="20"/>
                          <w:lang w:val="en-GB"/>
                        </w:rPr>
                        <w:t xml:space="preserve">ower </w:t>
                      </w:r>
                      <w:r>
                        <w:rPr>
                          <w:rFonts w:ascii="Arial" w:hAnsi="Arial" w:cs="Arial"/>
                          <w:bCs/>
                          <w:sz w:val="20"/>
                          <w:szCs w:val="20"/>
                          <w:lang w:val="en-GB"/>
                        </w:rPr>
                        <w:t>P</w:t>
                      </w:r>
                      <w:r w:rsidRPr="003D494F">
                        <w:rPr>
                          <w:rFonts w:ascii="Arial" w:hAnsi="Arial" w:cs="Arial"/>
                          <w:bCs/>
                          <w:sz w:val="20"/>
                          <w:szCs w:val="20"/>
                          <w:lang w:val="en-GB"/>
                        </w:rPr>
                        <w:t xml:space="preserve">ool exchanges and trading to take place for AfSEM, each </w:t>
                      </w:r>
                      <w:r>
                        <w:rPr>
                          <w:rFonts w:ascii="Arial" w:hAnsi="Arial" w:cs="Arial"/>
                          <w:bCs/>
                          <w:sz w:val="20"/>
                          <w:szCs w:val="20"/>
                          <w:lang w:val="en-GB"/>
                        </w:rPr>
                        <w:t>C</w:t>
                      </w:r>
                      <w:r w:rsidRPr="003D494F">
                        <w:rPr>
                          <w:rFonts w:ascii="Arial" w:hAnsi="Arial" w:cs="Arial"/>
                          <w:bCs/>
                          <w:sz w:val="20"/>
                          <w:szCs w:val="20"/>
                          <w:lang w:val="en-GB"/>
                        </w:rPr>
                        <w:t xml:space="preserve">ontrol </w:t>
                      </w:r>
                      <w:r>
                        <w:rPr>
                          <w:rFonts w:ascii="Arial" w:hAnsi="Arial" w:cs="Arial"/>
                          <w:bCs/>
                          <w:sz w:val="20"/>
                          <w:szCs w:val="20"/>
                          <w:lang w:val="en-GB"/>
                        </w:rPr>
                        <w:t>A</w:t>
                      </w:r>
                      <w:r w:rsidRPr="003D494F">
                        <w:rPr>
                          <w:rFonts w:ascii="Arial" w:hAnsi="Arial" w:cs="Arial"/>
                          <w:bCs/>
                          <w:sz w:val="20"/>
                          <w:szCs w:val="20"/>
                          <w:lang w:val="en-GB"/>
                        </w:rPr>
                        <w:t xml:space="preserve">rea </w:t>
                      </w:r>
                      <w:r>
                        <w:rPr>
                          <w:rFonts w:ascii="Arial" w:hAnsi="Arial" w:cs="Arial"/>
                          <w:bCs/>
                          <w:sz w:val="20"/>
                          <w:szCs w:val="20"/>
                          <w:lang w:val="en-GB"/>
                        </w:rPr>
                        <w:t xml:space="preserve">Operator </w:t>
                      </w:r>
                      <w:r w:rsidRPr="003D494F">
                        <w:rPr>
                          <w:rFonts w:ascii="Arial" w:hAnsi="Arial" w:cs="Arial"/>
                          <w:bCs/>
                          <w:sz w:val="20"/>
                          <w:szCs w:val="20"/>
                          <w:lang w:val="en-GB"/>
                        </w:rPr>
                        <w:t xml:space="preserve">should have a level of operating reserves and ancillary services in accordance with the regional harmonised Grid Code that will enable the </w:t>
                      </w:r>
                      <w:r>
                        <w:rPr>
                          <w:rFonts w:ascii="Arial" w:hAnsi="Arial" w:cs="Arial"/>
                          <w:bCs/>
                          <w:sz w:val="20"/>
                          <w:szCs w:val="20"/>
                          <w:lang w:val="en-GB"/>
                        </w:rPr>
                        <w:t xml:space="preserve">national </w:t>
                      </w:r>
                      <w:r w:rsidRPr="003D494F">
                        <w:rPr>
                          <w:rFonts w:ascii="Arial" w:hAnsi="Arial" w:cs="Arial"/>
                          <w:bCs/>
                          <w:sz w:val="20"/>
                          <w:szCs w:val="20"/>
                          <w:lang w:val="en-GB"/>
                        </w:rPr>
                        <w:t xml:space="preserve">TSOs to restore the imbalance that could follow from a loss of unexpected generation or transmission outage. </w:t>
                      </w:r>
                    </w:p>
                    <w:p w14:paraId="14268BAE" w14:textId="6F5FA5B7"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For inter</w:t>
                      </w:r>
                      <w:r>
                        <w:rPr>
                          <w:rFonts w:ascii="Arial" w:hAnsi="Arial" w:cs="Arial"/>
                          <w:bCs/>
                          <w:sz w:val="20"/>
                          <w:szCs w:val="20"/>
                          <w:lang w:val="en-GB"/>
                        </w:rPr>
                        <w:t>-P</w:t>
                      </w:r>
                      <w:r w:rsidRPr="003D494F">
                        <w:rPr>
                          <w:rFonts w:ascii="Arial" w:hAnsi="Arial" w:cs="Arial"/>
                          <w:bCs/>
                          <w:sz w:val="20"/>
                          <w:szCs w:val="20"/>
                          <w:lang w:val="en-GB"/>
                        </w:rPr>
                        <w:t xml:space="preserve">ower </w:t>
                      </w:r>
                      <w:r>
                        <w:rPr>
                          <w:rFonts w:ascii="Arial" w:hAnsi="Arial" w:cs="Arial"/>
                          <w:bCs/>
                          <w:sz w:val="20"/>
                          <w:szCs w:val="20"/>
                          <w:lang w:val="en-GB"/>
                        </w:rPr>
                        <w:t>P</w:t>
                      </w:r>
                      <w:r w:rsidRPr="003D494F">
                        <w:rPr>
                          <w:rFonts w:ascii="Arial" w:hAnsi="Arial" w:cs="Arial"/>
                          <w:bCs/>
                          <w:sz w:val="20"/>
                          <w:szCs w:val="20"/>
                          <w:lang w:val="en-GB"/>
                        </w:rPr>
                        <w:t xml:space="preserve">ool trading, the interconnecting </w:t>
                      </w:r>
                      <w:r>
                        <w:rPr>
                          <w:rFonts w:ascii="Arial" w:hAnsi="Arial" w:cs="Arial"/>
                          <w:bCs/>
                          <w:sz w:val="20"/>
                          <w:szCs w:val="20"/>
                          <w:lang w:val="en-GB"/>
                        </w:rPr>
                        <w:t>P</w:t>
                      </w:r>
                      <w:r w:rsidRPr="003D494F">
                        <w:rPr>
                          <w:rFonts w:ascii="Arial" w:hAnsi="Arial" w:cs="Arial"/>
                          <w:bCs/>
                          <w:sz w:val="20"/>
                          <w:szCs w:val="20"/>
                          <w:lang w:val="en-GB"/>
                        </w:rPr>
                        <w:t xml:space="preserve">ower </w:t>
                      </w:r>
                      <w:r>
                        <w:rPr>
                          <w:rFonts w:ascii="Arial" w:hAnsi="Arial" w:cs="Arial"/>
                          <w:bCs/>
                          <w:sz w:val="20"/>
                          <w:szCs w:val="20"/>
                          <w:lang w:val="en-GB"/>
                        </w:rPr>
                        <w:t>P</w:t>
                      </w:r>
                      <w:r w:rsidRPr="003D494F">
                        <w:rPr>
                          <w:rFonts w:ascii="Arial" w:hAnsi="Arial" w:cs="Arial"/>
                          <w:bCs/>
                          <w:sz w:val="20"/>
                          <w:szCs w:val="20"/>
                          <w:lang w:val="en-GB"/>
                        </w:rPr>
                        <w:t>ools shou</w:t>
                      </w:r>
                      <w:r>
                        <w:rPr>
                          <w:rFonts w:ascii="Arial" w:hAnsi="Arial" w:cs="Arial"/>
                          <w:bCs/>
                          <w:sz w:val="20"/>
                          <w:szCs w:val="20"/>
                          <w:lang w:val="en-GB"/>
                        </w:rPr>
                        <w:t>l</w:t>
                      </w:r>
                      <w:r w:rsidRPr="003D494F">
                        <w:rPr>
                          <w:rFonts w:ascii="Arial" w:hAnsi="Arial" w:cs="Arial"/>
                          <w:bCs/>
                          <w:sz w:val="20"/>
                          <w:szCs w:val="20"/>
                          <w:lang w:val="en-GB"/>
                        </w:rPr>
                        <w:t xml:space="preserve">d align their operating reserves requirements. The interconnecting </w:t>
                      </w:r>
                      <w:r>
                        <w:rPr>
                          <w:rFonts w:ascii="Arial" w:hAnsi="Arial" w:cs="Arial"/>
                          <w:bCs/>
                          <w:sz w:val="20"/>
                          <w:szCs w:val="20"/>
                          <w:lang w:val="en-GB"/>
                        </w:rPr>
                        <w:t>P</w:t>
                      </w:r>
                      <w:r w:rsidRPr="003D494F">
                        <w:rPr>
                          <w:rFonts w:ascii="Arial" w:hAnsi="Arial" w:cs="Arial"/>
                          <w:bCs/>
                          <w:sz w:val="20"/>
                          <w:szCs w:val="20"/>
                          <w:lang w:val="en-GB"/>
                        </w:rPr>
                        <w:t xml:space="preserve">ower </w:t>
                      </w:r>
                      <w:r>
                        <w:rPr>
                          <w:rFonts w:ascii="Arial" w:hAnsi="Arial" w:cs="Arial"/>
                          <w:bCs/>
                          <w:sz w:val="20"/>
                          <w:szCs w:val="20"/>
                          <w:lang w:val="en-GB"/>
                        </w:rPr>
                        <w:t>P</w:t>
                      </w:r>
                      <w:r w:rsidRPr="003D494F">
                        <w:rPr>
                          <w:rFonts w:ascii="Arial" w:hAnsi="Arial" w:cs="Arial"/>
                          <w:bCs/>
                          <w:sz w:val="20"/>
                          <w:szCs w:val="20"/>
                          <w:lang w:val="en-GB"/>
                        </w:rPr>
                        <w:t xml:space="preserve">ools will therefore need to develop a technical document and agree on the reserve obligations on the affected </w:t>
                      </w:r>
                      <w:r>
                        <w:rPr>
                          <w:rFonts w:ascii="Arial" w:hAnsi="Arial" w:cs="Arial"/>
                          <w:bCs/>
                          <w:sz w:val="20"/>
                          <w:szCs w:val="20"/>
                          <w:lang w:val="en-GB"/>
                        </w:rPr>
                        <w:t xml:space="preserve">national </w:t>
                      </w:r>
                      <w:r w:rsidRPr="003D494F">
                        <w:rPr>
                          <w:rFonts w:ascii="Arial" w:hAnsi="Arial" w:cs="Arial"/>
                          <w:bCs/>
                          <w:sz w:val="20"/>
                          <w:szCs w:val="20"/>
                          <w:lang w:val="en-GB"/>
                        </w:rPr>
                        <w:t xml:space="preserve">TSOs, including the reporting requirements. </w:t>
                      </w:r>
                    </w:p>
                    <w:p w14:paraId="25C96070" w14:textId="610BD273"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 xml:space="preserve">The harmonised issues related to the reserve requirements should include consideration for sharing of primary reserves for more than one </w:t>
                      </w:r>
                      <w:r>
                        <w:rPr>
                          <w:rFonts w:ascii="Arial" w:hAnsi="Arial" w:cs="Arial"/>
                          <w:bCs/>
                          <w:sz w:val="20"/>
                          <w:szCs w:val="20"/>
                          <w:lang w:val="en-GB"/>
                        </w:rPr>
                        <w:t>C</w:t>
                      </w:r>
                      <w:r w:rsidRPr="003D494F">
                        <w:rPr>
                          <w:rFonts w:ascii="Arial" w:hAnsi="Arial" w:cs="Arial"/>
                          <w:bCs/>
                          <w:sz w:val="20"/>
                          <w:szCs w:val="20"/>
                          <w:lang w:val="en-GB"/>
                        </w:rPr>
                        <w:t xml:space="preserve">ontrol </w:t>
                      </w:r>
                      <w:r>
                        <w:rPr>
                          <w:rFonts w:ascii="Arial" w:hAnsi="Arial" w:cs="Arial"/>
                          <w:bCs/>
                          <w:sz w:val="20"/>
                          <w:szCs w:val="20"/>
                          <w:lang w:val="en-GB"/>
                        </w:rPr>
                        <w:t>A</w:t>
                      </w:r>
                      <w:r w:rsidRPr="003D494F">
                        <w:rPr>
                          <w:rFonts w:ascii="Arial" w:hAnsi="Arial" w:cs="Arial"/>
                          <w:bCs/>
                          <w:sz w:val="20"/>
                          <w:szCs w:val="20"/>
                          <w:lang w:val="en-GB"/>
                        </w:rPr>
                        <w:t>rea</w:t>
                      </w:r>
                      <w:r>
                        <w:rPr>
                          <w:rFonts w:ascii="Arial" w:hAnsi="Arial" w:cs="Arial"/>
                          <w:bCs/>
                          <w:sz w:val="20"/>
                          <w:szCs w:val="20"/>
                          <w:lang w:val="en-GB"/>
                        </w:rPr>
                        <w:t xml:space="preserve"> Operator</w:t>
                      </w:r>
                      <w:r w:rsidRPr="003D494F">
                        <w:rPr>
                          <w:rFonts w:ascii="Arial" w:hAnsi="Arial" w:cs="Arial"/>
                          <w:bCs/>
                          <w:sz w:val="20"/>
                          <w:szCs w:val="20"/>
                          <w:lang w:val="en-GB"/>
                        </w:rPr>
                        <w:t>, as well as the alignment of inter</w:t>
                      </w:r>
                      <w:r>
                        <w:rPr>
                          <w:rFonts w:ascii="Arial" w:hAnsi="Arial" w:cs="Arial"/>
                          <w:bCs/>
                          <w:sz w:val="20"/>
                          <w:szCs w:val="20"/>
                          <w:lang w:val="en-GB"/>
                        </w:rPr>
                        <w:t>-</w:t>
                      </w:r>
                      <w:r w:rsidRPr="003D494F">
                        <w:rPr>
                          <w:rFonts w:ascii="Arial" w:hAnsi="Arial" w:cs="Arial"/>
                          <w:bCs/>
                          <w:sz w:val="20"/>
                          <w:szCs w:val="20"/>
                          <w:lang w:val="en-GB"/>
                        </w:rPr>
                        <w:t xml:space="preserve">Control Area </w:t>
                      </w:r>
                      <w:r>
                        <w:rPr>
                          <w:rFonts w:ascii="Arial" w:hAnsi="Arial" w:cs="Arial"/>
                          <w:bCs/>
                          <w:sz w:val="20"/>
                          <w:szCs w:val="20"/>
                          <w:lang w:val="en-GB"/>
                        </w:rPr>
                        <w:t xml:space="preserve">Operators </w:t>
                      </w:r>
                      <w:r w:rsidRPr="003D494F">
                        <w:rPr>
                          <w:rFonts w:ascii="Arial" w:hAnsi="Arial" w:cs="Arial"/>
                          <w:bCs/>
                          <w:sz w:val="20"/>
                          <w:szCs w:val="20"/>
                          <w:lang w:val="en-GB"/>
                        </w:rPr>
                        <w:t>response capability and availability periods of generators providing the reserves.</w:t>
                      </w:r>
                      <w:r>
                        <w:rPr>
                          <w:rFonts w:ascii="Arial" w:hAnsi="Arial" w:cs="Arial"/>
                          <w:bCs/>
                          <w:sz w:val="20"/>
                          <w:szCs w:val="20"/>
                          <w:lang w:val="en-GB"/>
                        </w:rPr>
                        <w:t xml:space="preserve"> </w:t>
                      </w:r>
                    </w:p>
                    <w:p w14:paraId="39857471" w14:textId="0C700800"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 xml:space="preserve">The Control Area Operators and the </w:t>
                      </w:r>
                      <w:r>
                        <w:rPr>
                          <w:rFonts w:ascii="Arial" w:hAnsi="Arial" w:cs="Arial"/>
                          <w:bCs/>
                          <w:sz w:val="20"/>
                          <w:szCs w:val="20"/>
                          <w:lang w:val="en-GB"/>
                        </w:rPr>
                        <w:t xml:space="preserve">national </w:t>
                      </w:r>
                      <w:r w:rsidRPr="003D494F">
                        <w:rPr>
                          <w:rFonts w:ascii="Arial" w:hAnsi="Arial" w:cs="Arial"/>
                          <w:bCs/>
                          <w:sz w:val="20"/>
                          <w:szCs w:val="20"/>
                          <w:lang w:val="en-GB"/>
                        </w:rPr>
                        <w:t>TSOs must control the voltages on the electrical network to within specified tolerances as required by the regional Grid Code. The interconnected system should have adequate reactive power compensation.</w:t>
                      </w:r>
                      <w:r>
                        <w:rPr>
                          <w:rFonts w:ascii="Arial" w:hAnsi="Arial" w:cs="Arial"/>
                          <w:bCs/>
                          <w:sz w:val="20"/>
                          <w:szCs w:val="20"/>
                          <w:lang w:val="en-GB"/>
                        </w:rPr>
                        <w:t xml:space="preserve"> </w:t>
                      </w:r>
                    </w:p>
                    <w:p w14:paraId="4FD0DF07" w14:textId="43CD61C0"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The generator frequency control dead bands and droop settings need to be consistent for the same synchronous areas to eliminate under or over response to frequency incidents. Response time to the signals also need to be defined since large different response times (time to full response) could lead to excessive loading on certain plants in the system.</w:t>
                      </w:r>
                      <w:r>
                        <w:rPr>
                          <w:rFonts w:ascii="Arial" w:hAnsi="Arial" w:cs="Arial"/>
                          <w:bCs/>
                          <w:sz w:val="20"/>
                          <w:szCs w:val="20"/>
                          <w:lang w:val="en-GB"/>
                        </w:rPr>
                        <w:t xml:space="preserve"> </w:t>
                      </w:r>
                    </w:p>
                    <w:p w14:paraId="1B08F06E" w14:textId="0FA59DA5"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 xml:space="preserve">There is the need to develop the standard for frequency regulation and mandatory frequency response actions. This should include procedure for adjusting and/or monitoring the settings of units by </w:t>
                      </w:r>
                      <w:r>
                        <w:rPr>
                          <w:rFonts w:ascii="Arial" w:hAnsi="Arial" w:cs="Arial"/>
                          <w:bCs/>
                          <w:sz w:val="20"/>
                          <w:szCs w:val="20"/>
                          <w:lang w:val="en-GB"/>
                        </w:rPr>
                        <w:t xml:space="preserve">the national TSOs. </w:t>
                      </w:r>
                    </w:p>
                    <w:p w14:paraId="40FC5A1E" w14:textId="01F28C03"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Under-frequency load shedding of the intercon</w:t>
                      </w:r>
                      <w:r>
                        <w:rPr>
                          <w:rFonts w:ascii="Arial" w:hAnsi="Arial" w:cs="Arial"/>
                          <w:bCs/>
                          <w:sz w:val="20"/>
                          <w:szCs w:val="20"/>
                          <w:lang w:val="en-GB"/>
                        </w:rPr>
                        <w:t>n</w:t>
                      </w:r>
                      <w:r w:rsidRPr="003D494F">
                        <w:rPr>
                          <w:rFonts w:ascii="Arial" w:hAnsi="Arial" w:cs="Arial"/>
                          <w:bCs/>
                          <w:sz w:val="20"/>
                          <w:szCs w:val="20"/>
                          <w:lang w:val="en-GB"/>
                        </w:rPr>
                        <w:t xml:space="preserve">ected </w:t>
                      </w:r>
                      <w:r>
                        <w:rPr>
                          <w:rFonts w:ascii="Arial" w:hAnsi="Arial" w:cs="Arial"/>
                          <w:bCs/>
                          <w:sz w:val="20"/>
                          <w:szCs w:val="20"/>
                          <w:lang w:val="en-GB"/>
                        </w:rPr>
                        <w:t>P</w:t>
                      </w:r>
                      <w:r w:rsidRPr="003D494F">
                        <w:rPr>
                          <w:rFonts w:ascii="Arial" w:hAnsi="Arial" w:cs="Arial"/>
                          <w:bCs/>
                          <w:sz w:val="20"/>
                          <w:szCs w:val="20"/>
                          <w:lang w:val="en-GB"/>
                        </w:rPr>
                        <w:t xml:space="preserve">ower </w:t>
                      </w:r>
                      <w:r>
                        <w:rPr>
                          <w:rFonts w:ascii="Arial" w:hAnsi="Arial" w:cs="Arial"/>
                          <w:bCs/>
                          <w:sz w:val="20"/>
                          <w:szCs w:val="20"/>
                          <w:lang w:val="en-GB"/>
                        </w:rPr>
                        <w:t>P</w:t>
                      </w:r>
                      <w:r w:rsidRPr="003D494F">
                        <w:rPr>
                          <w:rFonts w:ascii="Arial" w:hAnsi="Arial" w:cs="Arial"/>
                          <w:bCs/>
                          <w:sz w:val="20"/>
                          <w:szCs w:val="20"/>
                          <w:lang w:val="en-GB"/>
                        </w:rPr>
                        <w:t xml:space="preserve">ools needs to be aligned to ensure that uniform settings are applied. Under-frequency load shedding is important and serves as a response requirement if most options of increasing the frequency on the system has been exhausted. It is important to implement a harmonised </w:t>
                      </w:r>
                      <w:r>
                        <w:rPr>
                          <w:rFonts w:ascii="Arial" w:hAnsi="Arial" w:cs="Arial"/>
                          <w:bCs/>
                          <w:sz w:val="20"/>
                          <w:szCs w:val="20"/>
                          <w:lang w:val="en-GB"/>
                        </w:rPr>
                        <w:t>u</w:t>
                      </w:r>
                      <w:r w:rsidRPr="003D494F">
                        <w:rPr>
                          <w:rFonts w:ascii="Arial" w:hAnsi="Arial" w:cs="Arial"/>
                          <w:bCs/>
                          <w:sz w:val="20"/>
                          <w:szCs w:val="20"/>
                          <w:lang w:val="en-GB"/>
                        </w:rPr>
                        <w:t>nder</w:t>
                      </w:r>
                      <w:r>
                        <w:rPr>
                          <w:rFonts w:ascii="Arial" w:hAnsi="Arial" w:cs="Arial"/>
                          <w:bCs/>
                          <w:sz w:val="20"/>
                          <w:szCs w:val="20"/>
                          <w:lang w:val="en-GB"/>
                        </w:rPr>
                        <w:t>-f</w:t>
                      </w:r>
                      <w:r w:rsidRPr="003D494F">
                        <w:rPr>
                          <w:rFonts w:ascii="Arial" w:hAnsi="Arial" w:cs="Arial"/>
                          <w:bCs/>
                          <w:sz w:val="20"/>
                          <w:szCs w:val="20"/>
                          <w:lang w:val="en-GB"/>
                        </w:rPr>
                        <w:t xml:space="preserve">requency </w:t>
                      </w:r>
                      <w:r>
                        <w:rPr>
                          <w:rFonts w:ascii="Arial" w:hAnsi="Arial" w:cs="Arial"/>
                          <w:bCs/>
                          <w:sz w:val="20"/>
                          <w:szCs w:val="20"/>
                          <w:lang w:val="en-GB"/>
                        </w:rPr>
                        <w:t>l</w:t>
                      </w:r>
                      <w:r w:rsidRPr="003D494F">
                        <w:rPr>
                          <w:rFonts w:ascii="Arial" w:hAnsi="Arial" w:cs="Arial"/>
                          <w:bCs/>
                          <w:sz w:val="20"/>
                          <w:szCs w:val="20"/>
                          <w:lang w:val="en-GB"/>
                        </w:rPr>
                        <w:t xml:space="preserve">oad </w:t>
                      </w:r>
                      <w:r>
                        <w:rPr>
                          <w:rFonts w:ascii="Arial" w:hAnsi="Arial" w:cs="Arial"/>
                          <w:bCs/>
                          <w:sz w:val="20"/>
                          <w:szCs w:val="20"/>
                          <w:lang w:val="en-GB"/>
                        </w:rPr>
                        <w:t>s</w:t>
                      </w:r>
                      <w:r w:rsidRPr="003D494F">
                        <w:rPr>
                          <w:rFonts w:ascii="Arial" w:hAnsi="Arial" w:cs="Arial"/>
                          <w:bCs/>
                          <w:sz w:val="20"/>
                          <w:szCs w:val="20"/>
                          <w:lang w:val="en-GB"/>
                        </w:rPr>
                        <w:t>hedding scheme for the integrated electricity markets.</w:t>
                      </w:r>
                      <w:r>
                        <w:rPr>
                          <w:rFonts w:ascii="Arial" w:hAnsi="Arial" w:cs="Arial"/>
                          <w:bCs/>
                          <w:sz w:val="20"/>
                          <w:szCs w:val="20"/>
                          <w:lang w:val="en-GB"/>
                        </w:rPr>
                        <w:t xml:space="preserve"> </w:t>
                      </w:r>
                    </w:p>
                    <w:p w14:paraId="2C1A068B" w14:textId="5BD316E8" w:rsidR="005276A4" w:rsidRPr="003D494F" w:rsidRDefault="005276A4" w:rsidP="00E92788">
                      <w:pPr>
                        <w:pStyle w:val="ListParagraph"/>
                        <w:numPr>
                          <w:ilvl w:val="0"/>
                          <w:numId w:val="74"/>
                        </w:numPr>
                        <w:spacing w:before="160" w:after="0" w:line="288" w:lineRule="auto"/>
                        <w:jc w:val="left"/>
                        <w:rPr>
                          <w:rFonts w:ascii="Arial" w:hAnsi="Arial" w:cs="Arial"/>
                          <w:bCs/>
                          <w:sz w:val="20"/>
                          <w:szCs w:val="20"/>
                          <w:lang w:val="en-GB"/>
                        </w:rPr>
                      </w:pPr>
                      <w:r w:rsidRPr="003D494F">
                        <w:rPr>
                          <w:rFonts w:ascii="Arial" w:hAnsi="Arial" w:cs="Arial"/>
                          <w:bCs/>
                          <w:sz w:val="20"/>
                          <w:szCs w:val="20"/>
                          <w:lang w:val="en-GB"/>
                        </w:rPr>
                        <w:t xml:space="preserve">The implementation of AGC at the national and regional levels should be implemented as a result of increased system complexity due to variable RES integration and deployment of more interconnections. AGC should be implemented to provide both secondary frequency and tie-line power flow control. </w:t>
                      </w:r>
                    </w:p>
                  </w:txbxContent>
                </v:textbox>
                <w10:anchorlock/>
              </v:shape>
            </w:pict>
          </mc:Fallback>
        </mc:AlternateContent>
      </w:r>
    </w:p>
    <w:p w14:paraId="0BF5D9F7" w14:textId="77777777" w:rsidR="00744D32" w:rsidRPr="00316837" w:rsidRDefault="00744D32" w:rsidP="00483DE9">
      <w:pPr>
        <w:rPr>
          <w:rFonts w:eastAsia="Calibri"/>
          <w:szCs w:val="22"/>
        </w:rPr>
      </w:pPr>
    </w:p>
    <w:p w14:paraId="3D3CD83B" w14:textId="77777777" w:rsidR="00744D32" w:rsidRPr="00316837" w:rsidRDefault="00744D32" w:rsidP="00483DE9">
      <w:pPr>
        <w:rPr>
          <w:rFonts w:eastAsia="Calibri"/>
          <w:szCs w:val="22"/>
        </w:rPr>
        <w:sectPr w:rsidR="00744D32" w:rsidRPr="00316837" w:rsidSect="00A3058D">
          <w:pgSz w:w="11907" w:h="16839" w:code="9"/>
          <w:pgMar w:top="510" w:right="1134" w:bottom="964" w:left="1134" w:header="720" w:footer="567" w:gutter="0"/>
          <w:cols w:space="720"/>
          <w:formProt w:val="0"/>
          <w:docGrid w:linePitch="286"/>
        </w:sectPr>
      </w:pPr>
    </w:p>
    <w:p w14:paraId="624015A4" w14:textId="412E2EA7" w:rsidR="00744D32" w:rsidRPr="00316837" w:rsidRDefault="00744D32" w:rsidP="00744D32">
      <w:pPr>
        <w:pStyle w:val="Heading1"/>
      </w:pPr>
      <w:bookmarkStart w:id="199" w:name="_Toc77260324"/>
      <w:r w:rsidRPr="00654753">
        <w:lastRenderedPageBreak/>
        <w:t>GUIDELINES FOR INTERCONNECTION OF OFF-GRID MINI-GRIDS</w:t>
      </w:r>
      <w:bookmarkEnd w:id="199"/>
      <w:r w:rsidRPr="00654753">
        <w:t xml:space="preserve"> </w:t>
      </w:r>
    </w:p>
    <w:p w14:paraId="4F8B15FC" w14:textId="0A3CE781" w:rsidR="00744D32" w:rsidRPr="00316837" w:rsidRDefault="00744D32" w:rsidP="00744D32">
      <w:pPr>
        <w:pStyle w:val="Heading2"/>
        <w:rPr>
          <w:rFonts w:eastAsia="Calibri"/>
        </w:rPr>
      </w:pPr>
      <w:bookmarkStart w:id="200" w:name="_Hlk77174789"/>
      <w:bookmarkStart w:id="201" w:name="_Toc77260325"/>
      <w:r w:rsidRPr="00316837">
        <w:rPr>
          <w:rFonts w:eastAsia="Calibri"/>
        </w:rPr>
        <w:t>Guidelines 6.1: Technical Modalities for Main Grid Connection of Off-Grid Mini-Grids</w:t>
      </w:r>
      <w:bookmarkEnd w:id="201"/>
      <w:r w:rsidRPr="00316837">
        <w:rPr>
          <w:rFonts w:eastAsia="Calibri"/>
        </w:rPr>
        <w:t xml:space="preserve"> </w:t>
      </w:r>
    </w:p>
    <w:bookmarkEnd w:id="200"/>
    <w:p w14:paraId="6287C4EE" w14:textId="42006337" w:rsidR="00E239A3" w:rsidRPr="00316837" w:rsidRDefault="00E239A3" w:rsidP="006E21B8">
      <w:pPr>
        <w:rPr>
          <w:rFonts w:eastAsia="Calibri"/>
          <w:szCs w:val="22"/>
        </w:rPr>
      </w:pPr>
      <w:r w:rsidRPr="00316837">
        <w:rPr>
          <w:rFonts w:eastAsia="Calibri"/>
          <w:szCs w:val="22"/>
        </w:rPr>
        <w:t xml:space="preserve">Rural mini-grids are expected to provide electrification to a large number of </w:t>
      </w:r>
      <w:r w:rsidR="009A505D" w:rsidRPr="00316837">
        <w:rPr>
          <w:rFonts w:eastAsia="Calibri"/>
          <w:szCs w:val="22"/>
        </w:rPr>
        <w:t>Africans living in rural areas. These investments, while on a per-project basis might not be considered high, when aggregated they amount to a huge investment that needs to be utili</w:t>
      </w:r>
      <w:r w:rsidR="00316837">
        <w:rPr>
          <w:rFonts w:eastAsia="Calibri"/>
          <w:szCs w:val="22"/>
        </w:rPr>
        <w:t>s</w:t>
      </w:r>
      <w:r w:rsidR="009A505D" w:rsidRPr="00316837">
        <w:rPr>
          <w:rFonts w:eastAsia="Calibri"/>
          <w:szCs w:val="22"/>
        </w:rPr>
        <w:t>ed as effectively as possible even in the long</w:t>
      </w:r>
      <w:r w:rsidR="00316837">
        <w:rPr>
          <w:rFonts w:eastAsia="Calibri"/>
          <w:szCs w:val="22"/>
        </w:rPr>
        <w:t>-</w:t>
      </w:r>
      <w:r w:rsidR="009A505D" w:rsidRPr="00316837">
        <w:rPr>
          <w:rFonts w:eastAsia="Calibri"/>
          <w:szCs w:val="22"/>
        </w:rPr>
        <w:t>term when the main grid might encompass that location. As such it is important that the technical modalities for interconnection or rural mini-grids to the main grid are made clear early on to allow proper design by mini-grid developers.</w:t>
      </w:r>
      <w:r w:rsidR="00316837">
        <w:rPr>
          <w:rFonts w:eastAsia="Calibri"/>
          <w:szCs w:val="22"/>
        </w:rPr>
        <w:t xml:space="preserve"> </w:t>
      </w:r>
    </w:p>
    <w:p w14:paraId="39258D5B" w14:textId="3B6D133C" w:rsidR="006E21B8" w:rsidRPr="00316837" w:rsidRDefault="006E21B8" w:rsidP="006E21B8">
      <w:pPr>
        <w:rPr>
          <w:rFonts w:eastAsia="Calibri"/>
          <w:szCs w:val="22"/>
        </w:rPr>
      </w:pPr>
      <w:r w:rsidRPr="00316837">
        <w:rPr>
          <w:rFonts w:eastAsia="Calibri"/>
          <w:szCs w:val="22"/>
        </w:rPr>
        <w:t xml:space="preserve">Distributed Generation (DG) units equipped with smart alternative-current inverters not only generate electricity but also play a role in managing the voltage profile along a distribution feeder and in compensating reactive power to improve the power factor and reduce technical losses. In addition, DG units coupled with Distributed Energy Storage (DES) units and advanced control systems (collectively entitled hereafter Distributed Energy Resources - DER) can enable DSOs to establish islanded mini-grids that can operate disconnected from the main distribution system, i.e. to serve final customers in the local community even when mini-grids are separated from the main distribution system. Then, mini-grid operators can use DERs to manage power and voltage fluctuations (i.e. perform dynamic control) in their mini-grids. </w:t>
      </w:r>
    </w:p>
    <w:p w14:paraId="69E85FDC" w14:textId="0DC0D12E" w:rsidR="006E21B8" w:rsidRPr="00316837" w:rsidRDefault="006E21B8" w:rsidP="006E21B8">
      <w:pPr>
        <w:rPr>
          <w:rFonts w:eastAsia="Calibri"/>
          <w:szCs w:val="22"/>
        </w:rPr>
      </w:pPr>
      <w:r w:rsidRPr="00316837">
        <w:rPr>
          <w:rFonts w:eastAsia="Calibri"/>
          <w:szCs w:val="22"/>
        </w:rPr>
        <w:t xml:space="preserve">An area that is expected to grow in importance alongside the high penetration of DG units and DES units (i.e. DERs in general) is islanding of DG units, which could be either unintentional or intentional. Unintentional islanding of DG units is usually prevented by protection, whereas intentional islanding and island operation of mini-grids as well as their reconnection can be planned and achieved by using advanced control systems. </w:t>
      </w:r>
    </w:p>
    <w:p w14:paraId="12B26E9D" w14:textId="77777777" w:rsidR="006E21B8" w:rsidRPr="00316837" w:rsidRDefault="006E21B8" w:rsidP="006E21B8">
      <w:pPr>
        <w:rPr>
          <w:rFonts w:eastAsia="Calibri"/>
          <w:szCs w:val="22"/>
        </w:rPr>
      </w:pPr>
      <w:r w:rsidRPr="00316837">
        <w:rPr>
          <w:rFonts w:eastAsia="Calibri"/>
          <w:szCs w:val="22"/>
        </w:rPr>
        <w:t xml:space="preserve">Islanding is an operating mode in which a portion of distribution system becomes disconnected from the main distribution system but remains energised and continues to supply electricity to final customers. DG units feeding to a disconnected portion of distribution system will not necessarily detect unintentional islanding, but may continue to feed an isolated network in one of the following two types of operation: </w:t>
      </w:r>
    </w:p>
    <w:p w14:paraId="624A41E4" w14:textId="77777777" w:rsidR="006E21B8" w:rsidRPr="00316837" w:rsidRDefault="006E21B8" w:rsidP="00E92788">
      <w:pPr>
        <w:pStyle w:val="ListParagraph"/>
        <w:numPr>
          <w:ilvl w:val="0"/>
          <w:numId w:val="85"/>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operation in isolation on internal own loads (allowed in any condition), when DG units power their own network, or part of it, when separated from the main distribution system, or </w:t>
      </w:r>
    </w:p>
    <w:p w14:paraId="55CEC542" w14:textId="77777777" w:rsidR="006E21B8" w:rsidRPr="00316837" w:rsidRDefault="006E21B8" w:rsidP="00E92788">
      <w:pPr>
        <w:pStyle w:val="ListParagraph"/>
        <w:numPr>
          <w:ilvl w:val="0"/>
          <w:numId w:val="85"/>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operation in isolation on a disconnected portion of distribution system (not allowed, except for specific cases requested by DSO), when DG units power a disconnected portion of distribution system. </w:t>
      </w:r>
    </w:p>
    <w:p w14:paraId="7872515C" w14:textId="77777777" w:rsidR="006E21B8" w:rsidRPr="00316837" w:rsidRDefault="006E21B8" w:rsidP="006E21B8">
      <w:pPr>
        <w:rPr>
          <w:rFonts w:eastAsia="Calibri"/>
          <w:szCs w:val="22"/>
        </w:rPr>
      </w:pPr>
      <w:r w:rsidRPr="00316837">
        <w:rPr>
          <w:rFonts w:eastAsia="Calibri"/>
          <w:szCs w:val="22"/>
        </w:rPr>
        <w:t xml:space="preserve">Unintentional islanding of DG units which results in operation in isolation on a disconnected portion of distribution system is not allowed, mainly due to voltage stability and synchronisation issues among DG units, and interference with protection mechanisms. It is also dangerous since it creates a very high safety risk to utility workers who might not realise that a circuit is still energised. Whether or not DG units should be disconnected from a disconnected portion of distribution system in unintentional islanding depends </w:t>
      </w:r>
      <w:r w:rsidRPr="00316837">
        <w:rPr>
          <w:rFonts w:eastAsia="Calibri"/>
          <w:i/>
          <w:iCs/>
          <w:szCs w:val="22"/>
        </w:rPr>
        <w:t>inter alia</w:t>
      </w:r>
      <w:r w:rsidRPr="00316837">
        <w:rPr>
          <w:rFonts w:eastAsia="Calibri"/>
          <w:szCs w:val="22"/>
        </w:rPr>
        <w:t xml:space="preserve"> on the voltage level of distribution network to which these are connected, i.e. whether DG units are smaller and connected to low-voltage or they are larger and connected to medium-voltage. </w:t>
      </w:r>
    </w:p>
    <w:p w14:paraId="54A83533" w14:textId="77777777" w:rsidR="006E21B8" w:rsidRPr="00316837" w:rsidRDefault="006E21B8" w:rsidP="006E21B8">
      <w:pPr>
        <w:rPr>
          <w:rFonts w:eastAsia="Calibri"/>
          <w:szCs w:val="22"/>
        </w:rPr>
      </w:pPr>
      <w:r w:rsidRPr="00316837">
        <w:rPr>
          <w:rFonts w:eastAsia="Calibri"/>
          <w:szCs w:val="22"/>
        </w:rPr>
        <w:t xml:space="preserve">Since unintentional islanding is a more dominant problem in low-voltage distribution networks, it is therein desirable to disconnect DG units by applying DG anti-islanding (i.e. a protective measure to ensure that DG units automatically disconnect from a portion of distribution system that has become separated from the main distribution system). If such DG units are installed to be used as reserve power of final customer in parallel with supply from distribution network, a dual connection mode must be installed, with one connection to work in parallel with supply from distribution network and the other in a final customer’s isolated network that is completely separated from distribution network. This requires a separate switch and additional devices. Such DG units may not concurrently feed both distribution network and the final customer’s isolated network. </w:t>
      </w:r>
    </w:p>
    <w:p w14:paraId="540DCC41" w14:textId="04AF9902" w:rsidR="006E21B8" w:rsidRPr="00316837" w:rsidRDefault="006E21B8" w:rsidP="006E21B8">
      <w:pPr>
        <w:rPr>
          <w:rFonts w:eastAsia="Calibri"/>
          <w:szCs w:val="22"/>
        </w:rPr>
      </w:pPr>
      <w:r w:rsidRPr="00316837">
        <w:rPr>
          <w:rFonts w:eastAsia="Calibri"/>
          <w:szCs w:val="22"/>
        </w:rPr>
        <w:t xml:space="preserve">In medium-voltage distribution networks, wherein distribution system operation and support is more dominant problem, DSO decides on a case-by-case basis whether DG units are required to support distribution system stability or not, hence, to stay connected or be disconnected (for example, for maintenance reasons or for </w:t>
      </w:r>
      <w:r w:rsidRPr="00316837">
        <w:rPr>
          <w:rFonts w:eastAsia="Calibri"/>
          <w:szCs w:val="22"/>
        </w:rPr>
        <w:lastRenderedPageBreak/>
        <w:t>accelerating the phases of restoring the electricity service). Therein, DSO can allow DG units to keep energising a disconnected portion of distribution system in unintentional islanding under a written agreement. In such case, DSO can actively control DG units to improve the efficiency, reliability, and overall performance of a disconnected portion of distribution system in unintentional islanding. The agreement shall specify that if such DG units keep on feeding a disconnected portion of distribution system in unintentional islanding and equipment connected to this portion of distribution network becomes faulty as a result of DG units’ faulty operation, the producer who has fed electricity into that portion of distribution network is liable to pay compensation to DSO for any damages to be compensated for by DSO.</w:t>
      </w:r>
      <w:r w:rsidR="001D4932" w:rsidRPr="00316837">
        <w:rPr>
          <w:rFonts w:eastAsia="Calibri"/>
          <w:szCs w:val="22"/>
        </w:rPr>
        <w:t xml:space="preserve"> </w:t>
      </w:r>
    </w:p>
    <w:p w14:paraId="3061B494" w14:textId="5F8DA6E2" w:rsidR="006E21B8" w:rsidRPr="00316837" w:rsidRDefault="006E21B8" w:rsidP="006E21B8">
      <w:pPr>
        <w:rPr>
          <w:rFonts w:eastAsia="Calibri"/>
          <w:szCs w:val="22"/>
        </w:rPr>
      </w:pPr>
      <w:r w:rsidRPr="00316837">
        <w:rPr>
          <w:rFonts w:eastAsia="Calibri"/>
          <w:szCs w:val="22"/>
        </w:rPr>
        <w:t>Unintentional islanding of DG units is subject to anti-islanding protection which is introduced to:</w:t>
      </w:r>
      <w:r w:rsidR="001D4932" w:rsidRPr="00316837">
        <w:rPr>
          <w:rFonts w:eastAsia="Calibri"/>
          <w:szCs w:val="22"/>
        </w:rPr>
        <w:t xml:space="preserve"> </w:t>
      </w:r>
    </w:p>
    <w:p w14:paraId="2F5958E0" w14:textId="77777777" w:rsidR="006E21B8" w:rsidRPr="00316837" w:rsidRDefault="006E21B8" w:rsidP="00E92788">
      <w:pPr>
        <w:pStyle w:val="ListParagraph"/>
        <w:numPr>
          <w:ilvl w:val="0"/>
          <w:numId w:val="86"/>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allow the de-energisation of any faults in the DSO’s network, </w:t>
      </w:r>
    </w:p>
    <w:p w14:paraId="11B34B51" w14:textId="77777777" w:rsidR="006E21B8" w:rsidRPr="00316837" w:rsidRDefault="006E21B8" w:rsidP="00E92788">
      <w:pPr>
        <w:pStyle w:val="ListParagraph"/>
        <w:numPr>
          <w:ilvl w:val="0"/>
          <w:numId w:val="86"/>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avoid the formation of unwanted islands in the DSO’s network, and </w:t>
      </w:r>
    </w:p>
    <w:p w14:paraId="265D0FE9" w14:textId="77777777" w:rsidR="006E21B8" w:rsidRPr="00316837" w:rsidRDefault="006E21B8" w:rsidP="00E92788">
      <w:pPr>
        <w:pStyle w:val="ListParagraph"/>
        <w:numPr>
          <w:ilvl w:val="0"/>
          <w:numId w:val="86"/>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prevent any reclosing of the devices present in the DSO’s network which can cause damage to people and equipment. </w:t>
      </w:r>
    </w:p>
    <w:p w14:paraId="5B381AEF" w14:textId="4B4149BC" w:rsidR="006E21B8" w:rsidRPr="00316837" w:rsidRDefault="006E21B8" w:rsidP="006E21B8">
      <w:pPr>
        <w:rPr>
          <w:rFonts w:eastAsia="Calibri"/>
          <w:szCs w:val="22"/>
        </w:rPr>
      </w:pPr>
      <w:r w:rsidRPr="00316837">
        <w:rPr>
          <w:rFonts w:eastAsia="Calibri"/>
          <w:szCs w:val="22"/>
        </w:rPr>
        <w:t>In case of solar PV inverters, protection from unintentional islanding is usually installed to provide protection for solar PV inverters and for the connected distribution system as well as to preserve safety of grid personnel and the general public. Solar PV inverter protection requirements are defined as per IEC 62116:2014</w:t>
      </w:r>
      <w:r w:rsidRPr="00654753">
        <w:rPr>
          <w:rFonts w:eastAsia="Calibri"/>
          <w:szCs w:val="22"/>
          <w:vertAlign w:val="superscript"/>
        </w:rPr>
        <w:footnoteReference w:id="13"/>
      </w:r>
      <w:r w:rsidRPr="00654753">
        <w:rPr>
          <w:rFonts w:eastAsia="Calibri"/>
          <w:szCs w:val="22"/>
        </w:rPr>
        <w:t xml:space="preserve"> on a test procedure of islanding prevention measures for utility-connected solar PV inverters. The standard guides testing of the performance of automatic islanding prevention measures installed in or with single- or multi-phase utility interactive solar </w:t>
      </w:r>
      <w:r w:rsidRPr="00316837">
        <w:rPr>
          <w:rFonts w:eastAsia="Calibri"/>
          <w:szCs w:val="22"/>
        </w:rPr>
        <w:t xml:space="preserve">PV inverters connected to the utility grid. The test procedure and criteria described are minimum requirements. Passive anti-islanding requirements are based on the use of voltage and frequency limits. </w:t>
      </w:r>
    </w:p>
    <w:p w14:paraId="126E32FF" w14:textId="77777777" w:rsidR="006E21B8" w:rsidRPr="00316837" w:rsidRDefault="006E21B8" w:rsidP="006E21B8">
      <w:pPr>
        <w:rPr>
          <w:rFonts w:eastAsia="Calibri"/>
          <w:szCs w:val="22"/>
        </w:rPr>
      </w:pPr>
      <w:r w:rsidRPr="00316837">
        <w:rPr>
          <w:rFonts w:eastAsia="Calibri"/>
          <w:szCs w:val="22"/>
        </w:rPr>
        <w:t xml:space="preserve">Addressing the protection from unintentional islanding of DG units is a significant topic for DSOs which have high DG growth in their distribution systems, particularly after introducing new requirements that DG units that would previously have disconnected in the event of a system disturbance are now expected to remain connected during a significant fault ride through period. Any requirement for DG units connected to particularly low-voltage distribution network to be more resilient to distribution system disturbances can have an effect for low- and medium-voltage protection arrangements. Instances of unintentional islanding into unwanted islands and failures to disconnect can all increase. In addition, distribution network components can suffer greater stress probably resulting in higher rates of failure. </w:t>
      </w:r>
    </w:p>
    <w:p w14:paraId="28A710E4" w14:textId="77777777" w:rsidR="006E21B8" w:rsidRPr="00316837" w:rsidRDefault="006E21B8" w:rsidP="006E21B8">
      <w:pPr>
        <w:rPr>
          <w:rFonts w:eastAsia="Calibri"/>
          <w:szCs w:val="22"/>
        </w:rPr>
      </w:pPr>
      <w:r w:rsidRPr="00316837">
        <w:rPr>
          <w:rFonts w:eastAsia="Calibri"/>
          <w:szCs w:val="22"/>
        </w:rPr>
        <w:t xml:space="preserve">DSOs are concerned about the increased risk of unintentional islanding of DG units as a result of the introduction of requirements for making DG units more tolerant to system deviations or even self-stabilising (when DG units can be required to maintain connection for a wider frequency and voltage bandwidth). This results in increased risk for public and workers as well as increased stress to distribution networks and connected final customer equipment. Moreover, DSOs are also concerned with the requirements that TSOs should have control over the operation of larger DG units connected to medium-voltage distribution networks without regard to the effect this might have on the operation of distribution system to which these are connected. Rather than accepting the risks associated with splitting control over the same medium-voltage distribution network, DSOs prefer to retain full control over their whole distribution networks, even if this means providing some form of guarantee to TSOs at the connection point. </w:t>
      </w:r>
    </w:p>
    <w:p w14:paraId="2C3FD3C5" w14:textId="397097FB" w:rsidR="006E21B8" w:rsidRPr="00316837" w:rsidRDefault="006E21B8" w:rsidP="006E21B8">
      <w:pPr>
        <w:rPr>
          <w:rFonts w:eastAsia="Calibri"/>
          <w:szCs w:val="22"/>
        </w:rPr>
      </w:pPr>
      <w:r w:rsidRPr="00316837">
        <w:rPr>
          <w:rFonts w:eastAsia="Calibri"/>
          <w:szCs w:val="22"/>
        </w:rPr>
        <w:t xml:space="preserve">DG units (i.e. their operators) are also concerned about the increased risk of their unintentional islanding. They review and update relevant risk assessments to take account of the risks associated with unintentional islanding, with particular emphasis on out-of-phase reclosure, when adhering to the requirements. DSO then facilitates carrying out such a risk assessment, for example by providing an estimate of the potential trapped load. This can be provided in the form of a yearly profile, and possibly in the form of a load duration curve. DG </w:t>
      </w:r>
      <w:r w:rsidRPr="00316837">
        <w:rPr>
          <w:rFonts w:eastAsia="Calibri"/>
          <w:szCs w:val="22"/>
        </w:rPr>
        <w:lastRenderedPageBreak/>
        <w:t xml:space="preserve">units (i.e. their operators) are aware that the trapped load on a network can change over time, due to the connection or disconnection of load and/or generation and network topology changes; hence, they carry out the trapped load assessment periodically. </w:t>
      </w:r>
    </w:p>
    <w:p w14:paraId="27ABF759" w14:textId="583AF568" w:rsidR="006E21B8" w:rsidRPr="00316837" w:rsidRDefault="006E21B8" w:rsidP="006E21B8">
      <w:pPr>
        <w:rPr>
          <w:rFonts w:eastAsia="Calibri"/>
          <w:szCs w:val="22"/>
        </w:rPr>
      </w:pPr>
      <w:r w:rsidRPr="00316837">
        <w:rPr>
          <w:rFonts w:eastAsia="Calibri"/>
          <w:szCs w:val="22"/>
        </w:rPr>
        <w:t xml:space="preserve">A key influence on the stability of any unwanted island is in the short-term, i.e. second-by-second variation of the trapped load. DSO can provide a generic variability of the load with typically 1 second resolution data points, or can measure actual load variability for distribution network in question for some representative operating conditions at DG units’ (i.e. their operators’) expense. Armed with the above information, DG units (i.e. their operators) are able to commission appropriate modelling to simulate the stability of their plants when subject to unintentional islanding and hence assess the risks associated with an out-of-phase reclosure incident. Where DG units (i.e. their operators) consider these risks to be too high, sensitivity analysis should enable them to identify the effectiveness of various remedial actions. </w:t>
      </w:r>
    </w:p>
    <w:p w14:paraId="0B3CCF73" w14:textId="77777777" w:rsidR="006E21B8" w:rsidRPr="00316837" w:rsidRDefault="006E21B8" w:rsidP="006E21B8">
      <w:pPr>
        <w:rPr>
          <w:rFonts w:eastAsia="Calibri"/>
          <w:szCs w:val="22"/>
        </w:rPr>
      </w:pPr>
      <w:r w:rsidRPr="00316837">
        <w:rPr>
          <w:rFonts w:eastAsia="Calibri"/>
          <w:szCs w:val="22"/>
        </w:rPr>
        <w:t xml:space="preserve">Island operation is an independent operation of a whole distribution system or a portion of distribution system that is isolated after being disconnected from the main distribution system, having at least one DG unit and/or DES unit supplying power to such system/part of the system and controlling frequency and voltage. </w:t>
      </w:r>
    </w:p>
    <w:p w14:paraId="36EF3882" w14:textId="77777777" w:rsidR="006E21B8" w:rsidRPr="00316837" w:rsidRDefault="006E21B8" w:rsidP="006E21B8">
      <w:pPr>
        <w:rPr>
          <w:rFonts w:eastAsia="Calibri"/>
          <w:szCs w:val="22"/>
        </w:rPr>
      </w:pPr>
      <w:r w:rsidRPr="00316837">
        <w:rPr>
          <w:rFonts w:eastAsia="Calibri"/>
          <w:szCs w:val="22"/>
        </w:rPr>
        <w:t xml:space="preserve">DERs (DG units and DES units) and loads (including controllable ones) can be operated within mini-grids as single control entities. Such mini-grids can be designed to sustain intentional islanding from the main distribution system and continue supplying electricity to their final customers in an island mode caused by either unexpected power outages or a call for providing flexibility services to DSO. </w:t>
      </w:r>
    </w:p>
    <w:p w14:paraId="1257A2E1" w14:textId="77777777" w:rsidR="006E21B8" w:rsidRPr="00316837" w:rsidRDefault="006E21B8" w:rsidP="006E21B8">
      <w:pPr>
        <w:rPr>
          <w:rFonts w:eastAsia="Calibri"/>
          <w:szCs w:val="22"/>
        </w:rPr>
      </w:pPr>
      <w:r w:rsidRPr="00316837">
        <w:rPr>
          <w:rFonts w:eastAsia="Calibri"/>
          <w:szCs w:val="22"/>
        </w:rPr>
        <w:t xml:space="preserve">Continuous supply of electricity in an island mode of mini-grids’ operation which is caused by unexpected power outages is especially important for critical loads, such as hospitals, military bases, and public facilities designated for disaster evacuation. Governments that recognise value in resiliency can offer subsidies for those mini-grids capable for supplying multiple users in a neighbourhood, in the event of power outage, offering energy independence as well as local electricity generation and distribution. </w:t>
      </w:r>
    </w:p>
    <w:p w14:paraId="47104870" w14:textId="61DBB4E6" w:rsidR="006E21B8" w:rsidRPr="00316837" w:rsidRDefault="006E21B8" w:rsidP="006E21B8">
      <w:pPr>
        <w:rPr>
          <w:rFonts w:eastAsia="Calibri"/>
          <w:szCs w:val="22"/>
        </w:rPr>
      </w:pPr>
      <w:r w:rsidRPr="00316837">
        <w:rPr>
          <w:rFonts w:eastAsia="Calibri"/>
          <w:szCs w:val="22"/>
        </w:rPr>
        <w:t>Besides seeking increased robustness during unexpected power outages, DSOs also ask such mini-grids for increased availability of flexibility services essential to facilitate power balance management and management of distribution system for operation under normal and abnormal conditions (for example, under peak load conditions or various emergency ones, respectively). Implementation of flexibility services is usually required to achieve high level of renewable energy penetration.</w:t>
      </w:r>
      <w:r w:rsidR="001D4932" w:rsidRPr="00316837">
        <w:rPr>
          <w:rFonts w:eastAsia="Calibri"/>
          <w:szCs w:val="22"/>
        </w:rPr>
        <w:t xml:space="preserve"> </w:t>
      </w:r>
    </w:p>
    <w:p w14:paraId="56B7BB17" w14:textId="77777777" w:rsidR="006E21B8" w:rsidRPr="00316837" w:rsidRDefault="006E21B8" w:rsidP="006E21B8">
      <w:pPr>
        <w:rPr>
          <w:rFonts w:eastAsia="Calibri"/>
          <w:szCs w:val="22"/>
        </w:rPr>
      </w:pPr>
      <w:r w:rsidRPr="00316837">
        <w:rPr>
          <w:rFonts w:eastAsia="Calibri"/>
          <w:szCs w:val="22"/>
        </w:rPr>
        <w:t xml:space="preserve">In line with the above, there are two types of intentional islanding for the purpose of island operation of mini-grids which both offer uninterrupted power supply in mini-grids at all times, even during disconnection and reconnection (synchronisation) phases: </w:t>
      </w:r>
    </w:p>
    <w:p w14:paraId="6191495B" w14:textId="77777777" w:rsidR="006E21B8" w:rsidRPr="00316837" w:rsidRDefault="006E21B8" w:rsidP="00E92788">
      <w:pPr>
        <w:pStyle w:val="ListParagraph"/>
        <w:numPr>
          <w:ilvl w:val="0"/>
          <w:numId w:val="8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unforeseen intentional islanding, which occurs unexpectedly when there is a failure in the main distribution system and after which mini-grids can stay in an island mode and distribute back-up power (and even offer a black-start capability), and </w:t>
      </w:r>
    </w:p>
    <w:p w14:paraId="1DB80665" w14:textId="77777777" w:rsidR="006E21B8" w:rsidRPr="00316837" w:rsidRDefault="006E21B8" w:rsidP="00E92788">
      <w:pPr>
        <w:pStyle w:val="ListParagraph"/>
        <w:numPr>
          <w:ilvl w:val="0"/>
          <w:numId w:val="87"/>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scheduled intentional islanding, which is conducted when the main distribution system needs to cancel exchange of power with the mini-grid as a load shedding means (in general, this type of islanding is forecasted and can be prepared for day-ahead). </w:t>
      </w:r>
    </w:p>
    <w:p w14:paraId="37DA1E78" w14:textId="77777777" w:rsidR="006E21B8" w:rsidRPr="00316837" w:rsidRDefault="006E21B8" w:rsidP="006E21B8">
      <w:pPr>
        <w:rPr>
          <w:rFonts w:eastAsia="Calibri"/>
          <w:szCs w:val="22"/>
        </w:rPr>
      </w:pPr>
      <w:r w:rsidRPr="00316837">
        <w:rPr>
          <w:rFonts w:eastAsia="Calibri"/>
          <w:szCs w:val="22"/>
        </w:rPr>
        <w:t xml:space="preserve">Mini-grids can offer a remedy to disrupted centralised power supply which also happens frequently in many AU Member States, even in electrified areas with power supply from the main distribution system. When there is a fault in the main distribution system or there is a load shedding, mini-grids can automatically switch to island operation, providing uninterrupted power supply to their final customers. This is particularly important for business operations that require continuous power supply; hence, mini-grids can contribute to improving these businesses’ productivity. Moreover, by managing peak power demand within mini-grids, distribution network investments or upgrade costs may be deferred, offering DSOs an economic benefit. This business case is feasible particularly in remote distribution areas located at the edge of distribution system. Furthermore, mini-grids in countries with relatively high electricity tariffs can also provide the benefit of electricity bill reduction for their final customers. </w:t>
      </w:r>
    </w:p>
    <w:p w14:paraId="5863E9C0" w14:textId="77777777" w:rsidR="006E21B8" w:rsidRPr="00316837" w:rsidRDefault="006E21B8" w:rsidP="006E21B8">
      <w:pPr>
        <w:rPr>
          <w:rFonts w:eastAsia="Calibri"/>
          <w:szCs w:val="22"/>
        </w:rPr>
      </w:pPr>
      <w:r w:rsidRPr="00316837">
        <w:rPr>
          <w:rFonts w:eastAsia="Calibri"/>
          <w:szCs w:val="22"/>
        </w:rPr>
        <w:lastRenderedPageBreak/>
        <w:t xml:space="preserve">Mini-grids, as a confined consortium of DERs (DG units and DES units), power electronics, concerned loads, information and ICT support within defined electrical boundaries, are considered to be a building block of future distribution mechanisms and a vital component of future smart distribution grids. Mini-grids as a distribution mechanism are capable of operating in synchronism with the main distribution system at the point of common coupling as well as in an island mode of independent operation. These modes of operation for DERs-based mini-grids in smart distribution grid paradigm include: </w:t>
      </w:r>
    </w:p>
    <w:p w14:paraId="30DF1C78" w14:textId="77777777" w:rsidR="006E21B8" w:rsidRPr="00316837" w:rsidRDefault="006E21B8" w:rsidP="00E92788">
      <w:pPr>
        <w:pStyle w:val="ListParagraph"/>
        <w:numPr>
          <w:ilvl w:val="0"/>
          <w:numId w:val="8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distribution system connected mode (centralised power control), </w:t>
      </w:r>
    </w:p>
    <w:p w14:paraId="012CEF01" w14:textId="77777777" w:rsidR="006E21B8" w:rsidRPr="00316837" w:rsidRDefault="006E21B8" w:rsidP="00E92788">
      <w:pPr>
        <w:pStyle w:val="ListParagraph"/>
        <w:numPr>
          <w:ilvl w:val="0"/>
          <w:numId w:val="8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transition to an island mode of independent operation, </w:t>
      </w:r>
    </w:p>
    <w:p w14:paraId="404A0B78" w14:textId="77777777" w:rsidR="006E21B8" w:rsidRPr="00316837" w:rsidRDefault="006E21B8" w:rsidP="00E92788">
      <w:pPr>
        <w:pStyle w:val="ListParagraph"/>
        <w:numPr>
          <w:ilvl w:val="0"/>
          <w:numId w:val="8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island mode of independent operation (decentralised power control), and </w:t>
      </w:r>
    </w:p>
    <w:p w14:paraId="45CFA9E6" w14:textId="73A6D4FE" w:rsidR="006E21B8" w:rsidRPr="00316837" w:rsidRDefault="006E21B8" w:rsidP="00E92788">
      <w:pPr>
        <w:pStyle w:val="ListParagraph"/>
        <w:numPr>
          <w:ilvl w:val="0"/>
          <w:numId w:val="88"/>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the reconnection to the main distribution system mode. </w:t>
      </w:r>
    </w:p>
    <w:p w14:paraId="4AB5C142" w14:textId="77777777" w:rsidR="006E21B8" w:rsidRPr="00316837" w:rsidRDefault="006E21B8" w:rsidP="006E21B8">
      <w:pPr>
        <w:rPr>
          <w:rFonts w:eastAsia="Calibri"/>
          <w:szCs w:val="22"/>
        </w:rPr>
      </w:pPr>
      <w:r w:rsidRPr="00316837">
        <w:rPr>
          <w:rFonts w:eastAsia="Calibri"/>
          <w:szCs w:val="22"/>
        </w:rPr>
        <w:t xml:space="preserve">Smart distribution grids can allow for the formation of mini-grids as wanted islands of DERs and loads that disconnect automatically when the main distribution system is down and automatically resynchronise to the main distribution system when conditions return to normal. DERs (DG units and/or DES units) within such mini-grids can then continue to generate and/or inject/withdraw electricity to serve final customers’ loads within. Built-in communications infrastructure of smart distribution grids can enable DSO to manage DERs within such mini-grids to provide ancillary services under some circumstances. More precisely, DSO can make use of non-frequency ancillary services provided by DERs, i.e. services used by DSO for steady state voltage control, fast reactive current injections, inertia for local grid stability, short-circuit current, black-start capability and island operation capability. Some ancillary services can be provided by DERs across different distribution systems and procured on a distribution system wide basis (e.g. black start, island operation, compensation for technical losses), while others are by definition local as they require local provision and procurement (including reactive power and voltage control). </w:t>
      </w:r>
    </w:p>
    <w:p w14:paraId="39C3DF9D" w14:textId="1C9B300A" w:rsidR="006E21B8" w:rsidRPr="00316837" w:rsidRDefault="006E21B8" w:rsidP="006E21B8">
      <w:pPr>
        <w:rPr>
          <w:rFonts w:eastAsia="Calibri"/>
          <w:szCs w:val="22"/>
        </w:rPr>
      </w:pPr>
      <w:r w:rsidRPr="00316837">
        <w:rPr>
          <w:rFonts w:eastAsia="Calibri"/>
          <w:szCs w:val="22"/>
        </w:rPr>
        <w:t xml:space="preserve">To fulfil DSO’s requests, mini-grid operators can require their DERs to have the capability to take part in island operation of mini-grids, subject to the frequency and voltage limits for island operation. For example, in the event of a power surplus, such DERs shall be capable of reducing the active power output from a previous operating point to any new operating point within the P-Q-capability diagram. A method for detecting a change from interconnected distribution system operation to island operation of mini-grid shall be agreed between DERs (i.e. their operators) and mini-grid operators, in coordination with DSO. The agreed method of detection must not rely solely on position signals of DSO's switchgear towards mini-grids. With regard to the simulation of island operation of mini-grid, DERs’ performance during island operation of mini-grid shall be demonstrated and deemed successful if DERs reduce or increase the active power output from previous operating points to any new ones within the P-Q-capability diagram within the frequency and voltage limits for island operation without disconnection from the island due to over- or under-frequency. </w:t>
      </w:r>
    </w:p>
    <w:p w14:paraId="2A664D53" w14:textId="3389D524" w:rsidR="006E21B8" w:rsidRPr="00316837" w:rsidRDefault="006E21B8" w:rsidP="006E21B8">
      <w:pPr>
        <w:rPr>
          <w:rFonts w:eastAsia="Calibri"/>
          <w:szCs w:val="22"/>
        </w:rPr>
      </w:pPr>
      <w:r w:rsidRPr="00316837">
        <w:rPr>
          <w:rFonts w:eastAsia="Calibri"/>
          <w:szCs w:val="22"/>
        </w:rPr>
        <w:t xml:space="preserve">Mini-grid operators use information, communications and control technologies to operate DERs and loads in their mini-grids in a controlled and coordinated way either while connected to the main distribution system or while islanded. By using such technologies, mini-grid operators can connect and disconnect their mini-grid from the main distribution system grid to enable them to operate in both grid-connected or island-mode. To be able to realise that, mini-grid operators rely on an intelligent control centre that can island their mini-grids from the main distribution system and can control and curtail (if required) the load within those mini-grids to match the demand with the available generation of DG units and injection/withdrawal of DES units. The intelligence behind such centre allows all of the diverse components to make up mini-grids, by working in concert to adhere to voltage and frequency parameters, and perhaps isolate and/or protect critical loads. </w:t>
      </w:r>
    </w:p>
    <w:p w14:paraId="31B120FA" w14:textId="77777777" w:rsidR="006E21B8" w:rsidRPr="00316837" w:rsidRDefault="006E21B8" w:rsidP="006E21B8">
      <w:pPr>
        <w:rPr>
          <w:rFonts w:eastAsia="Calibri"/>
          <w:szCs w:val="22"/>
        </w:rPr>
      </w:pPr>
      <w:r w:rsidRPr="00316837">
        <w:rPr>
          <w:rFonts w:eastAsia="Calibri"/>
          <w:szCs w:val="22"/>
        </w:rPr>
        <w:t xml:space="preserve">At the heart of mini-grid’s intelligent control centre is a supervisory controller that decides which DERs (and/or loads) to use at what times in order to balance load and generation in that mini-grid. This controller may take into account predicted load profile, predicted electricity price profile, predicted wind or solar PV power profile, predicted heating or cooling needs (if the mini-grid contains cogeneration), emissions and other parameters. It may also change the operating modes of DERs, provide power setpoints to DERs, or regulate droop </w:t>
      </w:r>
      <w:r w:rsidRPr="00316837">
        <w:rPr>
          <w:rFonts w:eastAsia="Calibri"/>
          <w:szCs w:val="22"/>
        </w:rPr>
        <w:lastRenderedPageBreak/>
        <w:t xml:space="preserve">characteristics. A mini-grid switch (the switch that performs islanding and connection functions) also has an intelligent controller. </w:t>
      </w:r>
    </w:p>
    <w:p w14:paraId="734AD6A8" w14:textId="77777777" w:rsidR="006E21B8" w:rsidRPr="00316837" w:rsidRDefault="006E21B8" w:rsidP="006E21B8">
      <w:pPr>
        <w:rPr>
          <w:rFonts w:eastAsia="Calibri"/>
          <w:szCs w:val="22"/>
        </w:rPr>
      </w:pPr>
      <w:r w:rsidRPr="00316837">
        <w:rPr>
          <w:rFonts w:eastAsia="Calibri"/>
          <w:szCs w:val="22"/>
        </w:rPr>
        <w:t xml:space="preserve">The </w:t>
      </w:r>
      <w:bookmarkStart w:id="202" w:name="_Hlk57993620"/>
      <w:r w:rsidRPr="00316837">
        <w:rPr>
          <w:rFonts w:eastAsia="Calibri"/>
          <w:szCs w:val="22"/>
        </w:rPr>
        <w:t xml:space="preserve">supervisory controller of a </w:t>
      </w:r>
      <w:bookmarkEnd w:id="202"/>
      <w:r w:rsidRPr="00316837">
        <w:rPr>
          <w:rFonts w:eastAsia="Calibri"/>
          <w:szCs w:val="22"/>
        </w:rPr>
        <w:t xml:space="preserve">mini-grid provides the following major functions: </w:t>
      </w:r>
    </w:p>
    <w:p w14:paraId="1919E1F2" w14:textId="49C2A83C" w:rsidR="006E21B8" w:rsidRPr="00316837" w:rsidRDefault="006E21B8" w:rsidP="00E92788">
      <w:pPr>
        <w:pStyle w:val="ListParagraph"/>
        <w:numPr>
          <w:ilvl w:val="0"/>
          <w:numId w:val="8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SCADA, real-time monitoring, and control of mini-grid, </w:t>
      </w:r>
    </w:p>
    <w:p w14:paraId="10FDBE95" w14:textId="77777777" w:rsidR="006E21B8" w:rsidRPr="00316837" w:rsidRDefault="006E21B8" w:rsidP="00E92788">
      <w:pPr>
        <w:pStyle w:val="ListParagraph"/>
        <w:numPr>
          <w:ilvl w:val="0"/>
          <w:numId w:val="8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capabilities to distribute electricity to any mini-grid users, </w:t>
      </w:r>
    </w:p>
    <w:p w14:paraId="71852069" w14:textId="77777777" w:rsidR="006E21B8" w:rsidRPr="00316837" w:rsidRDefault="006E21B8" w:rsidP="00E92788">
      <w:pPr>
        <w:pStyle w:val="ListParagraph"/>
        <w:numPr>
          <w:ilvl w:val="0"/>
          <w:numId w:val="8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capabilities to protect and maintain the related mini-grid assets, </w:t>
      </w:r>
    </w:p>
    <w:p w14:paraId="1B394486" w14:textId="77777777" w:rsidR="006E21B8" w:rsidRPr="00316837" w:rsidRDefault="006E21B8" w:rsidP="00E92788">
      <w:pPr>
        <w:pStyle w:val="ListParagraph"/>
        <w:numPr>
          <w:ilvl w:val="0"/>
          <w:numId w:val="8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automation capabilities to ensure balance of demand and supply, </w:t>
      </w:r>
    </w:p>
    <w:p w14:paraId="7F067D33" w14:textId="77777777" w:rsidR="006E21B8" w:rsidRPr="00316837" w:rsidRDefault="006E21B8" w:rsidP="00E92788">
      <w:pPr>
        <w:pStyle w:val="ListParagraph"/>
        <w:numPr>
          <w:ilvl w:val="0"/>
          <w:numId w:val="89"/>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automation capabilities to handle islanding, connection and disconnection, etc. </w:t>
      </w:r>
    </w:p>
    <w:p w14:paraId="36FE1A65" w14:textId="77777777" w:rsidR="006E21B8" w:rsidRPr="00316837" w:rsidRDefault="006E21B8" w:rsidP="006E21B8">
      <w:pPr>
        <w:rPr>
          <w:rFonts w:eastAsia="Calibri"/>
          <w:szCs w:val="22"/>
        </w:rPr>
      </w:pPr>
      <w:r w:rsidRPr="00316837">
        <w:rPr>
          <w:rFonts w:eastAsia="Calibri"/>
          <w:szCs w:val="22"/>
        </w:rPr>
        <w:t xml:space="preserve">It may also include commercial related activities, such as: </w:t>
      </w:r>
    </w:p>
    <w:p w14:paraId="4D475AC0" w14:textId="77777777" w:rsidR="006E21B8" w:rsidRPr="00316837" w:rsidRDefault="006E21B8" w:rsidP="00E92788">
      <w:pPr>
        <w:pStyle w:val="ListParagraph"/>
        <w:numPr>
          <w:ilvl w:val="0"/>
          <w:numId w:val="90"/>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trading capabilities and </w:t>
      </w:r>
    </w:p>
    <w:p w14:paraId="45714B38" w14:textId="77777777" w:rsidR="006E21B8" w:rsidRPr="00316837" w:rsidRDefault="006E21B8" w:rsidP="00E92788">
      <w:pPr>
        <w:pStyle w:val="ListParagraph"/>
        <w:numPr>
          <w:ilvl w:val="0"/>
          <w:numId w:val="90"/>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electricity supply and associated metered related back-office capabilities. </w:t>
      </w:r>
    </w:p>
    <w:p w14:paraId="265F8A86" w14:textId="27918540" w:rsidR="006E21B8" w:rsidRPr="00316837" w:rsidRDefault="006E21B8" w:rsidP="006E21B8">
      <w:pPr>
        <w:rPr>
          <w:rFonts w:eastAsia="Calibri"/>
          <w:szCs w:val="22"/>
        </w:rPr>
      </w:pPr>
      <w:r w:rsidRPr="00316837">
        <w:rPr>
          <w:rFonts w:eastAsia="Calibri"/>
          <w:szCs w:val="22"/>
        </w:rPr>
        <w:t xml:space="preserve">By using local DERs as mini-grid’s primary devices, the supervisory controller of a mini-grid maintains the mini-grid’s stability, voltage, frequency, and reliability. </w:t>
      </w:r>
    </w:p>
    <w:p w14:paraId="3A51EEBA" w14:textId="3C15B24B" w:rsidR="006E21B8" w:rsidRPr="00316837" w:rsidRDefault="006E21B8" w:rsidP="006E21B8">
      <w:pPr>
        <w:rPr>
          <w:rFonts w:eastAsia="Calibri"/>
          <w:szCs w:val="22"/>
        </w:rPr>
      </w:pPr>
      <w:r w:rsidRPr="00316837">
        <w:rPr>
          <w:rFonts w:eastAsia="Calibri"/>
          <w:szCs w:val="22"/>
        </w:rPr>
        <w:t xml:space="preserve">While in the parallel operation mode, the supervisory controller of a mini-grid can interface to </w:t>
      </w:r>
      <w:r w:rsidR="001D4932" w:rsidRPr="00316837">
        <w:rPr>
          <w:rFonts w:eastAsia="Calibri"/>
          <w:szCs w:val="22"/>
        </w:rPr>
        <w:t>Distribution Management System (</w:t>
      </w:r>
      <w:r w:rsidRPr="00316837">
        <w:rPr>
          <w:rFonts w:eastAsia="Calibri"/>
          <w:szCs w:val="22"/>
        </w:rPr>
        <w:t>DMS</w:t>
      </w:r>
      <w:r w:rsidR="001D4932" w:rsidRPr="00316837">
        <w:rPr>
          <w:rFonts w:eastAsia="Calibri"/>
          <w:szCs w:val="22"/>
        </w:rPr>
        <w:t>)</w:t>
      </w:r>
      <w:r w:rsidRPr="00316837">
        <w:rPr>
          <w:rFonts w:eastAsia="Calibri"/>
          <w:szCs w:val="22"/>
        </w:rPr>
        <w:t xml:space="preserve"> of DSO to perform various grid support functions such as: </w:t>
      </w:r>
    </w:p>
    <w:p w14:paraId="74402A50" w14:textId="77777777" w:rsidR="006E21B8" w:rsidRPr="00316837" w:rsidRDefault="006E21B8" w:rsidP="00E92788">
      <w:pPr>
        <w:pStyle w:val="ListParagraph"/>
        <w:numPr>
          <w:ilvl w:val="0"/>
          <w:numId w:val="91"/>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peak load management, </w:t>
      </w:r>
    </w:p>
    <w:p w14:paraId="5CA4299C" w14:textId="77777777" w:rsidR="006E21B8" w:rsidRPr="00316837" w:rsidRDefault="006E21B8" w:rsidP="00E92788">
      <w:pPr>
        <w:pStyle w:val="ListParagraph"/>
        <w:numPr>
          <w:ilvl w:val="0"/>
          <w:numId w:val="91"/>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responsive reserves, </w:t>
      </w:r>
    </w:p>
    <w:p w14:paraId="20DD2AE7" w14:textId="77777777" w:rsidR="006E21B8" w:rsidRPr="00316837" w:rsidRDefault="006E21B8" w:rsidP="00E92788">
      <w:pPr>
        <w:pStyle w:val="ListParagraph"/>
        <w:numPr>
          <w:ilvl w:val="0"/>
          <w:numId w:val="91"/>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ancillary services, </w:t>
      </w:r>
    </w:p>
    <w:p w14:paraId="5FC3A29A" w14:textId="77777777" w:rsidR="006E21B8" w:rsidRPr="00316837" w:rsidRDefault="006E21B8" w:rsidP="00E92788">
      <w:pPr>
        <w:pStyle w:val="ListParagraph"/>
        <w:numPr>
          <w:ilvl w:val="0"/>
          <w:numId w:val="91"/>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grid voltage support, </w:t>
      </w:r>
    </w:p>
    <w:p w14:paraId="6F41E11C" w14:textId="77777777" w:rsidR="006E21B8" w:rsidRPr="00316837" w:rsidRDefault="006E21B8" w:rsidP="00E92788">
      <w:pPr>
        <w:pStyle w:val="ListParagraph"/>
        <w:numPr>
          <w:ilvl w:val="0"/>
          <w:numId w:val="91"/>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back-up emergency power, etc. </w:t>
      </w:r>
    </w:p>
    <w:p w14:paraId="4D65CFFB" w14:textId="012DCC84" w:rsidR="006E21B8" w:rsidRPr="00316837" w:rsidRDefault="006E21B8" w:rsidP="006E21B8">
      <w:pPr>
        <w:rPr>
          <w:rFonts w:eastAsia="Calibri"/>
          <w:szCs w:val="22"/>
        </w:rPr>
      </w:pPr>
      <w:r w:rsidRPr="00316837">
        <w:rPr>
          <w:rFonts w:eastAsia="Calibri"/>
          <w:szCs w:val="22"/>
        </w:rPr>
        <w:t xml:space="preserve">In the island mode, the supervisory controller of a mini-grid can be called on to perform the following functions: </w:t>
      </w:r>
    </w:p>
    <w:p w14:paraId="55E89DBC" w14:textId="77777777" w:rsidR="006E21B8" w:rsidRPr="00316837" w:rsidRDefault="006E21B8" w:rsidP="00E92788">
      <w:pPr>
        <w:pStyle w:val="ListParagraph"/>
        <w:numPr>
          <w:ilvl w:val="0"/>
          <w:numId w:val="9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islanding on requests, </w:t>
      </w:r>
    </w:p>
    <w:p w14:paraId="57F80F0F" w14:textId="77777777" w:rsidR="006E21B8" w:rsidRPr="00316837" w:rsidRDefault="006E21B8" w:rsidP="00E92788">
      <w:pPr>
        <w:pStyle w:val="ListParagraph"/>
        <w:numPr>
          <w:ilvl w:val="0"/>
          <w:numId w:val="9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islanding in emergency, </w:t>
      </w:r>
    </w:p>
    <w:p w14:paraId="6266A384" w14:textId="77777777" w:rsidR="006E21B8" w:rsidRPr="00316837" w:rsidRDefault="006E21B8" w:rsidP="00E92788">
      <w:pPr>
        <w:pStyle w:val="ListParagraph"/>
        <w:numPr>
          <w:ilvl w:val="0"/>
          <w:numId w:val="9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grid synchronising and (re-)connection, </w:t>
      </w:r>
    </w:p>
    <w:p w14:paraId="169BDC77" w14:textId="77777777" w:rsidR="006E21B8" w:rsidRPr="00316837" w:rsidRDefault="006E21B8" w:rsidP="00E92788">
      <w:pPr>
        <w:pStyle w:val="ListParagraph"/>
        <w:numPr>
          <w:ilvl w:val="0"/>
          <w:numId w:val="9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balancing supply and demand, </w:t>
      </w:r>
    </w:p>
    <w:p w14:paraId="74658F14" w14:textId="77777777" w:rsidR="006E21B8" w:rsidRPr="00316837" w:rsidRDefault="006E21B8" w:rsidP="00E92788">
      <w:pPr>
        <w:pStyle w:val="ListParagraph"/>
        <w:numPr>
          <w:ilvl w:val="0"/>
          <w:numId w:val="9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black-start in islanding mode, </w:t>
      </w:r>
    </w:p>
    <w:p w14:paraId="772EE7E6" w14:textId="77777777" w:rsidR="006E21B8" w:rsidRPr="00316837" w:rsidRDefault="006E21B8" w:rsidP="00E92788">
      <w:pPr>
        <w:pStyle w:val="ListParagraph"/>
        <w:numPr>
          <w:ilvl w:val="0"/>
          <w:numId w:val="9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network configuration, </w:t>
      </w:r>
    </w:p>
    <w:p w14:paraId="5D8369A6" w14:textId="77777777" w:rsidR="006E21B8" w:rsidRPr="00316837" w:rsidRDefault="006E21B8" w:rsidP="00E92788">
      <w:pPr>
        <w:pStyle w:val="ListParagraph"/>
        <w:numPr>
          <w:ilvl w:val="0"/>
          <w:numId w:val="9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reactive power compensation/voltage control, </w:t>
      </w:r>
    </w:p>
    <w:p w14:paraId="1578F254" w14:textId="77777777" w:rsidR="006E21B8" w:rsidRPr="00316837" w:rsidRDefault="006E21B8" w:rsidP="00E92788">
      <w:pPr>
        <w:pStyle w:val="ListParagraph"/>
        <w:numPr>
          <w:ilvl w:val="0"/>
          <w:numId w:val="9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economic dispatch, </w:t>
      </w:r>
    </w:p>
    <w:p w14:paraId="5BF53F01" w14:textId="77777777" w:rsidR="006E21B8" w:rsidRPr="00316837" w:rsidRDefault="006E21B8" w:rsidP="00E92788">
      <w:pPr>
        <w:pStyle w:val="ListParagraph"/>
        <w:numPr>
          <w:ilvl w:val="0"/>
          <w:numId w:val="92"/>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load control, etc. </w:t>
      </w:r>
    </w:p>
    <w:p w14:paraId="6A7EF5EF" w14:textId="7505FEC6" w:rsidR="006E21B8" w:rsidRPr="00316837" w:rsidRDefault="006E21B8" w:rsidP="006E21B8">
      <w:pPr>
        <w:rPr>
          <w:rFonts w:eastAsia="Calibri"/>
          <w:szCs w:val="22"/>
        </w:rPr>
      </w:pPr>
      <w:r w:rsidRPr="00316837">
        <w:rPr>
          <w:rFonts w:eastAsia="Calibri"/>
          <w:szCs w:val="22"/>
        </w:rPr>
        <w:t xml:space="preserve">Island operation of mini-grids should be compliant to EN 50160 criteria to ensure the quality of delivered electricity (frequency and voltage deviation, harmonic distortion, etc.). Also, IEC projects (IEC TS 62898 series: Microgrids) consider power quality in the context of island operation. In practice, power quality can be impacted in island operation of mini-grids because of higher emission of supra-harmonics from DES units and higher harmonic levels due to a generally weaker source during island operation. Power quality can be impacted in other ways too, for example, because of emission of inter-harmonics from wind and solar PV power plants, supra-harmonics from voltage source converters, over-voltages due to connection of solar PV to low-voltage </w:t>
      </w:r>
      <w:r w:rsidRPr="00316837">
        <w:rPr>
          <w:rFonts w:eastAsia="Calibri"/>
          <w:szCs w:val="22"/>
        </w:rPr>
        <w:lastRenderedPageBreak/>
        <w:t xml:space="preserve">distribution networks and switching transients associated with cables in wind power plants. Wind turbine controllers in large wind power plants could become unstable due to high levels of harmonics or inter-harmonics. Similar problems can be observed with solar PV power plants. </w:t>
      </w:r>
      <w:r w:rsidR="000D7B8D" w:rsidRPr="00316837">
        <w:rPr>
          <w:rFonts w:eastAsia="Calibri"/>
          <w:szCs w:val="22"/>
        </w:rPr>
        <w:t>Finally, AFSEC has published the “Guide for Application of Standards for Rural Electrification in Africa”.</w:t>
      </w:r>
      <w:r w:rsidR="001D4932" w:rsidRPr="00316837">
        <w:rPr>
          <w:rFonts w:eastAsia="Calibri"/>
          <w:szCs w:val="22"/>
        </w:rPr>
        <w:t xml:space="preserve"> </w:t>
      </w:r>
    </w:p>
    <w:p w14:paraId="23ADB33C" w14:textId="1F03A84F" w:rsidR="006E21B8" w:rsidRPr="00316837" w:rsidRDefault="006E21B8" w:rsidP="006E21B8">
      <w:pPr>
        <w:rPr>
          <w:rFonts w:eastAsia="Calibri"/>
          <w:szCs w:val="22"/>
        </w:rPr>
      </w:pPr>
      <w:r w:rsidRPr="00316837">
        <w:rPr>
          <w:rFonts w:eastAsia="Calibri"/>
          <w:szCs w:val="22"/>
        </w:rPr>
        <w:t xml:space="preserve">Being connected to an isolated mini-grid only (i.e. staying off-grid) is still not considered a cost-efficient option compared to an existing grid-based solution; however, it can be a cost-effective solution in exceptional situations due to certain geographical specificities (such as mountains, remote areas or isolated island systems where communities are so remote that the overall cost of maintaining their connection is higher than the cost of ensuring security of electricity supply in an independent grid). Installing solar PV and DES to go off-grid while maintaining 99.99% of load served with the same quality would cost the individual customer several times more per kWh consumed than drawing power from the grid. Even for those customers ready to make significant lifestyle changes and willing to accept only 80% of their load needs being met, power from an off-grid system would still cost significantly more per kWh than drawing power from the grid. Adding a diesel generator - which would have environmental impacts - in order to significantly improve power availability to the off-grid consumer would result in significantly increased cost compared to staying connected to the grid. These costs are caused by the need to overscale the isolated mini-grid to secure the same quality and reliability level provided by the grid. In any case, by being connected to an isolated mini-grid only (i.e. staying off-grid), the customers lose the opportunity to sell their excess electricity (when remuneration schemes exists). Moreover, in case of a harmful weather event (storms or floods, for example), the recovery of electricity supply takes much longer for an off-grid system compared to an interconnected system, where DSO will always reconnect people as soon as practicable. </w:t>
      </w:r>
    </w:p>
    <w:p w14:paraId="59C1BD5E" w14:textId="7A0546CA" w:rsidR="006E21B8" w:rsidRDefault="000D7B8D" w:rsidP="006E21B8">
      <w:pPr>
        <w:rPr>
          <w:rFonts w:eastAsia="Calibri"/>
          <w:szCs w:val="22"/>
        </w:rPr>
      </w:pPr>
      <w:r w:rsidRPr="00316837">
        <w:rPr>
          <w:rFonts w:eastAsia="Calibri"/>
          <w:szCs w:val="22"/>
        </w:rPr>
        <w:t>The following example can illustrate island operation of an interconnected mini-grid in Africa.</w:t>
      </w:r>
      <w:r w:rsidR="006E21B8" w:rsidRPr="00316837">
        <w:rPr>
          <w:rFonts w:eastAsia="Calibri"/>
          <w:szCs w:val="22"/>
        </w:rPr>
        <w:t xml:space="preserve"> </w:t>
      </w:r>
      <w:r w:rsidRPr="00316837">
        <w:rPr>
          <w:rFonts w:eastAsia="Calibri"/>
          <w:szCs w:val="22"/>
        </w:rPr>
        <w:t>T</w:t>
      </w:r>
      <w:r w:rsidR="006E21B8" w:rsidRPr="00316837">
        <w:rPr>
          <w:rFonts w:eastAsia="Calibri"/>
          <w:szCs w:val="22"/>
        </w:rPr>
        <w:t>he ABB integrated solar-diesel grid-connected mini-grid installation</w:t>
      </w:r>
      <w:r w:rsidR="006E21B8" w:rsidRPr="00654753">
        <w:rPr>
          <w:rFonts w:eastAsia="Calibri"/>
          <w:szCs w:val="22"/>
          <w:vertAlign w:val="superscript"/>
        </w:rPr>
        <w:footnoteReference w:id="14"/>
      </w:r>
      <w:r w:rsidR="006E21B8" w:rsidRPr="00654753">
        <w:rPr>
          <w:rFonts w:eastAsia="Calibri"/>
          <w:szCs w:val="22"/>
        </w:rPr>
        <w:t xml:space="preserve"> can serve as the example. It illustrates island operation of an interconnected mini-grid in its manufacturing Longmeadow facility Johannesburg, South Africa which has fully grid-connected and off-grid functionalities. The use of renewable energy is </w:t>
      </w:r>
      <w:r w:rsidR="006E21B8" w:rsidRPr="00316837">
        <w:rPr>
          <w:rFonts w:eastAsia="Calibri"/>
          <w:szCs w:val="22"/>
        </w:rPr>
        <w:t xml:space="preserve">maximised, and uninterrupted power supply is ensured to keep the lights on and the factories running during any planned or unplanned power outages on the main grid supply. </w:t>
      </w:r>
    </w:p>
    <w:p w14:paraId="3779A9FF" w14:textId="3593EBD2" w:rsidR="00316837" w:rsidRPr="00316837" w:rsidRDefault="00316837" w:rsidP="006E21B8">
      <w:pPr>
        <w:rPr>
          <w:rFonts w:eastAsia="Calibri"/>
          <w:szCs w:val="22"/>
        </w:rPr>
      </w:pPr>
      <w:r w:rsidRPr="00316837">
        <w:rPr>
          <w:rFonts w:eastAsia="Calibri"/>
          <w:szCs w:val="22"/>
        </w:rPr>
        <w:t xml:space="preserve">Based on the above discussions, the Guidelines </w:t>
      </w:r>
      <w:r>
        <w:rPr>
          <w:rFonts w:eastAsia="Calibri"/>
          <w:szCs w:val="22"/>
        </w:rPr>
        <w:t>6</w:t>
      </w:r>
      <w:r w:rsidRPr="00316837">
        <w:rPr>
          <w:rFonts w:eastAsia="Calibri"/>
          <w:szCs w:val="22"/>
        </w:rPr>
        <w:t>.</w:t>
      </w:r>
      <w:r>
        <w:rPr>
          <w:rFonts w:eastAsia="Calibri"/>
          <w:szCs w:val="22"/>
        </w:rPr>
        <w:t>1</w:t>
      </w:r>
      <w:r w:rsidRPr="00316837">
        <w:rPr>
          <w:rFonts w:eastAsia="Calibri"/>
          <w:szCs w:val="22"/>
        </w:rPr>
        <w:t xml:space="preserve"> on Technical Modalities for Main Grid Connection of Off-Grid Mini-Grids is presented as follows:</w:t>
      </w:r>
      <w:r>
        <w:rPr>
          <w:rFonts w:eastAsia="Calibri"/>
          <w:szCs w:val="22"/>
        </w:rPr>
        <w:t xml:space="preserve"> </w:t>
      </w:r>
    </w:p>
    <w:p w14:paraId="29FB5F2E" w14:textId="1B30BBDF" w:rsidR="00F46B58" w:rsidRPr="00654753" w:rsidRDefault="00F46B58" w:rsidP="006E21B8">
      <w:pPr>
        <w:rPr>
          <w:rFonts w:eastAsia="Calibri"/>
          <w:szCs w:val="22"/>
        </w:rPr>
      </w:pPr>
      <w:r w:rsidRPr="006273BD">
        <w:rPr>
          <w:rFonts w:eastAsia="Calibri"/>
          <w:noProof/>
          <w:lang w:eastAsia="en-GB"/>
        </w:rPr>
        <mc:AlternateContent>
          <mc:Choice Requires="wps">
            <w:drawing>
              <wp:inline distT="0" distB="0" distL="0" distR="0" wp14:anchorId="37A41E59" wp14:editId="31CDDD93">
                <wp:extent cx="6112800" cy="3024553"/>
                <wp:effectExtent l="0" t="0" r="21590" b="23495"/>
                <wp:docPr id="32" name="Text Box 32"/>
                <wp:cNvGraphicFramePr/>
                <a:graphic xmlns:a="http://schemas.openxmlformats.org/drawingml/2006/main">
                  <a:graphicData uri="http://schemas.microsoft.com/office/word/2010/wordprocessingShape">
                    <wps:wsp>
                      <wps:cNvSpPr txBox="1"/>
                      <wps:spPr>
                        <a:xfrm>
                          <a:off x="0" y="0"/>
                          <a:ext cx="6112800" cy="3024553"/>
                        </a:xfrm>
                        <a:prstGeom prst="rect">
                          <a:avLst/>
                        </a:prstGeom>
                        <a:solidFill>
                          <a:srgbClr val="9BBB59">
                            <a:lumMod val="20000"/>
                            <a:lumOff val="80000"/>
                          </a:srgbClr>
                        </a:solidFill>
                        <a:ln w="6350">
                          <a:solidFill>
                            <a:prstClr val="black"/>
                          </a:solidFill>
                        </a:ln>
                        <a:effectLst/>
                      </wps:spPr>
                      <wps:txbx>
                        <w:txbxContent>
                          <w:p w14:paraId="02CCC4FE" w14:textId="0991D12B" w:rsidR="00F46B58" w:rsidRPr="00316837" w:rsidRDefault="00F46B58" w:rsidP="00F46B58">
                            <w:pPr>
                              <w:jc w:val="left"/>
                              <w:rPr>
                                <w:rFonts w:cs="Arial"/>
                                <w:bCs/>
                                <w:szCs w:val="20"/>
                              </w:rPr>
                            </w:pPr>
                            <w:r w:rsidRPr="00316837">
                              <w:rPr>
                                <w:rFonts w:cs="Arial"/>
                                <w:bCs/>
                                <w:szCs w:val="20"/>
                              </w:rPr>
                              <w:t>Guidelines 6.1</w:t>
                            </w:r>
                            <w:r w:rsidR="00316837" w:rsidRPr="006273BD">
                              <w:rPr>
                                <w:rFonts w:cs="Arial"/>
                                <w:bCs/>
                                <w:szCs w:val="20"/>
                              </w:rPr>
                              <w:t xml:space="preserve">: </w:t>
                            </w:r>
                            <w:r w:rsidRPr="00316837">
                              <w:rPr>
                                <w:rFonts w:cs="Arial"/>
                                <w:bCs/>
                                <w:szCs w:val="20"/>
                              </w:rPr>
                              <w:t xml:space="preserve">Technical </w:t>
                            </w:r>
                            <w:r w:rsidR="00316837" w:rsidRPr="006273BD">
                              <w:rPr>
                                <w:rFonts w:cs="Arial"/>
                                <w:bCs/>
                                <w:szCs w:val="20"/>
                              </w:rPr>
                              <w:t>M</w:t>
                            </w:r>
                            <w:r w:rsidRPr="00316837">
                              <w:rPr>
                                <w:rFonts w:cs="Arial"/>
                                <w:bCs/>
                                <w:szCs w:val="20"/>
                              </w:rPr>
                              <w:t xml:space="preserve">odalities for </w:t>
                            </w:r>
                            <w:r w:rsidR="00316837" w:rsidRPr="006273BD">
                              <w:rPr>
                                <w:rFonts w:cs="Arial"/>
                                <w:bCs/>
                                <w:szCs w:val="20"/>
                              </w:rPr>
                              <w:t>M</w:t>
                            </w:r>
                            <w:r w:rsidRPr="00316837">
                              <w:rPr>
                                <w:rFonts w:cs="Arial"/>
                                <w:bCs/>
                                <w:szCs w:val="20"/>
                              </w:rPr>
                              <w:t xml:space="preserve">ain </w:t>
                            </w:r>
                            <w:r w:rsidR="00316837" w:rsidRPr="006273BD">
                              <w:rPr>
                                <w:rFonts w:cs="Arial"/>
                                <w:bCs/>
                                <w:szCs w:val="20"/>
                              </w:rPr>
                              <w:t>G</w:t>
                            </w:r>
                            <w:r w:rsidRPr="00316837">
                              <w:rPr>
                                <w:rFonts w:cs="Arial"/>
                                <w:bCs/>
                                <w:szCs w:val="20"/>
                              </w:rPr>
                              <w:t xml:space="preserve">rid </w:t>
                            </w:r>
                            <w:r w:rsidR="00316837" w:rsidRPr="006273BD">
                              <w:rPr>
                                <w:rFonts w:cs="Arial"/>
                                <w:bCs/>
                                <w:szCs w:val="20"/>
                              </w:rPr>
                              <w:t>C</w:t>
                            </w:r>
                            <w:r w:rsidRPr="00316837">
                              <w:rPr>
                                <w:rFonts w:cs="Arial"/>
                                <w:bCs/>
                                <w:szCs w:val="20"/>
                              </w:rPr>
                              <w:t xml:space="preserve">onnection of </w:t>
                            </w:r>
                            <w:r w:rsidR="00316837" w:rsidRPr="006273BD">
                              <w:rPr>
                                <w:rFonts w:cs="Arial"/>
                                <w:bCs/>
                                <w:szCs w:val="20"/>
                              </w:rPr>
                              <w:t>O</w:t>
                            </w:r>
                            <w:r w:rsidRPr="00316837">
                              <w:rPr>
                                <w:rFonts w:cs="Arial"/>
                                <w:bCs/>
                                <w:szCs w:val="20"/>
                              </w:rPr>
                              <w:t>ff-</w:t>
                            </w:r>
                            <w:r w:rsidR="00316837" w:rsidRPr="006273BD">
                              <w:rPr>
                                <w:rFonts w:cs="Arial"/>
                                <w:bCs/>
                                <w:szCs w:val="20"/>
                              </w:rPr>
                              <w:t>G</w:t>
                            </w:r>
                            <w:r w:rsidRPr="00316837">
                              <w:rPr>
                                <w:rFonts w:cs="Arial"/>
                                <w:bCs/>
                                <w:szCs w:val="20"/>
                              </w:rPr>
                              <w:t xml:space="preserve">rid </w:t>
                            </w:r>
                            <w:r w:rsidR="00316837" w:rsidRPr="006273BD">
                              <w:rPr>
                                <w:rFonts w:cs="Arial"/>
                                <w:bCs/>
                                <w:szCs w:val="20"/>
                              </w:rPr>
                              <w:t>M</w:t>
                            </w:r>
                            <w:r w:rsidRPr="00316837">
                              <w:rPr>
                                <w:rFonts w:cs="Arial"/>
                                <w:bCs/>
                                <w:szCs w:val="20"/>
                              </w:rPr>
                              <w:t>ini-</w:t>
                            </w:r>
                            <w:r w:rsidR="00316837" w:rsidRPr="006273BD">
                              <w:rPr>
                                <w:rFonts w:cs="Arial"/>
                                <w:bCs/>
                                <w:szCs w:val="20"/>
                              </w:rPr>
                              <w:t>G</w:t>
                            </w:r>
                            <w:r w:rsidRPr="00316837">
                              <w:rPr>
                                <w:rFonts w:cs="Arial"/>
                                <w:bCs/>
                                <w:szCs w:val="20"/>
                              </w:rPr>
                              <w:t>rids</w:t>
                            </w:r>
                            <w:r w:rsidR="00316837" w:rsidRPr="006273BD">
                              <w:rPr>
                                <w:rFonts w:cs="Arial"/>
                                <w:bCs/>
                                <w:szCs w:val="20"/>
                              </w:rPr>
                              <w:t xml:space="preserve"> </w:t>
                            </w:r>
                          </w:p>
                          <w:p w14:paraId="4CF99E04" w14:textId="3A1225BB"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Ensure that unintentional islanding of mini-grids does not occur</w:t>
                            </w:r>
                            <w:r w:rsidR="00316837">
                              <w:rPr>
                                <w:rFonts w:ascii="Arial" w:hAnsi="Arial" w:cs="Arial"/>
                                <w:bCs/>
                                <w:sz w:val="20"/>
                                <w:szCs w:val="20"/>
                                <w:lang w:val="en-GB"/>
                              </w:rPr>
                              <w:t>.</w:t>
                            </w:r>
                            <w:r w:rsidRPr="002900F2">
                              <w:rPr>
                                <w:rFonts w:ascii="Arial" w:hAnsi="Arial" w:cs="Arial"/>
                                <w:bCs/>
                                <w:sz w:val="20"/>
                                <w:szCs w:val="20"/>
                                <w:lang w:val="en-GB"/>
                              </w:rPr>
                              <w:t xml:space="preserve"> </w:t>
                            </w:r>
                          </w:p>
                          <w:p w14:paraId="1F2FDED7" w14:textId="708BA606"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Ensure that a detailed framework is in place to allow the intentional islanding of interconnected mini-grids</w:t>
                            </w:r>
                            <w:r w:rsidR="00316837">
                              <w:rPr>
                                <w:rFonts w:ascii="Arial" w:hAnsi="Arial" w:cs="Arial"/>
                                <w:bCs/>
                                <w:sz w:val="20"/>
                                <w:szCs w:val="20"/>
                                <w:lang w:val="en-GB"/>
                              </w:rPr>
                              <w:t xml:space="preserve">. </w:t>
                            </w:r>
                          </w:p>
                          <w:p w14:paraId="0A849A5A" w14:textId="496C1817"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Ensure that a sufficient framework is in place to allow the seamless communication between DSOs and mini-grid operators for optimal planning of intentional islanding</w:t>
                            </w:r>
                            <w:r w:rsidR="00316837">
                              <w:rPr>
                                <w:rFonts w:ascii="Arial" w:hAnsi="Arial" w:cs="Arial"/>
                                <w:bCs/>
                                <w:sz w:val="20"/>
                                <w:szCs w:val="20"/>
                                <w:lang w:val="en-GB"/>
                              </w:rPr>
                              <w:t>.</w:t>
                            </w:r>
                            <w:r w:rsidRPr="002900F2">
                              <w:rPr>
                                <w:rFonts w:ascii="Arial" w:hAnsi="Arial" w:cs="Arial"/>
                                <w:bCs/>
                                <w:sz w:val="20"/>
                                <w:szCs w:val="20"/>
                                <w:lang w:val="en-GB"/>
                              </w:rPr>
                              <w:t xml:space="preserve"> </w:t>
                            </w:r>
                          </w:p>
                          <w:p w14:paraId="1C2223AC" w14:textId="2B5DF754"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Develop a framework where mini-grids can provide extended services to the distribution grids</w:t>
                            </w:r>
                            <w:r w:rsidR="00316837">
                              <w:rPr>
                                <w:rFonts w:ascii="Arial" w:hAnsi="Arial" w:cs="Arial"/>
                                <w:bCs/>
                                <w:sz w:val="20"/>
                                <w:szCs w:val="20"/>
                                <w:lang w:val="en-GB"/>
                              </w:rPr>
                              <w:t>.</w:t>
                            </w:r>
                            <w:r w:rsidRPr="002900F2">
                              <w:rPr>
                                <w:rFonts w:ascii="Arial" w:hAnsi="Arial" w:cs="Arial"/>
                                <w:bCs/>
                                <w:sz w:val="20"/>
                                <w:szCs w:val="20"/>
                                <w:lang w:val="en-GB"/>
                              </w:rPr>
                              <w:t xml:space="preserve"> </w:t>
                            </w:r>
                          </w:p>
                          <w:p w14:paraId="64BF4111" w14:textId="127E4397"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Adopt African and/or International standards</w:t>
                            </w:r>
                            <w:r w:rsidR="00316837">
                              <w:rPr>
                                <w:rFonts w:ascii="Arial" w:hAnsi="Arial" w:cs="Arial"/>
                                <w:bCs/>
                                <w:sz w:val="20"/>
                                <w:szCs w:val="20"/>
                                <w:lang w:val="en-GB"/>
                              </w:rPr>
                              <w:t>.</w:t>
                            </w:r>
                            <w:r w:rsidRPr="002900F2">
                              <w:rPr>
                                <w:rFonts w:ascii="Arial" w:hAnsi="Arial" w:cs="Arial"/>
                                <w:bCs/>
                                <w:sz w:val="20"/>
                                <w:szCs w:val="20"/>
                                <w:lang w:val="en-GB"/>
                              </w:rPr>
                              <w:t xml:space="preserve"> </w:t>
                            </w:r>
                          </w:p>
                          <w:p w14:paraId="1830233D" w14:textId="3AE07F2A"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Facilitate the interconnection of existing rural mini-grids to the main grid when this is technically feasible and cost-effective</w:t>
                            </w:r>
                            <w:r w:rsidR="00316837">
                              <w:rPr>
                                <w:rFonts w:ascii="Arial" w:hAnsi="Arial" w:cs="Arial"/>
                                <w:bCs/>
                                <w:sz w:val="20"/>
                                <w:szCs w:val="20"/>
                                <w:lang w:val="en-GB"/>
                              </w:rPr>
                              <w:t>.</w:t>
                            </w:r>
                            <w:r w:rsidRPr="002900F2">
                              <w:rPr>
                                <w:rFonts w:ascii="Arial" w:hAnsi="Arial" w:cs="Arial"/>
                                <w:bCs/>
                                <w:sz w:val="20"/>
                                <w:szCs w:val="20"/>
                                <w:lang w:val="en-GB"/>
                              </w:rPr>
                              <w:t xml:space="preserve"> </w:t>
                            </w:r>
                          </w:p>
                          <w:p w14:paraId="2F765990" w14:textId="7D253C5E" w:rsidR="00F46B58" w:rsidRPr="003D494F" w:rsidRDefault="002900F2" w:rsidP="002900F2">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Allow the realisation of interconnected to the main grid mini-grids from the start</w:t>
                            </w:r>
                            <w:r w:rsidR="00316837">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A41E59" id="Text Box 32" o:spid="_x0000_s1055" type="#_x0000_t202" style="width:481.3pt;height:2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" fillcolor="#ebf1de" strokeweight=".5pt">
                <v:textbox>
                  <w:txbxContent>
                    <w:p w14:paraId="02CCC4FE" w14:textId="0991D12B" w:rsidR="00F46B58" w:rsidRPr="00316837" w:rsidRDefault="00F46B58" w:rsidP="00F46B58">
                      <w:pPr>
                        <w:jc w:val="left"/>
                        <w:rPr>
                          <w:rFonts w:cs="Arial"/>
                          <w:bCs/>
                          <w:szCs w:val="20"/>
                        </w:rPr>
                      </w:pPr>
                      <w:r w:rsidRPr="00316837">
                        <w:rPr>
                          <w:rFonts w:cs="Arial"/>
                          <w:bCs/>
                          <w:szCs w:val="20"/>
                        </w:rPr>
                        <w:t>Guidelines 6.1</w:t>
                      </w:r>
                      <w:r w:rsidR="00316837" w:rsidRPr="006273BD">
                        <w:rPr>
                          <w:rFonts w:cs="Arial"/>
                          <w:bCs/>
                          <w:szCs w:val="20"/>
                        </w:rPr>
                        <w:t xml:space="preserve">: </w:t>
                      </w:r>
                      <w:r w:rsidRPr="00316837">
                        <w:rPr>
                          <w:rFonts w:cs="Arial"/>
                          <w:bCs/>
                          <w:szCs w:val="20"/>
                        </w:rPr>
                        <w:t xml:space="preserve">Technical </w:t>
                      </w:r>
                      <w:r w:rsidR="00316837" w:rsidRPr="006273BD">
                        <w:rPr>
                          <w:rFonts w:cs="Arial"/>
                          <w:bCs/>
                          <w:szCs w:val="20"/>
                        </w:rPr>
                        <w:t>M</w:t>
                      </w:r>
                      <w:r w:rsidRPr="00316837">
                        <w:rPr>
                          <w:rFonts w:cs="Arial"/>
                          <w:bCs/>
                          <w:szCs w:val="20"/>
                        </w:rPr>
                        <w:t xml:space="preserve">odalities for </w:t>
                      </w:r>
                      <w:r w:rsidR="00316837" w:rsidRPr="006273BD">
                        <w:rPr>
                          <w:rFonts w:cs="Arial"/>
                          <w:bCs/>
                          <w:szCs w:val="20"/>
                        </w:rPr>
                        <w:t>M</w:t>
                      </w:r>
                      <w:r w:rsidRPr="00316837">
                        <w:rPr>
                          <w:rFonts w:cs="Arial"/>
                          <w:bCs/>
                          <w:szCs w:val="20"/>
                        </w:rPr>
                        <w:t xml:space="preserve">ain </w:t>
                      </w:r>
                      <w:r w:rsidR="00316837" w:rsidRPr="006273BD">
                        <w:rPr>
                          <w:rFonts w:cs="Arial"/>
                          <w:bCs/>
                          <w:szCs w:val="20"/>
                        </w:rPr>
                        <w:t>G</w:t>
                      </w:r>
                      <w:r w:rsidRPr="00316837">
                        <w:rPr>
                          <w:rFonts w:cs="Arial"/>
                          <w:bCs/>
                          <w:szCs w:val="20"/>
                        </w:rPr>
                        <w:t xml:space="preserve">rid </w:t>
                      </w:r>
                      <w:r w:rsidR="00316837" w:rsidRPr="006273BD">
                        <w:rPr>
                          <w:rFonts w:cs="Arial"/>
                          <w:bCs/>
                          <w:szCs w:val="20"/>
                        </w:rPr>
                        <w:t>C</w:t>
                      </w:r>
                      <w:r w:rsidRPr="00316837">
                        <w:rPr>
                          <w:rFonts w:cs="Arial"/>
                          <w:bCs/>
                          <w:szCs w:val="20"/>
                        </w:rPr>
                        <w:t xml:space="preserve">onnection of </w:t>
                      </w:r>
                      <w:r w:rsidR="00316837" w:rsidRPr="006273BD">
                        <w:rPr>
                          <w:rFonts w:cs="Arial"/>
                          <w:bCs/>
                          <w:szCs w:val="20"/>
                        </w:rPr>
                        <w:t>O</w:t>
                      </w:r>
                      <w:r w:rsidRPr="00316837">
                        <w:rPr>
                          <w:rFonts w:cs="Arial"/>
                          <w:bCs/>
                          <w:szCs w:val="20"/>
                        </w:rPr>
                        <w:t>ff-</w:t>
                      </w:r>
                      <w:r w:rsidR="00316837" w:rsidRPr="006273BD">
                        <w:rPr>
                          <w:rFonts w:cs="Arial"/>
                          <w:bCs/>
                          <w:szCs w:val="20"/>
                        </w:rPr>
                        <w:t>G</w:t>
                      </w:r>
                      <w:r w:rsidRPr="00316837">
                        <w:rPr>
                          <w:rFonts w:cs="Arial"/>
                          <w:bCs/>
                          <w:szCs w:val="20"/>
                        </w:rPr>
                        <w:t xml:space="preserve">rid </w:t>
                      </w:r>
                      <w:r w:rsidR="00316837" w:rsidRPr="006273BD">
                        <w:rPr>
                          <w:rFonts w:cs="Arial"/>
                          <w:bCs/>
                          <w:szCs w:val="20"/>
                        </w:rPr>
                        <w:t>M</w:t>
                      </w:r>
                      <w:r w:rsidRPr="00316837">
                        <w:rPr>
                          <w:rFonts w:cs="Arial"/>
                          <w:bCs/>
                          <w:szCs w:val="20"/>
                        </w:rPr>
                        <w:t>ini-</w:t>
                      </w:r>
                      <w:r w:rsidR="00316837" w:rsidRPr="006273BD">
                        <w:rPr>
                          <w:rFonts w:cs="Arial"/>
                          <w:bCs/>
                          <w:szCs w:val="20"/>
                        </w:rPr>
                        <w:t>G</w:t>
                      </w:r>
                      <w:r w:rsidRPr="00316837">
                        <w:rPr>
                          <w:rFonts w:cs="Arial"/>
                          <w:bCs/>
                          <w:szCs w:val="20"/>
                        </w:rPr>
                        <w:t>rids</w:t>
                      </w:r>
                      <w:r w:rsidR="00316837" w:rsidRPr="006273BD">
                        <w:rPr>
                          <w:rFonts w:cs="Arial"/>
                          <w:bCs/>
                          <w:szCs w:val="20"/>
                        </w:rPr>
                        <w:t xml:space="preserve"> </w:t>
                      </w:r>
                    </w:p>
                    <w:p w14:paraId="4CF99E04" w14:textId="3A1225BB"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Ensure that unintentional islanding of mini-grids does not occur</w:t>
                      </w:r>
                      <w:r w:rsidR="00316837">
                        <w:rPr>
                          <w:rFonts w:ascii="Arial" w:hAnsi="Arial" w:cs="Arial"/>
                          <w:bCs/>
                          <w:sz w:val="20"/>
                          <w:szCs w:val="20"/>
                          <w:lang w:val="en-GB"/>
                        </w:rPr>
                        <w:t>.</w:t>
                      </w:r>
                      <w:r w:rsidRPr="002900F2">
                        <w:rPr>
                          <w:rFonts w:ascii="Arial" w:hAnsi="Arial" w:cs="Arial"/>
                          <w:bCs/>
                          <w:sz w:val="20"/>
                          <w:szCs w:val="20"/>
                          <w:lang w:val="en-GB"/>
                        </w:rPr>
                        <w:t xml:space="preserve"> </w:t>
                      </w:r>
                    </w:p>
                    <w:p w14:paraId="1F2FDED7" w14:textId="708BA606"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Ensure that a detailed framework is in place to allow the intentional islanding of interconnected mini-grids</w:t>
                      </w:r>
                      <w:r w:rsidR="00316837">
                        <w:rPr>
                          <w:rFonts w:ascii="Arial" w:hAnsi="Arial" w:cs="Arial"/>
                          <w:bCs/>
                          <w:sz w:val="20"/>
                          <w:szCs w:val="20"/>
                          <w:lang w:val="en-GB"/>
                        </w:rPr>
                        <w:t xml:space="preserve">. </w:t>
                      </w:r>
                    </w:p>
                    <w:p w14:paraId="0A849A5A" w14:textId="496C1817"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Ensure that a sufficient framework is in place to allow the seamless communication between DSOs and mini-grid operators for optimal planning of intentional islanding</w:t>
                      </w:r>
                      <w:r w:rsidR="00316837">
                        <w:rPr>
                          <w:rFonts w:ascii="Arial" w:hAnsi="Arial" w:cs="Arial"/>
                          <w:bCs/>
                          <w:sz w:val="20"/>
                          <w:szCs w:val="20"/>
                          <w:lang w:val="en-GB"/>
                        </w:rPr>
                        <w:t>.</w:t>
                      </w:r>
                      <w:r w:rsidRPr="002900F2">
                        <w:rPr>
                          <w:rFonts w:ascii="Arial" w:hAnsi="Arial" w:cs="Arial"/>
                          <w:bCs/>
                          <w:sz w:val="20"/>
                          <w:szCs w:val="20"/>
                          <w:lang w:val="en-GB"/>
                        </w:rPr>
                        <w:t xml:space="preserve"> </w:t>
                      </w:r>
                    </w:p>
                    <w:p w14:paraId="1C2223AC" w14:textId="2B5DF754"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Develop a framework where mini-grids can provide extended services to the distribution grids</w:t>
                      </w:r>
                      <w:r w:rsidR="00316837">
                        <w:rPr>
                          <w:rFonts w:ascii="Arial" w:hAnsi="Arial" w:cs="Arial"/>
                          <w:bCs/>
                          <w:sz w:val="20"/>
                          <w:szCs w:val="20"/>
                          <w:lang w:val="en-GB"/>
                        </w:rPr>
                        <w:t>.</w:t>
                      </w:r>
                      <w:r w:rsidRPr="002900F2">
                        <w:rPr>
                          <w:rFonts w:ascii="Arial" w:hAnsi="Arial" w:cs="Arial"/>
                          <w:bCs/>
                          <w:sz w:val="20"/>
                          <w:szCs w:val="20"/>
                          <w:lang w:val="en-GB"/>
                        </w:rPr>
                        <w:t xml:space="preserve"> </w:t>
                      </w:r>
                    </w:p>
                    <w:p w14:paraId="64BF4111" w14:textId="127E4397"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Adopt African and/or International standards</w:t>
                      </w:r>
                      <w:r w:rsidR="00316837">
                        <w:rPr>
                          <w:rFonts w:ascii="Arial" w:hAnsi="Arial" w:cs="Arial"/>
                          <w:bCs/>
                          <w:sz w:val="20"/>
                          <w:szCs w:val="20"/>
                          <w:lang w:val="en-GB"/>
                        </w:rPr>
                        <w:t>.</w:t>
                      </w:r>
                      <w:r w:rsidRPr="002900F2">
                        <w:rPr>
                          <w:rFonts w:ascii="Arial" w:hAnsi="Arial" w:cs="Arial"/>
                          <w:bCs/>
                          <w:sz w:val="20"/>
                          <w:szCs w:val="20"/>
                          <w:lang w:val="en-GB"/>
                        </w:rPr>
                        <w:t xml:space="preserve"> </w:t>
                      </w:r>
                    </w:p>
                    <w:p w14:paraId="1830233D" w14:textId="3AE07F2A" w:rsidR="002900F2" w:rsidRPr="002900F2" w:rsidRDefault="002900F2" w:rsidP="006273BD">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Facilitate the interconnection of existing rural mini-grids to the main grid when this is technically feasible and cost-effective</w:t>
                      </w:r>
                      <w:r w:rsidR="00316837">
                        <w:rPr>
                          <w:rFonts w:ascii="Arial" w:hAnsi="Arial" w:cs="Arial"/>
                          <w:bCs/>
                          <w:sz w:val="20"/>
                          <w:szCs w:val="20"/>
                          <w:lang w:val="en-GB"/>
                        </w:rPr>
                        <w:t>.</w:t>
                      </w:r>
                      <w:r w:rsidRPr="002900F2">
                        <w:rPr>
                          <w:rFonts w:ascii="Arial" w:hAnsi="Arial" w:cs="Arial"/>
                          <w:bCs/>
                          <w:sz w:val="20"/>
                          <w:szCs w:val="20"/>
                          <w:lang w:val="en-GB"/>
                        </w:rPr>
                        <w:t xml:space="preserve"> </w:t>
                      </w:r>
                    </w:p>
                    <w:p w14:paraId="2F765990" w14:textId="7D253C5E" w:rsidR="00F46B58" w:rsidRPr="003D494F" w:rsidRDefault="002900F2" w:rsidP="002900F2">
                      <w:pPr>
                        <w:pStyle w:val="ListParagraph"/>
                        <w:numPr>
                          <w:ilvl w:val="0"/>
                          <w:numId w:val="74"/>
                        </w:numPr>
                        <w:spacing w:before="160" w:after="0" w:line="288" w:lineRule="auto"/>
                        <w:jc w:val="left"/>
                        <w:rPr>
                          <w:rFonts w:ascii="Arial" w:hAnsi="Arial" w:cs="Arial"/>
                          <w:bCs/>
                          <w:sz w:val="20"/>
                          <w:szCs w:val="20"/>
                          <w:lang w:val="en-GB"/>
                        </w:rPr>
                      </w:pPr>
                      <w:r w:rsidRPr="002900F2">
                        <w:rPr>
                          <w:rFonts w:ascii="Arial" w:hAnsi="Arial" w:cs="Arial"/>
                          <w:bCs/>
                          <w:sz w:val="20"/>
                          <w:szCs w:val="20"/>
                          <w:lang w:val="en-GB"/>
                        </w:rPr>
                        <w:t>Allow the realisation of interconnected to the main grid mini-grids from the start</w:t>
                      </w:r>
                      <w:r w:rsidR="00316837">
                        <w:rPr>
                          <w:rFonts w:ascii="Arial" w:hAnsi="Arial" w:cs="Arial"/>
                          <w:bCs/>
                          <w:sz w:val="20"/>
                          <w:szCs w:val="20"/>
                          <w:lang w:val="en-GB"/>
                        </w:rPr>
                        <w:t xml:space="preserve">. </w:t>
                      </w:r>
                    </w:p>
                  </w:txbxContent>
                </v:textbox>
                <w10:anchorlock/>
              </v:shape>
            </w:pict>
          </mc:Fallback>
        </mc:AlternateContent>
      </w:r>
    </w:p>
    <w:p w14:paraId="2BFD1953" w14:textId="0025F2AA" w:rsidR="00744D32" w:rsidRPr="00316837" w:rsidRDefault="00744D32" w:rsidP="00744D32">
      <w:pPr>
        <w:pStyle w:val="Heading2"/>
        <w:rPr>
          <w:rFonts w:eastAsia="Calibri"/>
        </w:rPr>
      </w:pPr>
      <w:bookmarkStart w:id="203" w:name="_Toc77260326"/>
      <w:r w:rsidRPr="00654753">
        <w:rPr>
          <w:rFonts w:eastAsia="Calibri"/>
        </w:rPr>
        <w:lastRenderedPageBreak/>
        <w:t>Gui</w:t>
      </w:r>
      <w:r w:rsidRPr="00681DAA">
        <w:rPr>
          <w:rFonts w:eastAsia="Calibri"/>
        </w:rPr>
        <w:t xml:space="preserve">delines 6.2: Regulatory Frameworks for Main </w:t>
      </w:r>
      <w:r w:rsidR="00681DAA">
        <w:rPr>
          <w:rFonts w:eastAsia="Calibri"/>
        </w:rPr>
        <w:t>G</w:t>
      </w:r>
      <w:r w:rsidRPr="00681DAA">
        <w:rPr>
          <w:rFonts w:eastAsia="Calibri"/>
        </w:rPr>
        <w:t>rid Connection of Off-Grid Mini-Grids and Micro-DSOs</w:t>
      </w:r>
      <w:bookmarkEnd w:id="203"/>
      <w:r w:rsidR="001D4932" w:rsidRPr="00681DAA">
        <w:rPr>
          <w:rFonts w:eastAsia="Calibri"/>
        </w:rPr>
        <w:t xml:space="preserve"> </w:t>
      </w:r>
    </w:p>
    <w:p w14:paraId="40A9D12E" w14:textId="37C90615" w:rsidR="00FA6F9E" w:rsidRPr="00316837" w:rsidRDefault="00E90B2A" w:rsidP="00FA6F9E">
      <w:pPr>
        <w:rPr>
          <w:rFonts w:eastAsia="Calibri"/>
          <w:szCs w:val="22"/>
        </w:rPr>
      </w:pPr>
      <w:r w:rsidRPr="00316837">
        <w:rPr>
          <w:rFonts w:eastAsia="Calibri"/>
          <w:szCs w:val="22"/>
        </w:rPr>
        <w:t xml:space="preserve">Regulatory frameworks need to be in place to allow the interconnection of off-grid </w:t>
      </w:r>
      <w:r w:rsidR="00AF4633" w:rsidRPr="00316837">
        <w:rPr>
          <w:rFonts w:eastAsia="Calibri"/>
          <w:szCs w:val="22"/>
        </w:rPr>
        <w:t xml:space="preserve">rural </w:t>
      </w:r>
      <w:r w:rsidRPr="00316837">
        <w:rPr>
          <w:rFonts w:eastAsia="Calibri"/>
          <w:szCs w:val="22"/>
        </w:rPr>
        <w:t>mini-grids to the main grid. Connection</w:t>
      </w:r>
      <w:r w:rsidR="00FA6F9E" w:rsidRPr="00316837">
        <w:rPr>
          <w:rFonts w:eastAsia="Calibri"/>
          <w:szCs w:val="22"/>
        </w:rPr>
        <w:t xml:space="preserve"> requires compliance with the grid code, which should outline compliance with equipment, functionality, power quality, and service standards. Compliance with the grid code adds cost to a mini-grid project and these costs do not vary with mini-grid size unless the requirements for smaller systems are less stringent. Small-scale mini-grids can be a cost-effective technological answer to off-grid electrification, but if they have to comply with the same regulations as large hydroelectric power stations, investors will hesitate to finance beneficial projects. Three countries – Zambia, Tanzania, and Rwanda – have differentiated regulatory tiers. Observed cut-offs for tiers include: 1 MW, 250 kW, 100 kW, 10 kW, and 2 kW. Even if </w:t>
      </w:r>
      <w:r w:rsidR="00B747E6" w:rsidRPr="00316837">
        <w:rPr>
          <w:rFonts w:eastAsia="Calibri"/>
          <w:szCs w:val="22"/>
        </w:rPr>
        <w:t xml:space="preserve">the national </w:t>
      </w:r>
      <w:r w:rsidR="00FA6F9E" w:rsidRPr="00316837">
        <w:rPr>
          <w:rFonts w:eastAsia="Calibri"/>
          <w:szCs w:val="22"/>
        </w:rPr>
        <w:t>regulator</w:t>
      </w:r>
      <w:r w:rsidR="00B747E6" w:rsidRPr="00316837">
        <w:rPr>
          <w:rFonts w:eastAsia="Calibri"/>
          <w:szCs w:val="22"/>
        </w:rPr>
        <w:t>y authorities</w:t>
      </w:r>
      <w:r w:rsidR="00FA6F9E" w:rsidRPr="00316837">
        <w:rPr>
          <w:rFonts w:eastAsia="Calibri"/>
          <w:szCs w:val="22"/>
        </w:rPr>
        <w:t xml:space="preserve"> choose to reduce or eliminate connection requirements for smaller mini-grid tiers, all connection applicants should comply with basic safety standards.</w:t>
      </w:r>
    </w:p>
    <w:p w14:paraId="206944F6" w14:textId="4E294B8A" w:rsidR="00FA6F9E" w:rsidRPr="00316837" w:rsidRDefault="00FA6F9E" w:rsidP="006273BD">
      <w:pPr>
        <w:rPr>
          <w:rFonts w:eastAsia="Calibri"/>
          <w:b/>
          <w:bCs/>
          <w:szCs w:val="22"/>
        </w:rPr>
      </w:pPr>
      <w:r w:rsidRPr="00316837">
        <w:rPr>
          <w:rFonts w:eastAsia="Calibri"/>
          <w:szCs w:val="22"/>
        </w:rPr>
        <w:t>Most countries use international standards like IEEE 1547 as the basis for their grid code. Such standards address the requirements for the performance, operation, testing, safety</w:t>
      </w:r>
      <w:r w:rsidR="00B747E6" w:rsidRPr="00316837">
        <w:rPr>
          <w:rFonts w:eastAsia="Calibri"/>
          <w:szCs w:val="22"/>
        </w:rPr>
        <w:t>,</w:t>
      </w:r>
      <w:r w:rsidRPr="00316837">
        <w:rPr>
          <w:rFonts w:eastAsia="Calibri"/>
          <w:szCs w:val="22"/>
        </w:rPr>
        <w:t xml:space="preserve"> and maintenance of the connection. Mini-grid developers should be allowed to use an applicable international standard, if mini-grid connection regulation or the grid code omits guidance. Developing country-specific standards is a significant investment in time and effort for a regulator and can be counterproductive. Some mini-grid developers operate internationally and have already created mini-grid designs that comply with international standards. Creating new designs that comply with country-specific standards is an additional cost that may deter investment or will be passed on to </w:t>
      </w:r>
      <w:sdt>
        <w:sdtPr>
          <w:rPr>
            <w:rFonts w:eastAsia="Calibri"/>
            <w:szCs w:val="22"/>
          </w:rPr>
          <w:tag w:val="goog_rdk_131"/>
          <w:id w:val="909962291"/>
        </w:sdtPr>
        <w:sdtEndPr/>
        <w:sdtContent/>
      </w:sdt>
      <w:r w:rsidRPr="00654753">
        <w:rPr>
          <w:rFonts w:eastAsia="Calibri"/>
          <w:szCs w:val="22"/>
        </w:rPr>
        <w:t>ratepayers.</w:t>
      </w:r>
    </w:p>
    <w:p w14:paraId="0187424D" w14:textId="22DB3596" w:rsidR="00FA6F9E" w:rsidRPr="00316837" w:rsidRDefault="00FA6F9E" w:rsidP="00FA6F9E">
      <w:pPr>
        <w:rPr>
          <w:rFonts w:eastAsia="Calibri"/>
          <w:szCs w:val="22"/>
        </w:rPr>
      </w:pPr>
      <w:r w:rsidRPr="00316837">
        <w:rPr>
          <w:rFonts w:eastAsia="Calibri"/>
          <w:szCs w:val="22"/>
        </w:rPr>
        <w:t xml:space="preserve">Unintentional islanding from the grid is a safety issue and should be prohibited, but intentional islanding can be a key value proposition for some mini-grids. In some cases, mini-grids can provide better quality electricity and availability to their final customers than the utility can, but only if they can periodically disconnect from the grid. </w:t>
      </w:r>
      <w:r w:rsidR="00B747E6" w:rsidRPr="00316837">
        <w:rPr>
          <w:rFonts w:eastAsia="Calibri"/>
          <w:szCs w:val="22"/>
        </w:rPr>
        <w:t>The g</w:t>
      </w:r>
      <w:r w:rsidRPr="00316837">
        <w:rPr>
          <w:rFonts w:eastAsia="Calibri"/>
          <w:szCs w:val="22"/>
        </w:rPr>
        <w:t xml:space="preserve">rid codes should allow mini-grids to intentionally island if they comply with IEEE 1547.4-2011 or a similar standard. Even while in island operation mode, mini-grids should be held to the same power quality and availability requirements as when they are connected to the grid. Accommodating intentional islanding may require additional analysis during the application process and a change to anti-islanding tests conducted during the connection testing. </w:t>
      </w:r>
    </w:p>
    <w:p w14:paraId="56AB022F" w14:textId="4EB266A4" w:rsidR="00FA6F9E" w:rsidRPr="00316837" w:rsidRDefault="00FA6F9E" w:rsidP="00FA6F9E">
      <w:pPr>
        <w:rPr>
          <w:rFonts w:eastAsia="Calibri"/>
          <w:szCs w:val="22"/>
        </w:rPr>
      </w:pPr>
      <w:r w:rsidRPr="00316837">
        <w:rPr>
          <w:rFonts w:eastAsia="Calibri"/>
          <w:szCs w:val="22"/>
        </w:rPr>
        <w:t>The connection approval process should streamline approval from a limited number of authorities, include harmonised application of rules between approving authorities as necessary, include clear deadlines for both the developer and approving authorities, and be appropriate for the size of the mini-grid applying for connection. This will balance the utility’s need for information and the mini-grid developer’s need for an approval process that is predictable in cost and duration.</w:t>
      </w:r>
      <w:r w:rsidR="001D4932" w:rsidRPr="00316837">
        <w:rPr>
          <w:rFonts w:eastAsia="Calibri"/>
          <w:szCs w:val="22"/>
        </w:rPr>
        <w:t xml:space="preserve"> </w:t>
      </w:r>
    </w:p>
    <w:p w14:paraId="33D19CB6" w14:textId="7932AAC1" w:rsidR="00FA6F9E" w:rsidRPr="00316837" w:rsidRDefault="00FA6F9E" w:rsidP="00FA6F9E">
      <w:pPr>
        <w:rPr>
          <w:rFonts w:eastAsia="Calibri"/>
          <w:szCs w:val="22"/>
        </w:rPr>
      </w:pPr>
      <w:r w:rsidRPr="00316837">
        <w:rPr>
          <w:rFonts w:eastAsia="Calibri"/>
          <w:szCs w:val="22"/>
        </w:rPr>
        <w:t>Processing connection applications costs the utilities time and money. These costs can include distribution system upgrade costs, analysis</w:t>
      </w:r>
      <w:r w:rsidR="00B747E6" w:rsidRPr="00316837">
        <w:rPr>
          <w:rFonts w:eastAsia="Calibri"/>
          <w:szCs w:val="22"/>
        </w:rPr>
        <w:t>,</w:t>
      </w:r>
      <w:r w:rsidRPr="00316837">
        <w:rPr>
          <w:rFonts w:eastAsia="Calibri"/>
          <w:szCs w:val="22"/>
        </w:rPr>
        <w:t xml:space="preserve"> or administration costs, and/or commissioning costs. It is common, and appropriate, for the utilities to be reimbursed for some of these costs by applicants. However, high or unpredictable application costs and delays can be used by the utilities as a tool to deter developers from applying for connection. The utilities should be encouraged to create a formal, standardised table for hardware, analysis, administration, and commissioning costs so that developers can anticipate what payments must be made to the utility. Regulations should allow mini-grid developers to hire third parties to conduct required grid analyses on the effects of connection for subsequent utility review.</w:t>
      </w:r>
      <w:r w:rsidR="001D4932" w:rsidRPr="00316837">
        <w:rPr>
          <w:rFonts w:eastAsia="Calibri"/>
          <w:szCs w:val="22"/>
        </w:rPr>
        <w:t xml:space="preserve"> </w:t>
      </w:r>
    </w:p>
    <w:p w14:paraId="0B75B794" w14:textId="77777777" w:rsidR="00FA6F9E" w:rsidRPr="00316837" w:rsidRDefault="00FA6F9E" w:rsidP="00FA6F9E">
      <w:pPr>
        <w:rPr>
          <w:rFonts w:eastAsia="Calibri"/>
          <w:szCs w:val="22"/>
        </w:rPr>
      </w:pPr>
      <w:r w:rsidRPr="00316837">
        <w:rPr>
          <w:rFonts w:eastAsia="Calibri"/>
          <w:szCs w:val="22"/>
        </w:rPr>
        <w:t xml:space="preserve">Mini-grid connection applications should also only be responsible for paying for equipment up to their point of supply; the utilities should be responsible for upgrades beyond it. The cost of upgrading the distribution network to accommodate proposed connection should be spread to all ratepayers at the subsequent tariff review. In order to address the possibility of delays in upgrading the utility’s distribution system to accommodate the mini-grid connection, mini-grid developers should have the option to upgrade the grid beyond the point of supply, provided upgrades are done according to the utility’s standards. </w:t>
      </w:r>
    </w:p>
    <w:p w14:paraId="16E00EFB" w14:textId="489FF9CD" w:rsidR="00FA6F9E" w:rsidRPr="00316837" w:rsidRDefault="00FA6F9E" w:rsidP="00FA6F9E">
      <w:pPr>
        <w:rPr>
          <w:rFonts w:eastAsia="Calibri"/>
          <w:szCs w:val="22"/>
        </w:rPr>
      </w:pPr>
      <w:r w:rsidRPr="00316837">
        <w:rPr>
          <w:rFonts w:eastAsia="Calibri"/>
          <w:szCs w:val="22"/>
        </w:rPr>
        <w:lastRenderedPageBreak/>
        <w:t>Interpretation of the grid code may not be the same and a third party should be available to provide a neutral interpretation to the utilities and mini-grid developers.</w:t>
      </w:r>
      <w:r w:rsidR="001D4932" w:rsidRPr="00316837">
        <w:rPr>
          <w:rFonts w:eastAsia="Calibri"/>
          <w:szCs w:val="22"/>
        </w:rPr>
        <w:t xml:space="preserve"> </w:t>
      </w:r>
    </w:p>
    <w:p w14:paraId="46CA905A" w14:textId="75A50945" w:rsidR="00FA6F9E" w:rsidRPr="00316837" w:rsidRDefault="00FA6F9E" w:rsidP="00FA6F9E">
      <w:pPr>
        <w:rPr>
          <w:rFonts w:eastAsia="Calibri"/>
          <w:szCs w:val="22"/>
        </w:rPr>
      </w:pPr>
      <w:r w:rsidRPr="00316837">
        <w:rPr>
          <w:rFonts w:eastAsia="Calibri"/>
          <w:szCs w:val="22"/>
        </w:rPr>
        <w:t xml:space="preserve">Variable RES generation and reverse power flow can damage utility equipment and affect power stability on a feeder or circuit. To prevent these outcomes, some </w:t>
      </w:r>
      <w:r w:rsidR="00B747E6" w:rsidRPr="00316837">
        <w:rPr>
          <w:rFonts w:eastAsia="Calibri"/>
          <w:szCs w:val="22"/>
        </w:rPr>
        <w:t xml:space="preserve">national </w:t>
      </w:r>
      <w:r w:rsidRPr="00316837">
        <w:rPr>
          <w:rFonts w:eastAsia="Calibri"/>
          <w:szCs w:val="22"/>
        </w:rPr>
        <w:t>regulator</w:t>
      </w:r>
      <w:r w:rsidR="00B747E6" w:rsidRPr="00316837">
        <w:rPr>
          <w:rFonts w:eastAsia="Calibri"/>
          <w:szCs w:val="22"/>
        </w:rPr>
        <w:t xml:space="preserve">y authorities </w:t>
      </w:r>
      <w:r w:rsidRPr="00316837">
        <w:rPr>
          <w:rFonts w:eastAsia="Calibri"/>
          <w:szCs w:val="22"/>
        </w:rPr>
        <w:t>and utilities impose limits on how much mini-grid generation capacity (both variable and non-variable) can be installed on a single feeder or circuit. An alternative solution is to allow the utilities to signal a reduction in variable RES generation. This type of communication and control requires specialised equipment installed in the mini-grid and adds to connection compliance cost. In general, the current mini-grid connection demand is not creating congestion on the low- and medium-voltage lines that they are connecting to, but congestion may be a problem in the future. Regulations should consider adding provisions that allow for the utility control of mini-grid generation if current generation limitations on feeder and lines prevent the future connection of additional mini-grids.</w:t>
      </w:r>
      <w:r w:rsidR="001D4932" w:rsidRPr="00316837">
        <w:rPr>
          <w:rFonts w:eastAsia="Calibri"/>
          <w:szCs w:val="22"/>
        </w:rPr>
        <w:t xml:space="preserve"> </w:t>
      </w:r>
    </w:p>
    <w:p w14:paraId="64109C44" w14:textId="177A6E49" w:rsidR="00FA6F9E" w:rsidRPr="00316837" w:rsidRDefault="00FA6F9E" w:rsidP="00FA6F9E">
      <w:pPr>
        <w:rPr>
          <w:rFonts w:eastAsia="Calibri"/>
          <w:szCs w:val="22"/>
        </w:rPr>
      </w:pPr>
      <w:r w:rsidRPr="00316837">
        <w:rPr>
          <w:rFonts w:eastAsia="Calibri"/>
          <w:szCs w:val="22"/>
        </w:rPr>
        <w:t>As is clear from the above, it is essential that all parameters are taken into consideration when deciding to allow a mini-grid to be installed without the ability to interconnect to the main grid. This option ought to be utili</w:t>
      </w:r>
      <w:r w:rsidR="00B747E6" w:rsidRPr="00316837">
        <w:rPr>
          <w:rFonts w:eastAsia="Calibri"/>
          <w:szCs w:val="22"/>
        </w:rPr>
        <w:t>s</w:t>
      </w:r>
      <w:r w:rsidRPr="00316837">
        <w:rPr>
          <w:rFonts w:eastAsia="Calibri"/>
          <w:szCs w:val="22"/>
        </w:rPr>
        <w:t>ed only in very specific applications with justified reasons.</w:t>
      </w:r>
      <w:r w:rsidR="001D4932" w:rsidRPr="00316837">
        <w:rPr>
          <w:rFonts w:eastAsia="Calibri"/>
          <w:szCs w:val="22"/>
        </w:rPr>
        <w:t xml:space="preserve"> </w:t>
      </w:r>
    </w:p>
    <w:p w14:paraId="6C47D928" w14:textId="2873C377" w:rsidR="00FA6F9E" w:rsidRPr="006273BD" w:rsidRDefault="00E90B2A" w:rsidP="006273BD">
      <w:pPr>
        <w:rPr>
          <w:rFonts w:eastAsia="Calibri"/>
          <w:szCs w:val="22"/>
        </w:rPr>
      </w:pPr>
      <w:r w:rsidRPr="00316837">
        <w:rPr>
          <w:rFonts w:eastAsia="Calibri"/>
          <w:szCs w:val="22"/>
        </w:rPr>
        <w:t>The main options</w:t>
      </w:r>
      <w:r w:rsidR="00FA6F9E" w:rsidRPr="006273BD">
        <w:rPr>
          <w:rFonts w:eastAsia="Calibri"/>
          <w:szCs w:val="22"/>
        </w:rPr>
        <w:t xml:space="preserve"> available to the mini-grid operator when the main grid encompasses the mini-grid</w:t>
      </w:r>
      <w:r w:rsidR="001D4932" w:rsidRPr="006273BD">
        <w:rPr>
          <w:rFonts w:eastAsia="Calibri"/>
          <w:szCs w:val="22"/>
        </w:rPr>
        <w:t xml:space="preserve"> </w:t>
      </w:r>
      <w:r w:rsidR="00CA2788" w:rsidRPr="006273BD">
        <w:rPr>
          <w:rFonts w:eastAsia="Calibri"/>
          <w:szCs w:val="22"/>
        </w:rPr>
        <w:t>can be summari</w:t>
      </w:r>
      <w:r w:rsidR="00316837">
        <w:rPr>
          <w:rFonts w:eastAsia="Calibri"/>
          <w:szCs w:val="22"/>
        </w:rPr>
        <w:t>s</w:t>
      </w:r>
      <w:r w:rsidR="00CA2788" w:rsidRPr="006273BD">
        <w:rPr>
          <w:rFonts w:eastAsia="Calibri"/>
          <w:szCs w:val="22"/>
        </w:rPr>
        <w:t>ed as:</w:t>
      </w:r>
    </w:p>
    <w:p w14:paraId="1B62C86C" w14:textId="7140F894" w:rsidR="00FA6F9E" w:rsidRPr="00316837" w:rsidRDefault="00FA6F9E" w:rsidP="00E92788">
      <w:pPr>
        <w:pStyle w:val="ListParagraph"/>
        <w:numPr>
          <w:ilvl w:val="0"/>
          <w:numId w:val="93"/>
        </w:numPr>
        <w:spacing w:before="160" w:after="0" w:line="288" w:lineRule="auto"/>
        <w:rPr>
          <w:rFonts w:ascii="Arial" w:hAnsi="Arial" w:cs="Arial"/>
          <w:sz w:val="20"/>
          <w:szCs w:val="20"/>
          <w:lang w:val="en-GB"/>
        </w:rPr>
      </w:pPr>
      <w:r w:rsidRPr="00654753">
        <w:rPr>
          <w:rFonts w:ascii="Arial" w:hAnsi="Arial" w:cs="Arial"/>
          <w:sz w:val="20"/>
          <w:szCs w:val="20"/>
          <w:lang w:val="en-GB"/>
        </w:rPr>
        <w:t>Small power producer (SPP). The mini</w:t>
      </w:r>
      <w:r w:rsidR="00B747E6" w:rsidRPr="00681DAA">
        <w:rPr>
          <w:rFonts w:ascii="Arial" w:hAnsi="Arial" w:cs="Arial"/>
          <w:sz w:val="20"/>
          <w:szCs w:val="20"/>
          <w:lang w:val="en-GB"/>
        </w:rPr>
        <w:t>-</w:t>
      </w:r>
      <w:r w:rsidRPr="00681DAA">
        <w:rPr>
          <w:rFonts w:ascii="Arial" w:hAnsi="Arial" w:cs="Arial"/>
          <w:sz w:val="20"/>
          <w:szCs w:val="20"/>
          <w:lang w:val="en-GB"/>
        </w:rPr>
        <w:t>grid converts to a main grid–connected SPP and no longer sells at retail to villagers.</w:t>
      </w:r>
      <w:r w:rsidR="001D4932" w:rsidRPr="00316837">
        <w:rPr>
          <w:rFonts w:ascii="Arial" w:hAnsi="Arial" w:cs="Arial"/>
          <w:sz w:val="20"/>
          <w:szCs w:val="20"/>
          <w:lang w:val="en-GB"/>
        </w:rPr>
        <w:t xml:space="preserve"> </w:t>
      </w:r>
    </w:p>
    <w:p w14:paraId="37AF987F" w14:textId="648D4272" w:rsidR="00FA6F9E" w:rsidRPr="00316837" w:rsidRDefault="00FA6F9E" w:rsidP="00E92788">
      <w:pPr>
        <w:pStyle w:val="ListParagraph"/>
        <w:numPr>
          <w:ilvl w:val="0"/>
          <w:numId w:val="93"/>
        </w:numPr>
        <w:spacing w:before="160" w:after="0" w:line="288" w:lineRule="auto"/>
        <w:rPr>
          <w:rFonts w:ascii="Arial" w:hAnsi="Arial" w:cs="Arial"/>
          <w:sz w:val="20"/>
          <w:szCs w:val="20"/>
          <w:lang w:val="en-GB"/>
        </w:rPr>
      </w:pPr>
      <w:r w:rsidRPr="00316837">
        <w:rPr>
          <w:rFonts w:ascii="Arial" w:hAnsi="Arial" w:cs="Arial"/>
          <w:sz w:val="20"/>
          <w:szCs w:val="20"/>
          <w:lang w:val="en-GB"/>
        </w:rPr>
        <w:t>Small power distributor (SPD). The mini</w:t>
      </w:r>
      <w:r w:rsidR="00B747E6" w:rsidRPr="00316837">
        <w:rPr>
          <w:rFonts w:ascii="Arial" w:hAnsi="Arial" w:cs="Arial"/>
          <w:sz w:val="20"/>
          <w:szCs w:val="20"/>
          <w:lang w:val="en-GB"/>
        </w:rPr>
        <w:t>-</w:t>
      </w:r>
      <w:r w:rsidRPr="00316837">
        <w:rPr>
          <w:rFonts w:ascii="Arial" w:hAnsi="Arial" w:cs="Arial"/>
          <w:sz w:val="20"/>
          <w:szCs w:val="20"/>
          <w:lang w:val="en-GB"/>
        </w:rPr>
        <w:t>grid converts to an SPD that buys its full supply at wholesale from the main grid and sells its purchased electricity to villagers at retail (with or without backup generation).</w:t>
      </w:r>
      <w:r w:rsidR="001D4932" w:rsidRPr="00316837">
        <w:rPr>
          <w:rFonts w:ascii="Arial" w:hAnsi="Arial" w:cs="Arial"/>
          <w:sz w:val="20"/>
          <w:szCs w:val="20"/>
          <w:lang w:val="en-GB"/>
        </w:rPr>
        <w:t xml:space="preserve"> </w:t>
      </w:r>
    </w:p>
    <w:p w14:paraId="667A21FE" w14:textId="1A3AF2D9" w:rsidR="00FA6F9E" w:rsidRPr="00316837" w:rsidRDefault="00FA6F9E" w:rsidP="00E92788">
      <w:pPr>
        <w:pStyle w:val="ListParagraph"/>
        <w:numPr>
          <w:ilvl w:val="0"/>
          <w:numId w:val="93"/>
        </w:numPr>
        <w:spacing w:before="160" w:after="0" w:line="288" w:lineRule="auto"/>
        <w:rPr>
          <w:rFonts w:ascii="Arial" w:hAnsi="Arial" w:cs="Arial"/>
          <w:sz w:val="20"/>
          <w:szCs w:val="20"/>
          <w:lang w:val="en-GB"/>
        </w:rPr>
      </w:pPr>
      <w:r w:rsidRPr="00316837">
        <w:rPr>
          <w:rFonts w:ascii="Arial" w:hAnsi="Arial" w:cs="Arial"/>
          <w:sz w:val="20"/>
          <w:szCs w:val="20"/>
          <w:lang w:val="en-GB"/>
        </w:rPr>
        <w:t>Micro-DSO. It is essentially a combination of options (i) and (ii). The mini</w:t>
      </w:r>
      <w:r w:rsidR="00B747E6" w:rsidRPr="00316837">
        <w:rPr>
          <w:rFonts w:ascii="Arial" w:hAnsi="Arial" w:cs="Arial"/>
          <w:sz w:val="20"/>
          <w:szCs w:val="20"/>
          <w:lang w:val="en-GB"/>
        </w:rPr>
        <w:t>-</w:t>
      </w:r>
      <w:r w:rsidRPr="00316837">
        <w:rPr>
          <w:rFonts w:ascii="Arial" w:hAnsi="Arial" w:cs="Arial"/>
          <w:sz w:val="20"/>
          <w:szCs w:val="20"/>
          <w:lang w:val="en-GB"/>
        </w:rPr>
        <w:t>grid continues to sell electricity to its retail customers with its own generated electricity or wholesale purchases from the main grid operator and also sells electricity to the main grid operator when a surplus is available.</w:t>
      </w:r>
      <w:r w:rsidR="001D4932" w:rsidRPr="00316837">
        <w:rPr>
          <w:rFonts w:ascii="Arial" w:hAnsi="Arial" w:cs="Arial"/>
          <w:sz w:val="20"/>
          <w:szCs w:val="20"/>
          <w:lang w:val="en-GB"/>
        </w:rPr>
        <w:t xml:space="preserve"> </w:t>
      </w:r>
    </w:p>
    <w:p w14:paraId="7676EFA7" w14:textId="0A4B2BAE" w:rsidR="00FA6F9E" w:rsidRPr="00316837" w:rsidRDefault="00FA6F9E" w:rsidP="00E92788">
      <w:pPr>
        <w:pStyle w:val="ListParagraph"/>
        <w:numPr>
          <w:ilvl w:val="0"/>
          <w:numId w:val="93"/>
        </w:numPr>
        <w:spacing w:before="160" w:after="0" w:line="288" w:lineRule="auto"/>
        <w:rPr>
          <w:rFonts w:ascii="Arial" w:hAnsi="Arial" w:cs="Arial"/>
          <w:sz w:val="20"/>
          <w:szCs w:val="20"/>
          <w:lang w:val="en-GB"/>
        </w:rPr>
      </w:pPr>
      <w:r w:rsidRPr="00316837">
        <w:rPr>
          <w:rFonts w:ascii="Arial" w:hAnsi="Arial" w:cs="Arial"/>
          <w:sz w:val="20"/>
          <w:szCs w:val="20"/>
          <w:lang w:val="en-GB"/>
        </w:rPr>
        <w:t>Compensation and exit. The mini</w:t>
      </w:r>
      <w:r w:rsidR="00B747E6" w:rsidRPr="00316837">
        <w:rPr>
          <w:rFonts w:ascii="Arial" w:hAnsi="Arial" w:cs="Arial"/>
          <w:sz w:val="20"/>
          <w:szCs w:val="20"/>
          <w:lang w:val="en-GB"/>
        </w:rPr>
        <w:t>-</w:t>
      </w:r>
      <w:r w:rsidRPr="00316837">
        <w:rPr>
          <w:rFonts w:ascii="Arial" w:hAnsi="Arial" w:cs="Arial"/>
          <w:sz w:val="20"/>
          <w:szCs w:val="20"/>
          <w:lang w:val="en-GB"/>
        </w:rPr>
        <w:t xml:space="preserve">grid goes out of business, and the developer receives some compensation for assets taken over by the main grid operator (typically a </w:t>
      </w:r>
      <w:r w:rsidR="00B747E6" w:rsidRPr="00316837">
        <w:rPr>
          <w:rFonts w:ascii="Arial" w:hAnsi="Arial" w:cs="Arial"/>
          <w:sz w:val="20"/>
          <w:szCs w:val="20"/>
          <w:lang w:val="en-GB"/>
        </w:rPr>
        <w:t>State</w:t>
      </w:r>
      <w:r w:rsidRPr="00316837">
        <w:rPr>
          <w:rFonts w:ascii="Arial" w:hAnsi="Arial" w:cs="Arial"/>
          <w:sz w:val="20"/>
          <w:szCs w:val="20"/>
          <w:lang w:val="en-GB"/>
        </w:rPr>
        <w:t xml:space="preserve">-owned national utility). </w:t>
      </w:r>
    </w:p>
    <w:p w14:paraId="69038C34" w14:textId="77777777" w:rsidR="00B747E6" w:rsidRPr="00316837" w:rsidRDefault="00B747E6" w:rsidP="00FA6F9E">
      <w:pPr>
        <w:rPr>
          <w:rFonts w:eastAsia="Calibri"/>
          <w:szCs w:val="22"/>
        </w:rPr>
      </w:pPr>
      <w:r w:rsidRPr="00316837">
        <w:rPr>
          <w:rFonts w:eastAsia="Calibri"/>
          <w:szCs w:val="22"/>
        </w:rPr>
        <w:t>T</w:t>
      </w:r>
      <w:r w:rsidR="00FA6F9E" w:rsidRPr="00316837">
        <w:rPr>
          <w:rFonts w:eastAsia="Calibri"/>
          <w:szCs w:val="22"/>
        </w:rPr>
        <w:t xml:space="preserve">he tariff setting framework after the interconnection ought to be clear and it is recommended that differences exist </w:t>
      </w:r>
      <w:r w:rsidRPr="00316837">
        <w:rPr>
          <w:rFonts w:eastAsia="Calibri"/>
          <w:szCs w:val="22"/>
        </w:rPr>
        <w:t xml:space="preserve">from the start </w:t>
      </w:r>
      <w:r w:rsidR="00FA6F9E" w:rsidRPr="00316837">
        <w:rPr>
          <w:rFonts w:eastAsia="Calibri"/>
          <w:szCs w:val="22"/>
        </w:rPr>
        <w:t>between</w:t>
      </w:r>
      <w:r w:rsidRPr="00316837">
        <w:rPr>
          <w:rFonts w:eastAsia="Calibri"/>
          <w:szCs w:val="22"/>
        </w:rPr>
        <w:t>:</w:t>
      </w:r>
      <w:r w:rsidR="00FA6F9E" w:rsidRPr="00316837">
        <w:rPr>
          <w:rFonts w:eastAsia="Calibri"/>
          <w:szCs w:val="22"/>
        </w:rPr>
        <w:t xml:space="preserve"> </w:t>
      </w:r>
    </w:p>
    <w:p w14:paraId="56BFACF0" w14:textId="77777777" w:rsidR="00B747E6" w:rsidRPr="00316837" w:rsidRDefault="00FA6F9E" w:rsidP="00E92788">
      <w:pPr>
        <w:pStyle w:val="ListParagraph"/>
        <w:numPr>
          <w:ilvl w:val="0"/>
          <w:numId w:val="9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mini-grids that get interconnected to the main grid after a period of autonomous operation and </w:t>
      </w:r>
    </w:p>
    <w:p w14:paraId="0A16A13C" w14:textId="7D202F33" w:rsidR="00B747E6" w:rsidRPr="00316837" w:rsidRDefault="00FA6F9E" w:rsidP="00E92788">
      <w:pPr>
        <w:pStyle w:val="ListParagraph"/>
        <w:numPr>
          <w:ilvl w:val="0"/>
          <w:numId w:val="94"/>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mini-grids that are deployed interconnected to the main grid. </w:t>
      </w:r>
    </w:p>
    <w:p w14:paraId="3CCE932E" w14:textId="252B3649" w:rsidR="00FA6F9E" w:rsidRPr="00316837" w:rsidRDefault="00FA6F9E" w:rsidP="00FA6F9E">
      <w:pPr>
        <w:rPr>
          <w:rFonts w:eastAsia="Calibri"/>
          <w:szCs w:val="22"/>
        </w:rPr>
      </w:pPr>
      <w:r w:rsidRPr="00316837">
        <w:rPr>
          <w:rFonts w:eastAsia="Calibri"/>
          <w:szCs w:val="22"/>
        </w:rPr>
        <w:t>In the cases that the interconnection option chosen by the mini-grid operator resembles at an extent a micro-DSO, a combination of the following approaches are recommended to be utili</w:t>
      </w:r>
      <w:r w:rsidR="00B747E6" w:rsidRPr="00316837">
        <w:rPr>
          <w:rFonts w:eastAsia="Calibri"/>
          <w:szCs w:val="22"/>
        </w:rPr>
        <w:t>s</w:t>
      </w:r>
      <w:r w:rsidRPr="00316837">
        <w:rPr>
          <w:rFonts w:eastAsia="Calibri"/>
          <w:szCs w:val="22"/>
        </w:rPr>
        <w:t>ed in terms of tariff setting:</w:t>
      </w:r>
      <w:r w:rsidR="00B747E6" w:rsidRPr="00316837">
        <w:rPr>
          <w:rFonts w:eastAsia="Calibri"/>
          <w:szCs w:val="22"/>
        </w:rPr>
        <w:t xml:space="preserve"> </w:t>
      </w:r>
    </w:p>
    <w:p w14:paraId="5BF11E48" w14:textId="61FBB136" w:rsidR="00FA6F9E" w:rsidRPr="00316837" w:rsidRDefault="00FA6F9E" w:rsidP="00E92788">
      <w:pPr>
        <w:pStyle w:val="ListParagraph"/>
        <w:numPr>
          <w:ilvl w:val="0"/>
          <w:numId w:val="95"/>
        </w:numPr>
        <w:spacing w:before="160" w:after="0" w:line="288" w:lineRule="auto"/>
        <w:rPr>
          <w:rFonts w:ascii="Arial" w:hAnsi="Arial" w:cs="Arial"/>
          <w:sz w:val="20"/>
          <w:szCs w:val="20"/>
          <w:lang w:val="en-GB"/>
        </w:rPr>
      </w:pPr>
      <w:r w:rsidRPr="00316837">
        <w:rPr>
          <w:rFonts w:ascii="Arial" w:hAnsi="Arial" w:cs="Arial"/>
          <w:sz w:val="20"/>
          <w:szCs w:val="20"/>
          <w:lang w:val="en-GB"/>
        </w:rPr>
        <w:t>Individuali</w:t>
      </w:r>
      <w:r w:rsidR="00316837">
        <w:rPr>
          <w:rFonts w:ascii="Arial" w:hAnsi="Arial" w:cs="Arial"/>
          <w:sz w:val="20"/>
          <w:szCs w:val="20"/>
          <w:lang w:val="en-GB"/>
        </w:rPr>
        <w:t>s</w:t>
      </w:r>
      <w:r w:rsidRPr="00316837">
        <w:rPr>
          <w:rFonts w:ascii="Arial" w:hAnsi="Arial" w:cs="Arial"/>
          <w:sz w:val="20"/>
          <w:szCs w:val="20"/>
          <w:lang w:val="en-GB"/>
        </w:rPr>
        <w:t xml:space="preserve">ed Cost-Based Tariff: </w:t>
      </w:r>
      <w:r w:rsidR="00B747E6" w:rsidRPr="00316837">
        <w:rPr>
          <w:rFonts w:ascii="Arial" w:hAnsi="Arial" w:cs="Arial"/>
          <w:sz w:val="20"/>
          <w:szCs w:val="20"/>
          <w:lang w:val="en-GB"/>
        </w:rPr>
        <w:t>The national r</w:t>
      </w:r>
      <w:r w:rsidRPr="00316837">
        <w:rPr>
          <w:rFonts w:ascii="Arial" w:hAnsi="Arial" w:cs="Arial"/>
          <w:sz w:val="20"/>
          <w:szCs w:val="20"/>
          <w:lang w:val="en-GB"/>
        </w:rPr>
        <w:t>egulator</w:t>
      </w:r>
      <w:r w:rsidR="00B747E6" w:rsidRPr="00316837">
        <w:rPr>
          <w:rFonts w:ascii="Arial" w:hAnsi="Arial" w:cs="Arial"/>
          <w:sz w:val="20"/>
          <w:szCs w:val="20"/>
          <w:lang w:val="en-GB"/>
        </w:rPr>
        <w:t>y authority</w:t>
      </w:r>
      <w:r w:rsidRPr="00316837">
        <w:rPr>
          <w:rFonts w:ascii="Arial" w:hAnsi="Arial" w:cs="Arial"/>
          <w:sz w:val="20"/>
          <w:szCs w:val="20"/>
          <w:lang w:val="en-GB"/>
        </w:rPr>
        <w:t xml:space="preserve"> develops tariff limits for each mini-grid individually based on the estimated cost recovery tariff for that mini-grid (standard tariff for all customers/households served by that mini-grid). This will ensure that cost-recovery will take place and can be applicable when the mini-grid operates interconnected to the main grid.</w:t>
      </w:r>
      <w:r w:rsidR="00B747E6" w:rsidRPr="00316837">
        <w:rPr>
          <w:rFonts w:ascii="Arial" w:hAnsi="Arial" w:cs="Arial"/>
          <w:sz w:val="20"/>
          <w:szCs w:val="20"/>
          <w:lang w:val="en-GB"/>
        </w:rPr>
        <w:t xml:space="preserve"> </w:t>
      </w:r>
    </w:p>
    <w:p w14:paraId="4C239070" w14:textId="57553545" w:rsidR="00FA6F9E" w:rsidRPr="00316837" w:rsidRDefault="00FA6F9E" w:rsidP="00E92788">
      <w:pPr>
        <w:pStyle w:val="ListParagraph"/>
        <w:numPr>
          <w:ilvl w:val="0"/>
          <w:numId w:val="95"/>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Willing Buyer/Willing Seller: Tariff price </w:t>
      </w:r>
      <w:r w:rsidR="00B747E6" w:rsidRPr="00316837">
        <w:rPr>
          <w:rFonts w:ascii="Arial" w:hAnsi="Arial" w:cs="Arial"/>
          <w:sz w:val="20"/>
          <w:szCs w:val="20"/>
          <w:lang w:val="en-GB"/>
        </w:rPr>
        <w:t xml:space="preserve">is </w:t>
      </w:r>
      <w:r w:rsidRPr="00316837">
        <w:rPr>
          <w:rFonts w:ascii="Arial" w:hAnsi="Arial" w:cs="Arial"/>
          <w:sz w:val="20"/>
          <w:szCs w:val="20"/>
          <w:lang w:val="en-GB"/>
        </w:rPr>
        <w:t xml:space="preserve">set through an agreement with the mini-grid developer and customer (either individual customers or a community of customers). This is recommended to be used for setting the islanded operation tariffs when the main grid has failed. In reality, in such a case the mini-grid operator provides a back-up power service, which needs to be priced differently. The </w:t>
      </w:r>
      <w:r w:rsidR="00B747E6" w:rsidRPr="00316837">
        <w:rPr>
          <w:rFonts w:ascii="Arial" w:hAnsi="Arial" w:cs="Arial"/>
          <w:sz w:val="20"/>
          <w:szCs w:val="20"/>
          <w:lang w:val="en-GB"/>
        </w:rPr>
        <w:t xml:space="preserve">national </w:t>
      </w:r>
      <w:r w:rsidRPr="00316837">
        <w:rPr>
          <w:rFonts w:ascii="Arial" w:hAnsi="Arial" w:cs="Arial"/>
          <w:sz w:val="20"/>
          <w:szCs w:val="20"/>
          <w:lang w:val="en-GB"/>
        </w:rPr>
        <w:t>regulator</w:t>
      </w:r>
      <w:r w:rsidR="00B747E6" w:rsidRPr="00316837">
        <w:rPr>
          <w:rFonts w:ascii="Arial" w:hAnsi="Arial" w:cs="Arial"/>
          <w:sz w:val="20"/>
          <w:szCs w:val="20"/>
          <w:lang w:val="en-GB"/>
        </w:rPr>
        <w:t>y authority</w:t>
      </w:r>
      <w:r w:rsidRPr="00316837">
        <w:rPr>
          <w:rFonts w:ascii="Arial" w:hAnsi="Arial" w:cs="Arial"/>
          <w:sz w:val="20"/>
          <w:szCs w:val="20"/>
          <w:lang w:val="en-GB"/>
        </w:rPr>
        <w:t xml:space="preserve"> needs to make provisions to protect the customers of the mini-grid ensuring that the mini-grid operator does not charge these higher tariffs when the main grid is operational.</w:t>
      </w:r>
      <w:r w:rsidR="00B747E6" w:rsidRPr="00316837">
        <w:rPr>
          <w:rFonts w:ascii="Arial" w:hAnsi="Arial" w:cs="Arial"/>
          <w:sz w:val="20"/>
          <w:szCs w:val="20"/>
          <w:lang w:val="en-GB"/>
        </w:rPr>
        <w:t xml:space="preserve"> </w:t>
      </w:r>
    </w:p>
    <w:p w14:paraId="0B690231" w14:textId="77777777" w:rsidR="00FA6F9E" w:rsidRPr="00316837" w:rsidRDefault="00FA6F9E" w:rsidP="00E92788">
      <w:pPr>
        <w:pStyle w:val="ListParagraph"/>
        <w:numPr>
          <w:ilvl w:val="0"/>
          <w:numId w:val="95"/>
        </w:numPr>
        <w:spacing w:before="160" w:after="0" w:line="288" w:lineRule="auto"/>
        <w:rPr>
          <w:rFonts w:ascii="Arial" w:hAnsi="Arial" w:cs="Arial"/>
          <w:sz w:val="20"/>
          <w:szCs w:val="20"/>
          <w:lang w:val="en-GB"/>
        </w:rPr>
      </w:pPr>
      <w:r w:rsidRPr="00316837">
        <w:rPr>
          <w:rFonts w:ascii="Arial" w:hAnsi="Arial" w:cs="Arial"/>
          <w:sz w:val="20"/>
          <w:szCs w:val="20"/>
          <w:lang w:val="en-GB"/>
        </w:rPr>
        <w:t xml:space="preserve">Service-Based Regulatory Structures: The mini-grid operator prepares service packages which most often include the provision of appliances usually set on a willing buyer/willing seller approach. This option needs to remain valid, for the mini-grids that were operating in such a manner before </w:t>
      </w:r>
      <w:r w:rsidRPr="00316837">
        <w:rPr>
          <w:rFonts w:ascii="Arial" w:hAnsi="Arial" w:cs="Arial"/>
          <w:sz w:val="20"/>
          <w:szCs w:val="20"/>
          <w:lang w:val="en-GB"/>
        </w:rPr>
        <w:lastRenderedPageBreak/>
        <w:t xml:space="preserve">interconnection. At the same time the actual prices of the service-based packages need to be updated in order to reflect the benefits provided by the grid connection and also the possibility for provision of higher tier electricity at lower cost. </w:t>
      </w:r>
    </w:p>
    <w:p w14:paraId="5685BBAF" w14:textId="7AE97460" w:rsidR="00FA6F9E" w:rsidRPr="00316837" w:rsidRDefault="00FA6F9E" w:rsidP="00FA6F9E">
      <w:pPr>
        <w:rPr>
          <w:rFonts w:eastAsia="Calibri"/>
          <w:szCs w:val="22"/>
        </w:rPr>
      </w:pPr>
      <w:r w:rsidRPr="00316837">
        <w:rPr>
          <w:rFonts w:eastAsia="Calibri"/>
          <w:szCs w:val="22"/>
        </w:rPr>
        <w:t>In order to implement the above, it is recommended that the methodology followed is clearly set out in the regulatory framework for the calculation of the:</w:t>
      </w:r>
      <w:r w:rsidR="00B747E6" w:rsidRPr="00316837">
        <w:rPr>
          <w:rFonts w:eastAsia="Calibri"/>
          <w:szCs w:val="22"/>
        </w:rPr>
        <w:t xml:space="preserve"> </w:t>
      </w:r>
    </w:p>
    <w:p w14:paraId="637E1704" w14:textId="02B33AF1" w:rsidR="00FA6F9E" w:rsidRPr="00316837" w:rsidRDefault="00FA6F9E" w:rsidP="00E92788">
      <w:pPr>
        <w:pStyle w:val="ListParagraph"/>
        <w:numPr>
          <w:ilvl w:val="0"/>
          <w:numId w:val="96"/>
        </w:numPr>
        <w:spacing w:before="160" w:after="0" w:line="288" w:lineRule="auto"/>
        <w:rPr>
          <w:rFonts w:ascii="Arial" w:hAnsi="Arial" w:cs="Arial"/>
          <w:sz w:val="20"/>
          <w:szCs w:val="20"/>
          <w:lang w:val="en-GB"/>
        </w:rPr>
      </w:pPr>
      <w:r w:rsidRPr="00316837">
        <w:rPr>
          <w:rFonts w:ascii="Arial" w:hAnsi="Arial" w:cs="Arial"/>
          <w:sz w:val="20"/>
          <w:szCs w:val="20"/>
          <w:lang w:val="en-GB"/>
        </w:rPr>
        <w:t>Regulatory Asset Base</w:t>
      </w:r>
      <w:r w:rsidR="00B747E6" w:rsidRPr="00316837">
        <w:rPr>
          <w:rFonts w:ascii="Arial" w:hAnsi="Arial" w:cs="Arial"/>
          <w:sz w:val="20"/>
          <w:szCs w:val="20"/>
          <w:lang w:val="en-GB"/>
        </w:rPr>
        <w:t xml:space="preserve">; </w:t>
      </w:r>
    </w:p>
    <w:p w14:paraId="7745EA9D" w14:textId="72C1A50C" w:rsidR="00FA6F9E" w:rsidRPr="00316837" w:rsidRDefault="00FA6F9E" w:rsidP="00E92788">
      <w:pPr>
        <w:pStyle w:val="ListParagraph"/>
        <w:numPr>
          <w:ilvl w:val="0"/>
          <w:numId w:val="96"/>
        </w:numPr>
        <w:spacing w:before="160" w:after="0" w:line="288" w:lineRule="auto"/>
        <w:rPr>
          <w:rFonts w:ascii="Arial" w:hAnsi="Arial" w:cs="Arial"/>
          <w:sz w:val="20"/>
          <w:szCs w:val="20"/>
          <w:lang w:val="en-GB"/>
        </w:rPr>
      </w:pPr>
      <w:r w:rsidRPr="00316837">
        <w:rPr>
          <w:rFonts w:ascii="Arial" w:hAnsi="Arial" w:cs="Arial"/>
          <w:sz w:val="20"/>
          <w:szCs w:val="20"/>
          <w:lang w:val="en-GB"/>
        </w:rPr>
        <w:t>Allowed Rate of Return</w:t>
      </w:r>
      <w:r w:rsidR="00B747E6" w:rsidRPr="00316837">
        <w:rPr>
          <w:rFonts w:ascii="Arial" w:hAnsi="Arial" w:cs="Arial"/>
          <w:sz w:val="20"/>
          <w:szCs w:val="20"/>
          <w:lang w:val="en-GB"/>
        </w:rPr>
        <w:t xml:space="preserve">; </w:t>
      </w:r>
    </w:p>
    <w:p w14:paraId="50467408" w14:textId="5D84792A" w:rsidR="00FA6F9E" w:rsidRPr="00316837" w:rsidRDefault="00FA6F9E" w:rsidP="00E92788">
      <w:pPr>
        <w:pStyle w:val="ListParagraph"/>
        <w:numPr>
          <w:ilvl w:val="0"/>
          <w:numId w:val="96"/>
        </w:numPr>
        <w:spacing w:before="160" w:after="0" w:line="288" w:lineRule="auto"/>
        <w:rPr>
          <w:rFonts w:ascii="Arial" w:hAnsi="Arial" w:cs="Arial"/>
          <w:sz w:val="20"/>
          <w:szCs w:val="20"/>
          <w:lang w:val="en-GB"/>
        </w:rPr>
      </w:pPr>
      <w:r w:rsidRPr="00316837">
        <w:rPr>
          <w:rFonts w:ascii="Arial" w:hAnsi="Arial" w:cs="Arial"/>
          <w:sz w:val="20"/>
          <w:szCs w:val="20"/>
          <w:lang w:val="en-GB"/>
        </w:rPr>
        <w:t>Depreciation</w:t>
      </w:r>
      <w:r w:rsidR="00B747E6" w:rsidRPr="00316837">
        <w:rPr>
          <w:rFonts w:ascii="Arial" w:hAnsi="Arial" w:cs="Arial"/>
          <w:sz w:val="20"/>
          <w:szCs w:val="20"/>
          <w:lang w:val="en-GB"/>
        </w:rPr>
        <w:t xml:space="preserve">; and </w:t>
      </w:r>
    </w:p>
    <w:p w14:paraId="39DE3F6F" w14:textId="49EF21D9" w:rsidR="00FA6F9E" w:rsidRPr="00316837" w:rsidRDefault="00FA6F9E" w:rsidP="00E92788">
      <w:pPr>
        <w:pStyle w:val="ListParagraph"/>
        <w:numPr>
          <w:ilvl w:val="0"/>
          <w:numId w:val="96"/>
        </w:numPr>
        <w:spacing w:before="160" w:after="0" w:line="288" w:lineRule="auto"/>
        <w:rPr>
          <w:rFonts w:ascii="Arial" w:hAnsi="Arial" w:cs="Arial"/>
          <w:sz w:val="20"/>
          <w:szCs w:val="20"/>
          <w:lang w:val="en-GB"/>
        </w:rPr>
      </w:pPr>
      <w:r w:rsidRPr="00316837">
        <w:rPr>
          <w:rFonts w:ascii="Arial" w:hAnsi="Arial" w:cs="Arial"/>
          <w:sz w:val="20"/>
          <w:szCs w:val="20"/>
          <w:lang w:val="en-GB"/>
        </w:rPr>
        <w:t>Treatment of Capital Subsidies</w:t>
      </w:r>
      <w:r w:rsidR="00B747E6" w:rsidRPr="00316837">
        <w:rPr>
          <w:rFonts w:ascii="Arial" w:hAnsi="Arial" w:cs="Arial"/>
          <w:sz w:val="20"/>
          <w:szCs w:val="20"/>
          <w:lang w:val="en-GB"/>
        </w:rPr>
        <w:t xml:space="preserve">. </w:t>
      </w:r>
    </w:p>
    <w:p w14:paraId="1E3447B7" w14:textId="5249ABD3" w:rsidR="00FA6F9E" w:rsidRPr="00316837" w:rsidRDefault="00FA6F9E" w:rsidP="00FA6F9E">
      <w:pPr>
        <w:rPr>
          <w:rFonts w:eastAsia="Calibri"/>
          <w:szCs w:val="22"/>
        </w:rPr>
      </w:pPr>
      <w:r w:rsidRPr="00316837">
        <w:rPr>
          <w:rFonts w:eastAsia="Calibri"/>
          <w:szCs w:val="22"/>
        </w:rPr>
        <w:t xml:space="preserve">Any of the approaches outlined in Section </w:t>
      </w:r>
      <w:r w:rsidRPr="00681DAA">
        <w:rPr>
          <w:rFonts w:eastAsia="Calibri"/>
          <w:szCs w:val="22"/>
        </w:rPr>
        <w:fldChar w:fldCharType="begin"/>
      </w:r>
      <w:r w:rsidRPr="00316837">
        <w:rPr>
          <w:rFonts w:eastAsia="Calibri"/>
          <w:szCs w:val="22"/>
        </w:rPr>
        <w:instrText xml:space="preserve"> REF _Ref75335209 \r \h </w:instrText>
      </w:r>
      <w:r w:rsidRPr="00681DAA">
        <w:rPr>
          <w:rFonts w:eastAsia="Calibri"/>
          <w:szCs w:val="22"/>
        </w:rPr>
      </w:r>
      <w:r w:rsidRPr="00681DAA">
        <w:rPr>
          <w:rFonts w:eastAsia="Calibri"/>
          <w:szCs w:val="22"/>
        </w:rPr>
        <w:fldChar w:fldCharType="separate"/>
      </w:r>
      <w:r w:rsidRPr="00681DAA">
        <w:rPr>
          <w:rFonts w:eastAsia="Calibri"/>
          <w:szCs w:val="22"/>
        </w:rPr>
        <w:t>4.1.2</w:t>
      </w:r>
      <w:r w:rsidRPr="00681DAA">
        <w:rPr>
          <w:rFonts w:eastAsia="Calibri"/>
          <w:szCs w:val="22"/>
        </w:rPr>
        <w:fldChar w:fldCharType="end"/>
      </w:r>
      <w:r w:rsidRPr="00654753">
        <w:rPr>
          <w:rFonts w:eastAsia="Calibri"/>
          <w:szCs w:val="22"/>
        </w:rPr>
        <w:t xml:space="preserve"> can be utili</w:t>
      </w:r>
      <w:r w:rsidR="00B747E6" w:rsidRPr="00681DAA">
        <w:rPr>
          <w:rFonts w:eastAsia="Calibri"/>
          <w:szCs w:val="22"/>
        </w:rPr>
        <w:t>s</w:t>
      </w:r>
      <w:r w:rsidRPr="00316837">
        <w:rPr>
          <w:rFonts w:eastAsia="Calibri"/>
          <w:szCs w:val="22"/>
        </w:rPr>
        <w:t>ed for this.</w:t>
      </w:r>
      <w:r w:rsidR="001D4932" w:rsidRPr="00316837">
        <w:rPr>
          <w:rFonts w:eastAsia="Calibri"/>
          <w:szCs w:val="22"/>
        </w:rPr>
        <w:t xml:space="preserve"> </w:t>
      </w:r>
    </w:p>
    <w:p w14:paraId="336C2285" w14:textId="58626FA1" w:rsidR="00847F8E" w:rsidRPr="00316837" w:rsidRDefault="00316837" w:rsidP="00267A88">
      <w:pPr>
        <w:spacing w:before="120"/>
        <w:rPr>
          <w:szCs w:val="20"/>
        </w:rPr>
      </w:pPr>
      <w:bookmarkStart w:id="204" w:name="_Toc59195623"/>
      <w:bookmarkStart w:id="205" w:name="_Toc59195625"/>
      <w:bookmarkStart w:id="206" w:name="_Toc59195626"/>
      <w:bookmarkEnd w:id="180"/>
      <w:bookmarkEnd w:id="204"/>
      <w:bookmarkEnd w:id="205"/>
      <w:bookmarkEnd w:id="206"/>
      <w:r w:rsidRPr="00316837">
        <w:rPr>
          <w:szCs w:val="20"/>
        </w:rPr>
        <w:t>Based on the above discussions, the Guidelines 6.1 on Regulatory Frameworks for Main Grid Connection of Off-Grid Mini-Grids and Micro-DSOs is presented as follows:</w:t>
      </w:r>
      <w:r>
        <w:rPr>
          <w:szCs w:val="20"/>
        </w:rPr>
        <w:t xml:space="preserve"> </w:t>
      </w:r>
    </w:p>
    <w:p w14:paraId="5B643F1C" w14:textId="77777777" w:rsidR="008824F1" w:rsidRDefault="00E239A3" w:rsidP="0074334B">
      <w:pPr>
        <w:spacing w:before="120"/>
        <w:rPr>
          <w:szCs w:val="20"/>
        </w:rPr>
      </w:pPr>
      <w:r w:rsidRPr="006273BD">
        <w:rPr>
          <w:rFonts w:eastAsia="Calibri"/>
          <w:noProof/>
          <w:lang w:eastAsia="en-GB"/>
        </w:rPr>
        <mc:AlternateContent>
          <mc:Choice Requires="wps">
            <w:drawing>
              <wp:inline distT="0" distB="0" distL="0" distR="0" wp14:anchorId="18D1D570" wp14:editId="0904FE60">
                <wp:extent cx="6112800" cy="3282462"/>
                <wp:effectExtent l="0" t="0" r="21590" b="13335"/>
                <wp:docPr id="33" name="Text Box 33"/>
                <wp:cNvGraphicFramePr/>
                <a:graphic xmlns:a="http://schemas.openxmlformats.org/drawingml/2006/main">
                  <a:graphicData uri="http://schemas.microsoft.com/office/word/2010/wordprocessingShape">
                    <wps:wsp>
                      <wps:cNvSpPr txBox="1"/>
                      <wps:spPr>
                        <a:xfrm>
                          <a:off x="0" y="0"/>
                          <a:ext cx="6112800" cy="3282462"/>
                        </a:xfrm>
                        <a:prstGeom prst="rect">
                          <a:avLst/>
                        </a:prstGeom>
                        <a:solidFill>
                          <a:srgbClr val="9BBB59">
                            <a:lumMod val="20000"/>
                            <a:lumOff val="80000"/>
                          </a:srgbClr>
                        </a:solidFill>
                        <a:ln w="6350">
                          <a:solidFill>
                            <a:prstClr val="black"/>
                          </a:solidFill>
                        </a:ln>
                        <a:effectLst/>
                      </wps:spPr>
                      <wps:txbx>
                        <w:txbxContent>
                          <w:p w14:paraId="6137CF17" w14:textId="30727517" w:rsidR="00E239A3" w:rsidRPr="00316837" w:rsidRDefault="00E239A3" w:rsidP="00E239A3">
                            <w:pPr>
                              <w:jc w:val="left"/>
                              <w:rPr>
                                <w:rFonts w:cs="Arial"/>
                                <w:bCs/>
                                <w:szCs w:val="20"/>
                              </w:rPr>
                            </w:pPr>
                            <w:r w:rsidRPr="00316837">
                              <w:rPr>
                                <w:rFonts w:cs="Arial"/>
                                <w:bCs/>
                                <w:szCs w:val="20"/>
                              </w:rPr>
                              <w:t xml:space="preserve">Guidelines </w:t>
                            </w:r>
                            <w:r w:rsidRPr="006273BD">
                              <w:rPr>
                                <w:rFonts w:cs="Arial"/>
                                <w:bCs/>
                                <w:szCs w:val="20"/>
                              </w:rPr>
                              <w:t xml:space="preserve">6.2: </w:t>
                            </w:r>
                            <w:r w:rsidR="00316837" w:rsidRPr="006273BD">
                              <w:rPr>
                                <w:rFonts w:cs="Arial"/>
                                <w:bCs/>
                                <w:szCs w:val="20"/>
                              </w:rPr>
                              <w:t>R</w:t>
                            </w:r>
                            <w:r w:rsidRPr="006273BD">
                              <w:rPr>
                                <w:rFonts w:cs="Arial"/>
                                <w:bCs/>
                                <w:szCs w:val="20"/>
                              </w:rPr>
                              <w:t xml:space="preserve">egulatory </w:t>
                            </w:r>
                            <w:r w:rsidR="00316837" w:rsidRPr="006273BD">
                              <w:rPr>
                                <w:rFonts w:cs="Arial"/>
                                <w:bCs/>
                                <w:szCs w:val="20"/>
                              </w:rPr>
                              <w:t>F</w:t>
                            </w:r>
                            <w:r w:rsidRPr="006273BD">
                              <w:rPr>
                                <w:rFonts w:cs="Arial"/>
                                <w:bCs/>
                                <w:szCs w:val="20"/>
                              </w:rPr>
                              <w:t xml:space="preserve">rameworks for </w:t>
                            </w:r>
                            <w:r w:rsidR="00316837" w:rsidRPr="006273BD">
                              <w:rPr>
                                <w:rFonts w:cs="Arial"/>
                                <w:bCs/>
                                <w:szCs w:val="20"/>
                              </w:rPr>
                              <w:t>M</w:t>
                            </w:r>
                            <w:r w:rsidRPr="006273BD">
                              <w:rPr>
                                <w:rFonts w:cs="Arial"/>
                                <w:bCs/>
                                <w:szCs w:val="20"/>
                              </w:rPr>
                              <w:t xml:space="preserve">ain </w:t>
                            </w:r>
                            <w:r w:rsidR="00316837" w:rsidRPr="006273BD">
                              <w:rPr>
                                <w:rFonts w:cs="Arial"/>
                                <w:bCs/>
                                <w:szCs w:val="20"/>
                              </w:rPr>
                              <w:t>G</w:t>
                            </w:r>
                            <w:r w:rsidRPr="006273BD">
                              <w:rPr>
                                <w:rFonts w:cs="Arial"/>
                                <w:bCs/>
                                <w:szCs w:val="20"/>
                              </w:rPr>
                              <w:t xml:space="preserve">rid </w:t>
                            </w:r>
                            <w:r w:rsidR="00316837" w:rsidRPr="006273BD">
                              <w:rPr>
                                <w:rFonts w:cs="Arial"/>
                                <w:bCs/>
                                <w:szCs w:val="20"/>
                              </w:rPr>
                              <w:t>C</w:t>
                            </w:r>
                            <w:r w:rsidRPr="006273BD">
                              <w:rPr>
                                <w:rFonts w:cs="Arial"/>
                                <w:bCs/>
                                <w:szCs w:val="20"/>
                              </w:rPr>
                              <w:t xml:space="preserve">onnection of </w:t>
                            </w:r>
                            <w:r w:rsidR="00316837" w:rsidRPr="006273BD">
                              <w:rPr>
                                <w:rFonts w:cs="Arial"/>
                                <w:bCs/>
                                <w:szCs w:val="20"/>
                              </w:rPr>
                              <w:t>O</w:t>
                            </w:r>
                            <w:r w:rsidRPr="006273BD">
                              <w:rPr>
                                <w:rFonts w:cs="Arial"/>
                                <w:bCs/>
                                <w:szCs w:val="20"/>
                              </w:rPr>
                              <w:t>ff-</w:t>
                            </w:r>
                            <w:r w:rsidR="00316837" w:rsidRPr="006273BD">
                              <w:rPr>
                                <w:rFonts w:cs="Arial"/>
                                <w:bCs/>
                                <w:szCs w:val="20"/>
                              </w:rPr>
                              <w:t>G</w:t>
                            </w:r>
                            <w:r w:rsidRPr="006273BD">
                              <w:rPr>
                                <w:rFonts w:cs="Arial"/>
                                <w:bCs/>
                                <w:szCs w:val="20"/>
                              </w:rPr>
                              <w:t xml:space="preserve">rid </w:t>
                            </w:r>
                            <w:r w:rsidR="00316837" w:rsidRPr="006273BD">
                              <w:rPr>
                                <w:rFonts w:cs="Arial"/>
                                <w:bCs/>
                                <w:szCs w:val="20"/>
                              </w:rPr>
                              <w:t>M</w:t>
                            </w:r>
                            <w:r w:rsidRPr="006273BD">
                              <w:rPr>
                                <w:rFonts w:cs="Arial"/>
                                <w:bCs/>
                                <w:szCs w:val="20"/>
                              </w:rPr>
                              <w:t>ini-</w:t>
                            </w:r>
                            <w:r w:rsidR="00316837" w:rsidRPr="006273BD">
                              <w:rPr>
                                <w:rFonts w:cs="Arial"/>
                                <w:bCs/>
                                <w:szCs w:val="20"/>
                              </w:rPr>
                              <w:t>G</w:t>
                            </w:r>
                            <w:r w:rsidRPr="006273BD">
                              <w:rPr>
                                <w:rFonts w:cs="Arial"/>
                                <w:bCs/>
                                <w:szCs w:val="20"/>
                              </w:rPr>
                              <w:t xml:space="preserve">rids and </w:t>
                            </w:r>
                            <w:r w:rsidR="00316837" w:rsidRPr="006273BD">
                              <w:rPr>
                                <w:rFonts w:cs="Arial"/>
                                <w:bCs/>
                                <w:szCs w:val="20"/>
                              </w:rPr>
                              <w:t>M</w:t>
                            </w:r>
                            <w:r w:rsidRPr="006273BD">
                              <w:rPr>
                                <w:rFonts w:cs="Arial"/>
                                <w:bCs/>
                                <w:szCs w:val="20"/>
                              </w:rPr>
                              <w:t>icro-DSOs</w:t>
                            </w:r>
                          </w:p>
                          <w:p w14:paraId="661E138B" w14:textId="3202BDC3"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 xml:space="preserve">Larger mini-grids should be compatible with the grid, but requirements </w:t>
                            </w:r>
                            <w:r w:rsidR="00AF4633">
                              <w:rPr>
                                <w:rFonts w:ascii="Arial" w:hAnsi="Arial" w:cs="Arial"/>
                                <w:bCs/>
                                <w:sz w:val="20"/>
                                <w:szCs w:val="20"/>
                                <w:lang w:val="en-GB"/>
                              </w:rPr>
                              <w:t>could</w:t>
                            </w:r>
                            <w:r w:rsidRPr="00E239A3">
                              <w:rPr>
                                <w:rFonts w:ascii="Arial" w:hAnsi="Arial" w:cs="Arial"/>
                                <w:bCs/>
                                <w:sz w:val="20"/>
                                <w:szCs w:val="20"/>
                                <w:lang w:val="en-GB"/>
                              </w:rPr>
                              <w:t xml:space="preserve"> vary with mini-grid size</w:t>
                            </w:r>
                            <w:r w:rsidR="00CA2788">
                              <w:rPr>
                                <w:rFonts w:ascii="Arial" w:hAnsi="Arial" w:cs="Arial"/>
                                <w:bCs/>
                                <w:sz w:val="20"/>
                                <w:szCs w:val="20"/>
                                <w:lang w:val="en-GB"/>
                              </w:rPr>
                              <w:t>.</w:t>
                            </w:r>
                            <w:r w:rsidRPr="00E239A3">
                              <w:rPr>
                                <w:rFonts w:ascii="Arial" w:hAnsi="Arial" w:cs="Arial"/>
                                <w:bCs/>
                                <w:sz w:val="20"/>
                                <w:szCs w:val="20"/>
                                <w:lang w:val="en-GB"/>
                              </w:rPr>
                              <w:t xml:space="preserve"> </w:t>
                            </w:r>
                          </w:p>
                          <w:p w14:paraId="2AE099C2" w14:textId="79158752"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Regulations should be based on internationally recognised standards</w:t>
                            </w:r>
                            <w:r w:rsidR="00CA2788">
                              <w:rPr>
                                <w:rFonts w:ascii="Arial" w:hAnsi="Arial" w:cs="Arial"/>
                                <w:bCs/>
                                <w:sz w:val="20"/>
                                <w:szCs w:val="20"/>
                                <w:lang w:val="en-GB"/>
                              </w:rPr>
                              <w:t>.</w:t>
                            </w:r>
                            <w:r w:rsidRPr="00E239A3">
                              <w:rPr>
                                <w:rFonts w:ascii="Arial" w:hAnsi="Arial" w:cs="Arial"/>
                                <w:bCs/>
                                <w:sz w:val="20"/>
                                <w:szCs w:val="20"/>
                                <w:lang w:val="en-GB"/>
                              </w:rPr>
                              <w:t xml:space="preserve"> </w:t>
                            </w:r>
                          </w:p>
                          <w:p w14:paraId="51CEB2F2" w14:textId="4E7BA92A"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The application approval process for connection should be straightforward and appropriate</w:t>
                            </w:r>
                            <w:r w:rsidR="00CA2788">
                              <w:rPr>
                                <w:rFonts w:ascii="Arial" w:hAnsi="Arial" w:cs="Arial"/>
                                <w:bCs/>
                                <w:sz w:val="20"/>
                                <w:szCs w:val="20"/>
                                <w:lang w:val="en-GB"/>
                              </w:rPr>
                              <w:t>.</w:t>
                            </w:r>
                            <w:r w:rsidRPr="00E239A3">
                              <w:rPr>
                                <w:rFonts w:ascii="Arial" w:hAnsi="Arial" w:cs="Arial"/>
                                <w:bCs/>
                                <w:sz w:val="20"/>
                                <w:szCs w:val="20"/>
                                <w:lang w:val="en-GB"/>
                              </w:rPr>
                              <w:t xml:space="preserve"> </w:t>
                            </w:r>
                          </w:p>
                          <w:p w14:paraId="01B3D23F" w14:textId="66C5D4A5"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Ensure that connection application costs and duration are predictable for the applicant</w:t>
                            </w:r>
                            <w:r w:rsidR="00CA2788">
                              <w:rPr>
                                <w:rFonts w:ascii="Arial" w:hAnsi="Arial" w:cs="Arial"/>
                                <w:bCs/>
                                <w:sz w:val="20"/>
                                <w:szCs w:val="20"/>
                                <w:lang w:val="en-GB"/>
                              </w:rPr>
                              <w:t>.</w:t>
                            </w:r>
                            <w:r w:rsidRPr="00E239A3">
                              <w:rPr>
                                <w:rFonts w:ascii="Arial" w:hAnsi="Arial" w:cs="Arial"/>
                                <w:bCs/>
                                <w:sz w:val="20"/>
                                <w:szCs w:val="20"/>
                                <w:lang w:val="en-GB"/>
                              </w:rPr>
                              <w:t xml:space="preserve"> </w:t>
                            </w:r>
                          </w:p>
                          <w:p w14:paraId="6A9576AD" w14:textId="47050144"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A process should be in place to resolve disputes between the utility and the applicant</w:t>
                            </w:r>
                            <w:r w:rsidR="00CA2788">
                              <w:rPr>
                                <w:rFonts w:ascii="Arial" w:hAnsi="Arial" w:cs="Arial"/>
                                <w:bCs/>
                                <w:sz w:val="20"/>
                                <w:szCs w:val="20"/>
                                <w:lang w:val="en-GB"/>
                              </w:rPr>
                              <w:t>.</w:t>
                            </w:r>
                            <w:r w:rsidR="00316837">
                              <w:rPr>
                                <w:rFonts w:ascii="Arial" w:hAnsi="Arial" w:cs="Arial"/>
                                <w:bCs/>
                                <w:sz w:val="20"/>
                                <w:szCs w:val="20"/>
                                <w:lang w:val="en-GB"/>
                              </w:rPr>
                              <w:t xml:space="preserve"> </w:t>
                            </w:r>
                          </w:p>
                          <w:p w14:paraId="02F6C91C" w14:textId="09D7ED40"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Generation capacity limits on a feeder or circuit are a simple solution to congestion, but the alternative can be cost prohibitive</w:t>
                            </w:r>
                            <w:r w:rsidR="00CA2788">
                              <w:rPr>
                                <w:rFonts w:ascii="Arial" w:hAnsi="Arial" w:cs="Arial"/>
                                <w:bCs/>
                                <w:sz w:val="20"/>
                                <w:szCs w:val="20"/>
                                <w:lang w:val="en-GB"/>
                              </w:rPr>
                              <w:t>.</w:t>
                            </w:r>
                            <w:r w:rsidRPr="00E239A3">
                              <w:rPr>
                                <w:rFonts w:ascii="Arial" w:hAnsi="Arial" w:cs="Arial"/>
                                <w:bCs/>
                                <w:sz w:val="20"/>
                                <w:szCs w:val="20"/>
                                <w:lang w:val="en-GB"/>
                              </w:rPr>
                              <w:t xml:space="preserve"> </w:t>
                            </w:r>
                          </w:p>
                          <w:p w14:paraId="508DDDC2" w14:textId="4662B0E6" w:rsidR="00E239A3" w:rsidRPr="00E239A3" w:rsidRDefault="00CA2788" w:rsidP="006273BD">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A number of o</w:t>
                            </w:r>
                            <w:r w:rsidR="00E239A3" w:rsidRPr="00E239A3">
                              <w:rPr>
                                <w:rFonts w:ascii="Arial" w:hAnsi="Arial" w:cs="Arial"/>
                                <w:bCs/>
                                <w:sz w:val="20"/>
                                <w:szCs w:val="20"/>
                                <w:lang w:val="en-GB"/>
                              </w:rPr>
                              <w:t xml:space="preserve">ptions </w:t>
                            </w:r>
                            <w:r>
                              <w:rPr>
                                <w:rFonts w:ascii="Arial" w:hAnsi="Arial" w:cs="Arial"/>
                                <w:bCs/>
                                <w:sz w:val="20"/>
                                <w:szCs w:val="20"/>
                                <w:lang w:val="en-GB"/>
                              </w:rPr>
                              <w:t xml:space="preserve">should be </w:t>
                            </w:r>
                            <w:r w:rsidR="00E239A3" w:rsidRPr="00E239A3">
                              <w:rPr>
                                <w:rFonts w:ascii="Arial" w:hAnsi="Arial" w:cs="Arial"/>
                                <w:bCs/>
                                <w:sz w:val="20"/>
                                <w:szCs w:val="20"/>
                                <w:lang w:val="en-GB"/>
                              </w:rPr>
                              <w:t>available to the mini-grid operator when the main grid encompasses the mini-grid</w:t>
                            </w:r>
                            <w:r>
                              <w:rPr>
                                <w:rFonts w:ascii="Arial" w:hAnsi="Arial" w:cs="Arial"/>
                                <w:bCs/>
                                <w:sz w:val="20"/>
                                <w:szCs w:val="20"/>
                                <w:lang w:val="en-GB"/>
                              </w:rPr>
                              <w:t>.</w:t>
                            </w:r>
                            <w:r w:rsidR="00316837">
                              <w:rPr>
                                <w:rFonts w:ascii="Arial" w:hAnsi="Arial" w:cs="Arial"/>
                                <w:bCs/>
                                <w:sz w:val="20"/>
                                <w:szCs w:val="20"/>
                                <w:lang w:val="en-GB"/>
                              </w:rPr>
                              <w:t xml:space="preserve"> </w:t>
                            </w:r>
                          </w:p>
                          <w:p w14:paraId="4366B7A7" w14:textId="54BCD263" w:rsidR="00E239A3" w:rsidRPr="003D494F" w:rsidRDefault="00E239A3" w:rsidP="00316837">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Tariff setting framework after interconnection with the main grid needs to be clear and detailed</w:t>
                            </w:r>
                            <w:r w:rsidR="00CA2788">
                              <w:rPr>
                                <w:rFonts w:ascii="Arial" w:hAnsi="Arial" w:cs="Arial"/>
                                <w:bCs/>
                                <w:sz w:val="20"/>
                                <w:szCs w:val="20"/>
                                <w:lang w:val="en-GB"/>
                              </w:rPr>
                              <w:t>.</w:t>
                            </w:r>
                            <w:r w:rsidR="00316837">
                              <w:rPr>
                                <w:rFonts w:ascii="Arial" w:hAnsi="Arial" w:cs="Arial"/>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D1D570" id="Text Box 33" o:spid="_x0000_s1056" type="#_x0000_t202" style="width:481.3pt;height:25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" fillcolor="#ebf1de" strokeweight=".5pt">
                <v:textbox>
                  <w:txbxContent>
                    <w:p w14:paraId="6137CF17" w14:textId="30727517" w:rsidR="00E239A3" w:rsidRPr="00316837" w:rsidRDefault="00E239A3" w:rsidP="00E239A3">
                      <w:pPr>
                        <w:jc w:val="left"/>
                        <w:rPr>
                          <w:rFonts w:cs="Arial"/>
                          <w:bCs/>
                          <w:szCs w:val="20"/>
                        </w:rPr>
                      </w:pPr>
                      <w:r w:rsidRPr="00316837">
                        <w:rPr>
                          <w:rFonts w:cs="Arial"/>
                          <w:bCs/>
                          <w:szCs w:val="20"/>
                        </w:rPr>
                        <w:t xml:space="preserve">Guidelines </w:t>
                      </w:r>
                      <w:r w:rsidRPr="006273BD">
                        <w:rPr>
                          <w:rFonts w:cs="Arial"/>
                          <w:bCs/>
                          <w:szCs w:val="20"/>
                        </w:rPr>
                        <w:t xml:space="preserve">6.2: </w:t>
                      </w:r>
                      <w:r w:rsidR="00316837" w:rsidRPr="006273BD">
                        <w:rPr>
                          <w:rFonts w:cs="Arial"/>
                          <w:bCs/>
                          <w:szCs w:val="20"/>
                        </w:rPr>
                        <w:t>R</w:t>
                      </w:r>
                      <w:r w:rsidRPr="006273BD">
                        <w:rPr>
                          <w:rFonts w:cs="Arial"/>
                          <w:bCs/>
                          <w:szCs w:val="20"/>
                        </w:rPr>
                        <w:t xml:space="preserve">egulatory </w:t>
                      </w:r>
                      <w:r w:rsidR="00316837" w:rsidRPr="006273BD">
                        <w:rPr>
                          <w:rFonts w:cs="Arial"/>
                          <w:bCs/>
                          <w:szCs w:val="20"/>
                        </w:rPr>
                        <w:t>F</w:t>
                      </w:r>
                      <w:r w:rsidRPr="006273BD">
                        <w:rPr>
                          <w:rFonts w:cs="Arial"/>
                          <w:bCs/>
                          <w:szCs w:val="20"/>
                        </w:rPr>
                        <w:t xml:space="preserve">rameworks for </w:t>
                      </w:r>
                      <w:r w:rsidR="00316837" w:rsidRPr="006273BD">
                        <w:rPr>
                          <w:rFonts w:cs="Arial"/>
                          <w:bCs/>
                          <w:szCs w:val="20"/>
                        </w:rPr>
                        <w:t>M</w:t>
                      </w:r>
                      <w:r w:rsidRPr="006273BD">
                        <w:rPr>
                          <w:rFonts w:cs="Arial"/>
                          <w:bCs/>
                          <w:szCs w:val="20"/>
                        </w:rPr>
                        <w:t xml:space="preserve">ain </w:t>
                      </w:r>
                      <w:r w:rsidR="00316837" w:rsidRPr="006273BD">
                        <w:rPr>
                          <w:rFonts w:cs="Arial"/>
                          <w:bCs/>
                          <w:szCs w:val="20"/>
                        </w:rPr>
                        <w:t>G</w:t>
                      </w:r>
                      <w:r w:rsidRPr="006273BD">
                        <w:rPr>
                          <w:rFonts w:cs="Arial"/>
                          <w:bCs/>
                          <w:szCs w:val="20"/>
                        </w:rPr>
                        <w:t xml:space="preserve">rid </w:t>
                      </w:r>
                      <w:r w:rsidR="00316837" w:rsidRPr="006273BD">
                        <w:rPr>
                          <w:rFonts w:cs="Arial"/>
                          <w:bCs/>
                          <w:szCs w:val="20"/>
                        </w:rPr>
                        <w:t>C</w:t>
                      </w:r>
                      <w:r w:rsidRPr="006273BD">
                        <w:rPr>
                          <w:rFonts w:cs="Arial"/>
                          <w:bCs/>
                          <w:szCs w:val="20"/>
                        </w:rPr>
                        <w:t xml:space="preserve">onnection of </w:t>
                      </w:r>
                      <w:r w:rsidR="00316837" w:rsidRPr="006273BD">
                        <w:rPr>
                          <w:rFonts w:cs="Arial"/>
                          <w:bCs/>
                          <w:szCs w:val="20"/>
                        </w:rPr>
                        <w:t>O</w:t>
                      </w:r>
                      <w:r w:rsidRPr="006273BD">
                        <w:rPr>
                          <w:rFonts w:cs="Arial"/>
                          <w:bCs/>
                          <w:szCs w:val="20"/>
                        </w:rPr>
                        <w:t>ff-</w:t>
                      </w:r>
                      <w:r w:rsidR="00316837" w:rsidRPr="006273BD">
                        <w:rPr>
                          <w:rFonts w:cs="Arial"/>
                          <w:bCs/>
                          <w:szCs w:val="20"/>
                        </w:rPr>
                        <w:t>G</w:t>
                      </w:r>
                      <w:r w:rsidRPr="006273BD">
                        <w:rPr>
                          <w:rFonts w:cs="Arial"/>
                          <w:bCs/>
                          <w:szCs w:val="20"/>
                        </w:rPr>
                        <w:t xml:space="preserve">rid </w:t>
                      </w:r>
                      <w:r w:rsidR="00316837" w:rsidRPr="006273BD">
                        <w:rPr>
                          <w:rFonts w:cs="Arial"/>
                          <w:bCs/>
                          <w:szCs w:val="20"/>
                        </w:rPr>
                        <w:t>M</w:t>
                      </w:r>
                      <w:r w:rsidRPr="006273BD">
                        <w:rPr>
                          <w:rFonts w:cs="Arial"/>
                          <w:bCs/>
                          <w:szCs w:val="20"/>
                        </w:rPr>
                        <w:t>ini-</w:t>
                      </w:r>
                      <w:r w:rsidR="00316837" w:rsidRPr="006273BD">
                        <w:rPr>
                          <w:rFonts w:cs="Arial"/>
                          <w:bCs/>
                          <w:szCs w:val="20"/>
                        </w:rPr>
                        <w:t>G</w:t>
                      </w:r>
                      <w:r w:rsidRPr="006273BD">
                        <w:rPr>
                          <w:rFonts w:cs="Arial"/>
                          <w:bCs/>
                          <w:szCs w:val="20"/>
                        </w:rPr>
                        <w:t xml:space="preserve">rids and </w:t>
                      </w:r>
                      <w:r w:rsidR="00316837" w:rsidRPr="006273BD">
                        <w:rPr>
                          <w:rFonts w:cs="Arial"/>
                          <w:bCs/>
                          <w:szCs w:val="20"/>
                        </w:rPr>
                        <w:t>M</w:t>
                      </w:r>
                      <w:r w:rsidRPr="006273BD">
                        <w:rPr>
                          <w:rFonts w:cs="Arial"/>
                          <w:bCs/>
                          <w:szCs w:val="20"/>
                        </w:rPr>
                        <w:t>icro-DSOs</w:t>
                      </w:r>
                    </w:p>
                    <w:p w14:paraId="661E138B" w14:textId="3202BDC3"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 xml:space="preserve">Larger mini-grids should be compatible with the grid, but requirements </w:t>
                      </w:r>
                      <w:r w:rsidR="00AF4633">
                        <w:rPr>
                          <w:rFonts w:ascii="Arial" w:hAnsi="Arial" w:cs="Arial"/>
                          <w:bCs/>
                          <w:sz w:val="20"/>
                          <w:szCs w:val="20"/>
                          <w:lang w:val="en-GB"/>
                        </w:rPr>
                        <w:t>could</w:t>
                      </w:r>
                      <w:r w:rsidRPr="00E239A3">
                        <w:rPr>
                          <w:rFonts w:ascii="Arial" w:hAnsi="Arial" w:cs="Arial"/>
                          <w:bCs/>
                          <w:sz w:val="20"/>
                          <w:szCs w:val="20"/>
                          <w:lang w:val="en-GB"/>
                        </w:rPr>
                        <w:t xml:space="preserve"> vary with mini-grid size</w:t>
                      </w:r>
                      <w:r w:rsidR="00CA2788">
                        <w:rPr>
                          <w:rFonts w:ascii="Arial" w:hAnsi="Arial" w:cs="Arial"/>
                          <w:bCs/>
                          <w:sz w:val="20"/>
                          <w:szCs w:val="20"/>
                          <w:lang w:val="en-GB"/>
                        </w:rPr>
                        <w:t>.</w:t>
                      </w:r>
                      <w:r w:rsidRPr="00E239A3">
                        <w:rPr>
                          <w:rFonts w:ascii="Arial" w:hAnsi="Arial" w:cs="Arial"/>
                          <w:bCs/>
                          <w:sz w:val="20"/>
                          <w:szCs w:val="20"/>
                          <w:lang w:val="en-GB"/>
                        </w:rPr>
                        <w:t xml:space="preserve"> </w:t>
                      </w:r>
                    </w:p>
                    <w:p w14:paraId="2AE099C2" w14:textId="79158752"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Regulations should be based on internationally recognised standards</w:t>
                      </w:r>
                      <w:r w:rsidR="00CA2788">
                        <w:rPr>
                          <w:rFonts w:ascii="Arial" w:hAnsi="Arial" w:cs="Arial"/>
                          <w:bCs/>
                          <w:sz w:val="20"/>
                          <w:szCs w:val="20"/>
                          <w:lang w:val="en-GB"/>
                        </w:rPr>
                        <w:t>.</w:t>
                      </w:r>
                      <w:r w:rsidRPr="00E239A3">
                        <w:rPr>
                          <w:rFonts w:ascii="Arial" w:hAnsi="Arial" w:cs="Arial"/>
                          <w:bCs/>
                          <w:sz w:val="20"/>
                          <w:szCs w:val="20"/>
                          <w:lang w:val="en-GB"/>
                        </w:rPr>
                        <w:t xml:space="preserve"> </w:t>
                      </w:r>
                    </w:p>
                    <w:p w14:paraId="51CEB2F2" w14:textId="4E7BA92A"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The application approval process for connection should be straightforward and appropriate</w:t>
                      </w:r>
                      <w:r w:rsidR="00CA2788">
                        <w:rPr>
                          <w:rFonts w:ascii="Arial" w:hAnsi="Arial" w:cs="Arial"/>
                          <w:bCs/>
                          <w:sz w:val="20"/>
                          <w:szCs w:val="20"/>
                          <w:lang w:val="en-GB"/>
                        </w:rPr>
                        <w:t>.</w:t>
                      </w:r>
                      <w:r w:rsidRPr="00E239A3">
                        <w:rPr>
                          <w:rFonts w:ascii="Arial" w:hAnsi="Arial" w:cs="Arial"/>
                          <w:bCs/>
                          <w:sz w:val="20"/>
                          <w:szCs w:val="20"/>
                          <w:lang w:val="en-GB"/>
                        </w:rPr>
                        <w:t xml:space="preserve"> </w:t>
                      </w:r>
                    </w:p>
                    <w:p w14:paraId="01B3D23F" w14:textId="66C5D4A5"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Ensure that connection application costs and duration are predictable for the applicant</w:t>
                      </w:r>
                      <w:r w:rsidR="00CA2788">
                        <w:rPr>
                          <w:rFonts w:ascii="Arial" w:hAnsi="Arial" w:cs="Arial"/>
                          <w:bCs/>
                          <w:sz w:val="20"/>
                          <w:szCs w:val="20"/>
                          <w:lang w:val="en-GB"/>
                        </w:rPr>
                        <w:t>.</w:t>
                      </w:r>
                      <w:r w:rsidRPr="00E239A3">
                        <w:rPr>
                          <w:rFonts w:ascii="Arial" w:hAnsi="Arial" w:cs="Arial"/>
                          <w:bCs/>
                          <w:sz w:val="20"/>
                          <w:szCs w:val="20"/>
                          <w:lang w:val="en-GB"/>
                        </w:rPr>
                        <w:t xml:space="preserve"> </w:t>
                      </w:r>
                    </w:p>
                    <w:p w14:paraId="6A9576AD" w14:textId="47050144"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A process should be in place to resolve disputes between the utility and the applicant</w:t>
                      </w:r>
                      <w:r w:rsidR="00CA2788">
                        <w:rPr>
                          <w:rFonts w:ascii="Arial" w:hAnsi="Arial" w:cs="Arial"/>
                          <w:bCs/>
                          <w:sz w:val="20"/>
                          <w:szCs w:val="20"/>
                          <w:lang w:val="en-GB"/>
                        </w:rPr>
                        <w:t>.</w:t>
                      </w:r>
                      <w:r w:rsidR="00316837">
                        <w:rPr>
                          <w:rFonts w:ascii="Arial" w:hAnsi="Arial" w:cs="Arial"/>
                          <w:bCs/>
                          <w:sz w:val="20"/>
                          <w:szCs w:val="20"/>
                          <w:lang w:val="en-GB"/>
                        </w:rPr>
                        <w:t xml:space="preserve"> </w:t>
                      </w:r>
                    </w:p>
                    <w:p w14:paraId="02F6C91C" w14:textId="09D7ED40" w:rsidR="00E239A3" w:rsidRPr="00E239A3" w:rsidRDefault="00E239A3" w:rsidP="006273BD">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Generation capacity limits on a feeder or circuit are a simple solution to congestion, but the alternative can be cost prohibitive</w:t>
                      </w:r>
                      <w:r w:rsidR="00CA2788">
                        <w:rPr>
                          <w:rFonts w:ascii="Arial" w:hAnsi="Arial" w:cs="Arial"/>
                          <w:bCs/>
                          <w:sz w:val="20"/>
                          <w:szCs w:val="20"/>
                          <w:lang w:val="en-GB"/>
                        </w:rPr>
                        <w:t>.</w:t>
                      </w:r>
                      <w:r w:rsidRPr="00E239A3">
                        <w:rPr>
                          <w:rFonts w:ascii="Arial" w:hAnsi="Arial" w:cs="Arial"/>
                          <w:bCs/>
                          <w:sz w:val="20"/>
                          <w:szCs w:val="20"/>
                          <w:lang w:val="en-GB"/>
                        </w:rPr>
                        <w:t xml:space="preserve"> </w:t>
                      </w:r>
                    </w:p>
                    <w:p w14:paraId="508DDDC2" w14:textId="4662B0E6" w:rsidR="00E239A3" w:rsidRPr="00E239A3" w:rsidRDefault="00CA2788" w:rsidP="006273BD">
                      <w:pPr>
                        <w:pStyle w:val="ListParagraph"/>
                        <w:numPr>
                          <w:ilvl w:val="0"/>
                          <w:numId w:val="74"/>
                        </w:numPr>
                        <w:spacing w:before="160" w:after="0" w:line="288" w:lineRule="auto"/>
                        <w:jc w:val="left"/>
                        <w:rPr>
                          <w:rFonts w:ascii="Arial" w:hAnsi="Arial" w:cs="Arial"/>
                          <w:bCs/>
                          <w:sz w:val="20"/>
                          <w:szCs w:val="20"/>
                          <w:lang w:val="en-GB"/>
                        </w:rPr>
                      </w:pPr>
                      <w:r>
                        <w:rPr>
                          <w:rFonts w:ascii="Arial" w:hAnsi="Arial" w:cs="Arial"/>
                          <w:bCs/>
                          <w:sz w:val="20"/>
                          <w:szCs w:val="20"/>
                          <w:lang w:val="en-GB"/>
                        </w:rPr>
                        <w:t>A number of o</w:t>
                      </w:r>
                      <w:r w:rsidR="00E239A3" w:rsidRPr="00E239A3">
                        <w:rPr>
                          <w:rFonts w:ascii="Arial" w:hAnsi="Arial" w:cs="Arial"/>
                          <w:bCs/>
                          <w:sz w:val="20"/>
                          <w:szCs w:val="20"/>
                          <w:lang w:val="en-GB"/>
                        </w:rPr>
                        <w:t xml:space="preserve">ptions </w:t>
                      </w:r>
                      <w:r>
                        <w:rPr>
                          <w:rFonts w:ascii="Arial" w:hAnsi="Arial" w:cs="Arial"/>
                          <w:bCs/>
                          <w:sz w:val="20"/>
                          <w:szCs w:val="20"/>
                          <w:lang w:val="en-GB"/>
                        </w:rPr>
                        <w:t xml:space="preserve">should be </w:t>
                      </w:r>
                      <w:r w:rsidR="00E239A3" w:rsidRPr="00E239A3">
                        <w:rPr>
                          <w:rFonts w:ascii="Arial" w:hAnsi="Arial" w:cs="Arial"/>
                          <w:bCs/>
                          <w:sz w:val="20"/>
                          <w:szCs w:val="20"/>
                          <w:lang w:val="en-GB"/>
                        </w:rPr>
                        <w:t>available to the mini-grid operator when the main grid encompasses the mini-grid</w:t>
                      </w:r>
                      <w:r>
                        <w:rPr>
                          <w:rFonts w:ascii="Arial" w:hAnsi="Arial" w:cs="Arial"/>
                          <w:bCs/>
                          <w:sz w:val="20"/>
                          <w:szCs w:val="20"/>
                          <w:lang w:val="en-GB"/>
                        </w:rPr>
                        <w:t>.</w:t>
                      </w:r>
                      <w:r w:rsidR="00316837">
                        <w:rPr>
                          <w:rFonts w:ascii="Arial" w:hAnsi="Arial" w:cs="Arial"/>
                          <w:bCs/>
                          <w:sz w:val="20"/>
                          <w:szCs w:val="20"/>
                          <w:lang w:val="en-GB"/>
                        </w:rPr>
                        <w:t xml:space="preserve"> </w:t>
                      </w:r>
                    </w:p>
                    <w:p w14:paraId="4366B7A7" w14:textId="54BCD263" w:rsidR="00E239A3" w:rsidRPr="003D494F" w:rsidRDefault="00E239A3" w:rsidP="00316837">
                      <w:pPr>
                        <w:pStyle w:val="ListParagraph"/>
                        <w:numPr>
                          <w:ilvl w:val="0"/>
                          <w:numId w:val="74"/>
                        </w:numPr>
                        <w:spacing w:before="160" w:after="0" w:line="288" w:lineRule="auto"/>
                        <w:jc w:val="left"/>
                        <w:rPr>
                          <w:rFonts w:ascii="Arial" w:hAnsi="Arial" w:cs="Arial"/>
                          <w:bCs/>
                          <w:sz w:val="20"/>
                          <w:szCs w:val="20"/>
                          <w:lang w:val="en-GB"/>
                        </w:rPr>
                      </w:pPr>
                      <w:r w:rsidRPr="00E239A3">
                        <w:rPr>
                          <w:rFonts w:ascii="Arial" w:hAnsi="Arial" w:cs="Arial"/>
                          <w:bCs/>
                          <w:sz w:val="20"/>
                          <w:szCs w:val="20"/>
                          <w:lang w:val="en-GB"/>
                        </w:rPr>
                        <w:t>Tariff setting framework after interconnection with the main grid needs to be clear and detailed</w:t>
                      </w:r>
                      <w:r w:rsidR="00CA2788">
                        <w:rPr>
                          <w:rFonts w:ascii="Arial" w:hAnsi="Arial" w:cs="Arial"/>
                          <w:bCs/>
                          <w:sz w:val="20"/>
                          <w:szCs w:val="20"/>
                          <w:lang w:val="en-GB"/>
                        </w:rPr>
                        <w:t>.</w:t>
                      </w:r>
                      <w:r w:rsidR="00316837">
                        <w:rPr>
                          <w:rFonts w:ascii="Arial" w:hAnsi="Arial" w:cs="Arial"/>
                          <w:bCs/>
                          <w:sz w:val="20"/>
                          <w:szCs w:val="20"/>
                          <w:lang w:val="en-GB"/>
                        </w:rPr>
                        <w:t xml:space="preserve"> </w:t>
                      </w:r>
                    </w:p>
                  </w:txbxContent>
                </v:textbox>
                <w10:anchorlock/>
              </v:shape>
            </w:pict>
          </mc:Fallback>
        </mc:AlternateContent>
      </w:r>
    </w:p>
    <w:p w14:paraId="49EF936C" w14:textId="77777777" w:rsidR="00316837" w:rsidRDefault="00316837" w:rsidP="0074334B">
      <w:pPr>
        <w:spacing w:before="120"/>
        <w:rPr>
          <w:szCs w:val="20"/>
        </w:rPr>
      </w:pPr>
    </w:p>
    <w:p w14:paraId="2C6E5C95" w14:textId="353B95D3" w:rsidR="00316837" w:rsidRPr="00654753" w:rsidRDefault="00316837" w:rsidP="0074334B">
      <w:pPr>
        <w:spacing w:before="120"/>
        <w:rPr>
          <w:szCs w:val="20"/>
        </w:rPr>
        <w:sectPr w:rsidR="00316837" w:rsidRPr="00654753" w:rsidSect="00A3058D">
          <w:pgSz w:w="11907" w:h="16839" w:code="9"/>
          <w:pgMar w:top="510" w:right="1134" w:bottom="964" w:left="1134" w:header="720" w:footer="567" w:gutter="0"/>
          <w:cols w:space="720"/>
          <w:formProt w:val="0"/>
          <w:docGrid w:linePitch="286"/>
        </w:sectPr>
      </w:pPr>
    </w:p>
    <w:p w14:paraId="35F693D0" w14:textId="44C2A06E" w:rsidR="002141D1" w:rsidRPr="00316837" w:rsidRDefault="00483DE9" w:rsidP="0074334B">
      <w:pPr>
        <w:pStyle w:val="Heading1"/>
      </w:pPr>
      <w:bookmarkStart w:id="207" w:name="_Toc77260327"/>
      <w:r w:rsidRPr="00654753">
        <w:rPr>
          <w:caps w:val="0"/>
        </w:rPr>
        <w:lastRenderedPageBreak/>
        <w:t>ACTION PLAN</w:t>
      </w:r>
      <w:bookmarkEnd w:id="207"/>
      <w:r w:rsidR="005160A2" w:rsidRPr="00681DAA">
        <w:rPr>
          <w:caps w:val="0"/>
        </w:rPr>
        <w:t xml:space="preserve"> </w:t>
      </w:r>
    </w:p>
    <w:p w14:paraId="6C772F89" w14:textId="4C8DC227" w:rsidR="00A21496" w:rsidRPr="00316837" w:rsidRDefault="00744D32" w:rsidP="00A21496">
      <w:pPr>
        <w:pStyle w:val="Heading2"/>
        <w:rPr>
          <w:rFonts w:eastAsia="Calibri"/>
        </w:rPr>
      </w:pPr>
      <w:bookmarkStart w:id="208" w:name="_Toc77260328"/>
      <w:r w:rsidRPr="00316837">
        <w:rPr>
          <w:rFonts w:eastAsia="Calibri"/>
        </w:rPr>
        <w:t>Technical and Operational Readiness</w:t>
      </w:r>
      <w:bookmarkEnd w:id="208"/>
      <w:r w:rsidRPr="00316837">
        <w:rPr>
          <w:rFonts w:eastAsia="Calibri"/>
        </w:rPr>
        <w:t xml:space="preserve"> </w:t>
      </w:r>
    </w:p>
    <w:p w14:paraId="3ACC44A2" w14:textId="1593D4FF" w:rsidR="00483DE9" w:rsidRPr="00316837" w:rsidRDefault="007F4A35" w:rsidP="00483DE9">
      <w:pPr>
        <w:rPr>
          <w:rFonts w:eastAsia="Calibri"/>
        </w:rPr>
      </w:pPr>
      <w:r w:rsidRPr="00316837">
        <w:rPr>
          <w:rFonts w:eastAsia="Calibri"/>
        </w:rPr>
        <w:t>Th</w:t>
      </w:r>
      <w:r w:rsidR="00B23E94" w:rsidRPr="00316837">
        <w:rPr>
          <w:rFonts w:eastAsia="Calibri"/>
        </w:rPr>
        <w:t>e</w:t>
      </w:r>
      <w:r w:rsidRPr="00316837">
        <w:rPr>
          <w:rFonts w:eastAsia="Calibri"/>
        </w:rPr>
        <w:t xml:space="preserve"> Action Plan identif</w:t>
      </w:r>
      <w:r w:rsidR="00B23E94" w:rsidRPr="00316837">
        <w:rPr>
          <w:rFonts w:eastAsia="Calibri"/>
        </w:rPr>
        <w:t>ies</w:t>
      </w:r>
      <w:r w:rsidRPr="00316837">
        <w:rPr>
          <w:rFonts w:eastAsia="Calibri"/>
        </w:rPr>
        <w:t xml:space="preserve"> the key actionable programmes and activities that need to be implemented to achieve the Technical and Operational Readiness, for operationalisation of AfSEM</w:t>
      </w:r>
      <w:r w:rsidR="00B23E94" w:rsidRPr="00316837">
        <w:rPr>
          <w:rFonts w:eastAsia="Calibri"/>
        </w:rPr>
        <w:t xml:space="preserve">, i.e. </w:t>
      </w:r>
      <w:r w:rsidRPr="00316837">
        <w:rPr>
          <w:rFonts w:eastAsia="Calibri"/>
        </w:rPr>
        <w:t xml:space="preserve">the key activities at the national, regional and continental levels based on the following three time horizons: the short-term (2021-2025), medium-term (2026-2030), and long-term (2031-2040). </w:t>
      </w:r>
    </w:p>
    <w:p w14:paraId="0B10D243" w14:textId="1E2A2E75" w:rsidR="00744D32" w:rsidRPr="00316837" w:rsidRDefault="00744D32" w:rsidP="00744D32">
      <w:pPr>
        <w:pStyle w:val="Heading3"/>
        <w:rPr>
          <w:rFonts w:eastAsia="Calibri"/>
        </w:rPr>
      </w:pPr>
      <w:bookmarkStart w:id="209" w:name="_Toc77260329"/>
      <w:r w:rsidRPr="00316837">
        <w:rPr>
          <w:rFonts w:eastAsia="Calibri"/>
        </w:rPr>
        <w:t>Actions Required –</w:t>
      </w:r>
      <w:r w:rsidR="007F4A35" w:rsidRPr="00316837">
        <w:rPr>
          <w:rFonts w:eastAsia="Calibri"/>
        </w:rPr>
        <w:t xml:space="preserve"> </w:t>
      </w:r>
      <w:r w:rsidRPr="00316837">
        <w:rPr>
          <w:rFonts w:eastAsia="Calibri"/>
        </w:rPr>
        <w:t>Continental</w:t>
      </w:r>
      <w:r w:rsidR="007F4A35" w:rsidRPr="00316837">
        <w:rPr>
          <w:rFonts w:eastAsia="Calibri"/>
        </w:rPr>
        <w:t>,</w:t>
      </w:r>
      <w:r w:rsidRPr="00316837">
        <w:rPr>
          <w:rFonts w:eastAsia="Calibri"/>
        </w:rPr>
        <w:t xml:space="preserve"> </w:t>
      </w:r>
      <w:r w:rsidR="007F4A35" w:rsidRPr="00316837">
        <w:rPr>
          <w:rFonts w:eastAsia="Calibri"/>
        </w:rPr>
        <w:t xml:space="preserve">Regional and National </w:t>
      </w:r>
      <w:r w:rsidRPr="00316837">
        <w:rPr>
          <w:rFonts w:eastAsia="Calibri"/>
        </w:rPr>
        <w:t>Levels</w:t>
      </w:r>
      <w:bookmarkEnd w:id="209"/>
      <w:r w:rsidR="007F4A35" w:rsidRPr="00316837">
        <w:rPr>
          <w:rFonts w:eastAsia="Calibri"/>
        </w:rPr>
        <w:t xml:space="preserve"> </w:t>
      </w:r>
    </w:p>
    <w:p w14:paraId="5D193336" w14:textId="3727C32D" w:rsidR="005675CB" w:rsidRPr="00681DAA" w:rsidRDefault="005675CB" w:rsidP="007F4A35">
      <w:pPr>
        <w:rPr>
          <w:rFonts w:eastAsia="Calibri"/>
          <w:szCs w:val="20"/>
        </w:rPr>
      </w:pPr>
      <w:r w:rsidRPr="00316837">
        <w:rPr>
          <w:rFonts w:eastAsia="Calibri"/>
          <w:szCs w:val="20"/>
        </w:rPr>
        <w:t xml:space="preserve">A set of actions is required at the national, regional and continental levels (see </w:t>
      </w:r>
      <w:r w:rsidRPr="00681DAA">
        <w:rPr>
          <w:rFonts w:eastAsia="Calibri"/>
          <w:szCs w:val="20"/>
        </w:rPr>
        <w:fldChar w:fldCharType="begin"/>
      </w:r>
      <w:r w:rsidRPr="00316837">
        <w:rPr>
          <w:rFonts w:eastAsia="Calibri"/>
          <w:szCs w:val="20"/>
        </w:rPr>
        <w:instrText xml:space="preserve"> REF _Ref76985962 \h  \* MERGEFORMAT </w:instrText>
      </w:r>
      <w:r w:rsidRPr="00681DAA">
        <w:rPr>
          <w:rFonts w:eastAsia="Calibri"/>
          <w:szCs w:val="20"/>
        </w:rPr>
      </w:r>
      <w:r w:rsidRPr="00681DAA">
        <w:rPr>
          <w:rFonts w:eastAsia="Calibri"/>
          <w:szCs w:val="20"/>
        </w:rPr>
        <w:fldChar w:fldCharType="separate"/>
      </w:r>
      <w:r w:rsidRPr="00681DAA">
        <w:rPr>
          <w:szCs w:val="20"/>
        </w:rPr>
        <w:t>Table 7</w:t>
      </w:r>
      <w:r w:rsidRPr="00681DAA">
        <w:rPr>
          <w:szCs w:val="20"/>
        </w:rPr>
        <w:noBreakHyphen/>
        <w:t>1</w:t>
      </w:r>
      <w:r w:rsidRPr="00681DAA">
        <w:rPr>
          <w:rFonts w:eastAsia="Calibri"/>
          <w:szCs w:val="20"/>
        </w:rPr>
        <w:fldChar w:fldCharType="end"/>
      </w:r>
      <w:r w:rsidRPr="00654753">
        <w:rPr>
          <w:rFonts w:eastAsia="Calibri"/>
          <w:szCs w:val="20"/>
        </w:rPr>
        <w:t xml:space="preserve">). </w:t>
      </w:r>
    </w:p>
    <w:p w14:paraId="2EF34FE2" w14:textId="648F1466" w:rsidR="005675CB" w:rsidRPr="00316837" w:rsidRDefault="005675CB" w:rsidP="005675CB">
      <w:pPr>
        <w:rPr>
          <w:sz w:val="18"/>
          <w:szCs w:val="18"/>
        </w:rPr>
      </w:pPr>
      <w:bookmarkStart w:id="210" w:name="_Ref76985962"/>
      <w:bookmarkStart w:id="211" w:name="_Toc77260258"/>
      <w:r w:rsidRPr="00316837">
        <w:rPr>
          <w:sz w:val="18"/>
          <w:szCs w:val="18"/>
        </w:rPr>
        <w:t xml:space="preserve">Table </w:t>
      </w:r>
      <w:r w:rsidRPr="00681DAA">
        <w:rPr>
          <w:sz w:val="18"/>
          <w:szCs w:val="18"/>
        </w:rPr>
        <w:fldChar w:fldCharType="begin"/>
      </w:r>
      <w:r w:rsidRPr="00316837">
        <w:rPr>
          <w:sz w:val="18"/>
          <w:szCs w:val="18"/>
        </w:rPr>
        <w:instrText xml:space="preserve"> STYLEREF 1 \s </w:instrText>
      </w:r>
      <w:r w:rsidRPr="00681DAA">
        <w:rPr>
          <w:sz w:val="18"/>
          <w:szCs w:val="18"/>
        </w:rPr>
        <w:fldChar w:fldCharType="separate"/>
      </w:r>
      <w:r w:rsidRPr="00681DAA">
        <w:rPr>
          <w:sz w:val="18"/>
          <w:szCs w:val="18"/>
        </w:rPr>
        <w:t>7</w:t>
      </w:r>
      <w:r w:rsidRPr="00681DAA">
        <w:rPr>
          <w:sz w:val="18"/>
          <w:szCs w:val="18"/>
        </w:rPr>
        <w:fldChar w:fldCharType="end"/>
      </w:r>
      <w:r w:rsidRPr="00654753">
        <w:rPr>
          <w:sz w:val="18"/>
          <w:szCs w:val="18"/>
        </w:rPr>
        <w:noBreakHyphen/>
      </w:r>
      <w:r w:rsidRPr="00681DAA">
        <w:rPr>
          <w:sz w:val="18"/>
          <w:szCs w:val="18"/>
        </w:rPr>
        <w:fldChar w:fldCharType="begin"/>
      </w:r>
      <w:r w:rsidRPr="00316837">
        <w:rPr>
          <w:sz w:val="18"/>
          <w:szCs w:val="18"/>
        </w:rPr>
        <w:instrText xml:space="preserve"> SEQ Table \* ARABIC \s 1 </w:instrText>
      </w:r>
      <w:r w:rsidRPr="00681DAA">
        <w:rPr>
          <w:sz w:val="18"/>
          <w:szCs w:val="18"/>
        </w:rPr>
        <w:fldChar w:fldCharType="separate"/>
      </w:r>
      <w:r w:rsidRPr="00681DAA">
        <w:rPr>
          <w:sz w:val="18"/>
          <w:szCs w:val="18"/>
        </w:rPr>
        <w:t>1</w:t>
      </w:r>
      <w:r w:rsidRPr="00681DAA">
        <w:rPr>
          <w:sz w:val="18"/>
          <w:szCs w:val="18"/>
        </w:rPr>
        <w:fldChar w:fldCharType="end"/>
      </w:r>
      <w:bookmarkEnd w:id="210"/>
      <w:r w:rsidRPr="00654753">
        <w:rPr>
          <w:sz w:val="18"/>
          <w:szCs w:val="18"/>
        </w:rPr>
        <w:t xml:space="preserve">: </w:t>
      </w:r>
      <w:r w:rsidRPr="00316837">
        <w:rPr>
          <w:sz w:val="18"/>
          <w:szCs w:val="18"/>
        </w:rPr>
        <w:t xml:space="preserve"> Actions </w:t>
      </w:r>
      <w:r w:rsidR="00BD4E67" w:rsidRPr="00316837">
        <w:rPr>
          <w:sz w:val="18"/>
          <w:szCs w:val="18"/>
        </w:rPr>
        <w:t>required</w:t>
      </w:r>
      <w:r w:rsidR="00E16180" w:rsidRPr="00316837">
        <w:rPr>
          <w:sz w:val="18"/>
          <w:szCs w:val="18"/>
        </w:rPr>
        <w:t xml:space="preserve"> </w:t>
      </w:r>
      <w:r w:rsidRPr="00316837">
        <w:rPr>
          <w:sz w:val="18"/>
          <w:szCs w:val="18"/>
        </w:rPr>
        <w:t>at the national, regional and continental levels</w:t>
      </w:r>
      <w:bookmarkEnd w:id="211"/>
      <w:r w:rsidRPr="00316837">
        <w:rPr>
          <w:sz w:val="18"/>
          <w:szCs w:val="18"/>
        </w:rPr>
        <w:t xml:space="preserve"> </w:t>
      </w:r>
    </w:p>
    <w:tbl>
      <w:tblPr>
        <w:tblStyle w:val="TableGrid"/>
        <w:tblW w:w="9895" w:type="dxa"/>
        <w:tblLook w:val="04A0" w:firstRow="1" w:lastRow="0" w:firstColumn="1" w:lastColumn="0" w:noHBand="0" w:noVBand="1"/>
      </w:tblPr>
      <w:tblGrid>
        <w:gridCol w:w="2785"/>
        <w:gridCol w:w="2520"/>
        <w:gridCol w:w="2430"/>
        <w:gridCol w:w="2160"/>
      </w:tblGrid>
      <w:tr w:rsidR="005675CB" w:rsidRPr="0069087F" w14:paraId="230A11B1" w14:textId="77777777" w:rsidTr="00E16180">
        <w:tc>
          <w:tcPr>
            <w:tcW w:w="2785" w:type="dxa"/>
            <w:vMerge w:val="restart"/>
            <w:shd w:val="clear" w:color="auto" w:fill="F2F2F2" w:themeFill="background1" w:themeFillShade="F2"/>
          </w:tcPr>
          <w:p w14:paraId="474C67CB" w14:textId="6F5192FE" w:rsidR="005675CB" w:rsidRPr="006273BD" w:rsidRDefault="005675CB" w:rsidP="00E16180">
            <w:pPr>
              <w:spacing w:before="120" w:after="120"/>
              <w:jc w:val="left"/>
              <w:rPr>
                <w:rFonts w:eastAsia="Calibri"/>
                <w:b/>
                <w:sz w:val="18"/>
                <w:szCs w:val="18"/>
              </w:rPr>
            </w:pPr>
            <w:r w:rsidRPr="006273BD">
              <w:rPr>
                <w:rFonts w:eastAsia="Calibri"/>
                <w:b/>
                <w:sz w:val="18"/>
                <w:szCs w:val="18"/>
              </w:rPr>
              <w:t>Item</w:t>
            </w:r>
            <w:r w:rsidR="001D4932" w:rsidRPr="006273BD">
              <w:rPr>
                <w:rFonts w:eastAsia="Calibri"/>
                <w:b/>
                <w:sz w:val="18"/>
                <w:szCs w:val="18"/>
              </w:rPr>
              <w:t xml:space="preserve"> </w:t>
            </w:r>
          </w:p>
        </w:tc>
        <w:tc>
          <w:tcPr>
            <w:tcW w:w="7110" w:type="dxa"/>
            <w:gridSpan w:val="3"/>
            <w:shd w:val="clear" w:color="auto" w:fill="F2F2F2" w:themeFill="background1" w:themeFillShade="F2"/>
          </w:tcPr>
          <w:p w14:paraId="5936B6A7" w14:textId="401C94A3" w:rsidR="005675CB" w:rsidRPr="006273BD" w:rsidRDefault="005675CB" w:rsidP="00E16180">
            <w:pPr>
              <w:spacing w:before="120" w:after="120"/>
              <w:jc w:val="center"/>
              <w:rPr>
                <w:rFonts w:eastAsia="Calibri"/>
                <w:b/>
                <w:sz w:val="18"/>
                <w:szCs w:val="18"/>
              </w:rPr>
            </w:pPr>
            <w:r w:rsidRPr="006273BD">
              <w:rPr>
                <w:rFonts w:eastAsia="Calibri"/>
                <w:b/>
                <w:sz w:val="18"/>
                <w:szCs w:val="18"/>
              </w:rPr>
              <w:t>National, Regional and Continental Levels</w:t>
            </w:r>
            <w:r w:rsidR="001D4932" w:rsidRPr="006273BD">
              <w:rPr>
                <w:rFonts w:eastAsia="Calibri"/>
                <w:b/>
                <w:sz w:val="18"/>
                <w:szCs w:val="18"/>
              </w:rPr>
              <w:t xml:space="preserve"> </w:t>
            </w:r>
          </w:p>
        </w:tc>
      </w:tr>
      <w:tr w:rsidR="005675CB" w:rsidRPr="0069087F" w14:paraId="0922F37C" w14:textId="77777777" w:rsidTr="00E16180">
        <w:tc>
          <w:tcPr>
            <w:tcW w:w="2785" w:type="dxa"/>
            <w:vMerge/>
            <w:shd w:val="clear" w:color="auto" w:fill="F2F2F2" w:themeFill="background1" w:themeFillShade="F2"/>
          </w:tcPr>
          <w:p w14:paraId="545571CA" w14:textId="77777777" w:rsidR="005675CB" w:rsidRPr="006273BD" w:rsidRDefault="005675CB" w:rsidP="00E16180">
            <w:pPr>
              <w:spacing w:before="120" w:after="120"/>
              <w:jc w:val="left"/>
              <w:rPr>
                <w:rFonts w:eastAsia="Calibri"/>
                <w:b/>
                <w:sz w:val="18"/>
                <w:szCs w:val="18"/>
              </w:rPr>
            </w:pPr>
          </w:p>
        </w:tc>
        <w:tc>
          <w:tcPr>
            <w:tcW w:w="2520" w:type="dxa"/>
            <w:shd w:val="clear" w:color="auto" w:fill="F2F2F2" w:themeFill="background1" w:themeFillShade="F2"/>
          </w:tcPr>
          <w:p w14:paraId="6CFB3EF4" w14:textId="27811635" w:rsidR="005675CB" w:rsidRPr="006273BD" w:rsidRDefault="005675CB" w:rsidP="00E16180">
            <w:pPr>
              <w:spacing w:before="120" w:after="120"/>
              <w:jc w:val="left"/>
              <w:rPr>
                <w:rFonts w:eastAsia="Calibri"/>
                <w:b/>
                <w:sz w:val="18"/>
                <w:szCs w:val="18"/>
              </w:rPr>
            </w:pPr>
            <w:r w:rsidRPr="006273BD">
              <w:rPr>
                <w:rFonts w:eastAsia="Calibri"/>
                <w:b/>
                <w:sz w:val="18"/>
                <w:szCs w:val="18"/>
              </w:rPr>
              <w:t>National</w:t>
            </w:r>
            <w:r w:rsidR="001D4932" w:rsidRPr="006273BD">
              <w:rPr>
                <w:rFonts w:eastAsia="Calibri"/>
                <w:b/>
                <w:sz w:val="18"/>
                <w:szCs w:val="18"/>
              </w:rPr>
              <w:t xml:space="preserve"> </w:t>
            </w:r>
          </w:p>
        </w:tc>
        <w:tc>
          <w:tcPr>
            <w:tcW w:w="2430" w:type="dxa"/>
            <w:shd w:val="clear" w:color="auto" w:fill="F2F2F2" w:themeFill="background1" w:themeFillShade="F2"/>
          </w:tcPr>
          <w:p w14:paraId="7DAAF80B" w14:textId="1E3DB384" w:rsidR="005675CB" w:rsidRPr="006273BD" w:rsidRDefault="005675CB" w:rsidP="00E16180">
            <w:pPr>
              <w:spacing w:before="120" w:after="120"/>
              <w:jc w:val="left"/>
              <w:rPr>
                <w:rFonts w:eastAsia="Calibri"/>
                <w:b/>
                <w:sz w:val="18"/>
                <w:szCs w:val="18"/>
              </w:rPr>
            </w:pPr>
            <w:r w:rsidRPr="006273BD">
              <w:rPr>
                <w:rFonts w:eastAsia="Calibri"/>
                <w:b/>
                <w:sz w:val="18"/>
                <w:szCs w:val="18"/>
              </w:rPr>
              <w:t>Regional</w:t>
            </w:r>
            <w:r w:rsidR="001D4932" w:rsidRPr="006273BD">
              <w:rPr>
                <w:rFonts w:eastAsia="Calibri"/>
                <w:b/>
                <w:sz w:val="18"/>
                <w:szCs w:val="18"/>
              </w:rPr>
              <w:t xml:space="preserve"> </w:t>
            </w:r>
          </w:p>
        </w:tc>
        <w:tc>
          <w:tcPr>
            <w:tcW w:w="2160" w:type="dxa"/>
            <w:shd w:val="clear" w:color="auto" w:fill="F2F2F2" w:themeFill="background1" w:themeFillShade="F2"/>
          </w:tcPr>
          <w:p w14:paraId="22FAC34C" w14:textId="237F0835" w:rsidR="005675CB" w:rsidRPr="006273BD" w:rsidRDefault="005675CB" w:rsidP="00E16180">
            <w:pPr>
              <w:spacing w:before="120" w:after="120"/>
              <w:jc w:val="left"/>
              <w:rPr>
                <w:rFonts w:eastAsia="Calibri"/>
                <w:b/>
                <w:sz w:val="18"/>
                <w:szCs w:val="18"/>
              </w:rPr>
            </w:pPr>
            <w:r w:rsidRPr="006273BD">
              <w:rPr>
                <w:rFonts w:eastAsia="Calibri"/>
                <w:b/>
                <w:sz w:val="18"/>
                <w:szCs w:val="18"/>
              </w:rPr>
              <w:t>Continental</w:t>
            </w:r>
            <w:r w:rsidR="001D4932" w:rsidRPr="006273BD">
              <w:rPr>
                <w:rFonts w:eastAsia="Calibri"/>
                <w:b/>
                <w:sz w:val="18"/>
                <w:szCs w:val="18"/>
              </w:rPr>
              <w:t xml:space="preserve"> </w:t>
            </w:r>
          </w:p>
        </w:tc>
      </w:tr>
      <w:tr w:rsidR="005675CB" w:rsidRPr="00316837" w14:paraId="48F51363" w14:textId="77777777" w:rsidTr="00E16180">
        <w:trPr>
          <w:trHeight w:val="1343"/>
        </w:trPr>
        <w:tc>
          <w:tcPr>
            <w:tcW w:w="2785" w:type="dxa"/>
          </w:tcPr>
          <w:p w14:paraId="1CE38A5B" w14:textId="039FE4E6" w:rsidR="005675CB" w:rsidRPr="00316837" w:rsidRDefault="00513A0F" w:rsidP="00E16180">
            <w:pPr>
              <w:spacing w:before="120" w:after="120"/>
              <w:jc w:val="left"/>
              <w:rPr>
                <w:rFonts w:eastAsia="Calibri"/>
                <w:bCs/>
                <w:sz w:val="18"/>
                <w:szCs w:val="18"/>
              </w:rPr>
            </w:pPr>
            <w:r w:rsidRPr="00316837">
              <w:rPr>
                <w:rFonts w:eastAsia="Calibri"/>
                <w:bCs/>
                <w:sz w:val="18"/>
                <w:szCs w:val="18"/>
              </w:rPr>
              <w:t>Overall</w:t>
            </w:r>
            <w:r w:rsidR="00E16180" w:rsidRPr="00316837">
              <w:rPr>
                <w:rFonts w:eastAsia="Calibri"/>
                <w:bCs/>
                <w:sz w:val="18"/>
                <w:szCs w:val="18"/>
              </w:rPr>
              <w:t xml:space="preserve"> </w:t>
            </w:r>
            <w:r w:rsidR="003B66A9">
              <w:rPr>
                <w:rFonts w:eastAsia="Calibri"/>
                <w:bCs/>
                <w:sz w:val="18"/>
                <w:szCs w:val="18"/>
              </w:rPr>
              <w:t>r</w:t>
            </w:r>
            <w:r w:rsidR="005675CB" w:rsidRPr="00316837">
              <w:rPr>
                <w:rFonts w:eastAsia="Calibri"/>
                <w:bCs/>
                <w:sz w:val="18"/>
                <w:szCs w:val="18"/>
              </w:rPr>
              <w:t xml:space="preserve">esponsibility </w:t>
            </w:r>
          </w:p>
        </w:tc>
        <w:tc>
          <w:tcPr>
            <w:tcW w:w="2520" w:type="dxa"/>
          </w:tcPr>
          <w:p w14:paraId="603F8246" w14:textId="4121AE89" w:rsidR="005675CB" w:rsidRPr="00316837" w:rsidRDefault="005675CB" w:rsidP="00E16180">
            <w:pPr>
              <w:spacing w:before="120" w:after="120"/>
              <w:jc w:val="left"/>
              <w:rPr>
                <w:rFonts w:eastAsia="Calibri"/>
                <w:bCs/>
                <w:sz w:val="18"/>
                <w:szCs w:val="18"/>
              </w:rPr>
            </w:pPr>
            <w:r w:rsidRPr="00316837">
              <w:rPr>
                <w:rFonts w:eastAsia="Calibri"/>
                <w:bCs/>
                <w:sz w:val="18"/>
                <w:szCs w:val="18"/>
              </w:rPr>
              <w:t xml:space="preserve">The national level will be responsible for transposing and implementing the Technical and Operational Readiness Guidelines adopted at the continental level by AUC(-DIE) and transposed at the regional level, to the degree required at the national level </w:t>
            </w:r>
          </w:p>
        </w:tc>
        <w:tc>
          <w:tcPr>
            <w:tcW w:w="2430" w:type="dxa"/>
          </w:tcPr>
          <w:p w14:paraId="5EA01B3A" w14:textId="66678283" w:rsidR="005675CB" w:rsidRPr="00316837" w:rsidRDefault="005675CB" w:rsidP="00E16180">
            <w:pPr>
              <w:spacing w:before="120" w:after="120"/>
              <w:jc w:val="left"/>
              <w:rPr>
                <w:rFonts w:eastAsia="Calibri"/>
                <w:bCs/>
                <w:sz w:val="18"/>
                <w:szCs w:val="18"/>
              </w:rPr>
            </w:pPr>
            <w:r w:rsidRPr="00316837">
              <w:rPr>
                <w:rFonts w:eastAsia="Calibri"/>
                <w:bCs/>
                <w:sz w:val="18"/>
                <w:szCs w:val="18"/>
              </w:rPr>
              <w:t xml:space="preserve">The regional level will be responsible for transposing and implementing the Technical and Operational Readiness Guidelines adopted at the continental level by AUC(-DIE), to the degree required at the regional level </w:t>
            </w:r>
          </w:p>
        </w:tc>
        <w:tc>
          <w:tcPr>
            <w:tcW w:w="2160" w:type="dxa"/>
          </w:tcPr>
          <w:p w14:paraId="3F4158B6" w14:textId="2C91BE98" w:rsidR="005675CB" w:rsidRPr="00316837" w:rsidRDefault="005675CB" w:rsidP="00E16180">
            <w:pPr>
              <w:spacing w:before="120" w:after="120"/>
              <w:jc w:val="left"/>
              <w:rPr>
                <w:rFonts w:eastAsia="Calibri"/>
                <w:bCs/>
                <w:sz w:val="18"/>
                <w:szCs w:val="18"/>
              </w:rPr>
            </w:pPr>
            <w:r w:rsidRPr="00316837">
              <w:rPr>
                <w:rFonts w:eastAsia="Calibri"/>
                <w:bCs/>
                <w:sz w:val="18"/>
                <w:szCs w:val="18"/>
              </w:rPr>
              <w:t xml:space="preserve">The continental level will be responsible for developing and adopting effective enabling environment composed of the legal, institutional, technical, and operational frameworks for AfSEM </w:t>
            </w:r>
          </w:p>
        </w:tc>
      </w:tr>
      <w:tr w:rsidR="005675CB" w:rsidRPr="00316837" w14:paraId="713614ED" w14:textId="77777777" w:rsidTr="00E16180">
        <w:trPr>
          <w:trHeight w:val="1343"/>
        </w:trPr>
        <w:tc>
          <w:tcPr>
            <w:tcW w:w="2785" w:type="dxa"/>
          </w:tcPr>
          <w:p w14:paraId="5EF7B991" w14:textId="4A222591" w:rsidR="005675CB" w:rsidRPr="00316837" w:rsidRDefault="00BD4E67" w:rsidP="00E16180">
            <w:pPr>
              <w:spacing w:before="120" w:after="120"/>
              <w:jc w:val="left"/>
              <w:rPr>
                <w:rFonts w:eastAsia="Calibri"/>
                <w:bCs/>
                <w:sz w:val="18"/>
                <w:szCs w:val="18"/>
              </w:rPr>
            </w:pPr>
            <w:r w:rsidRPr="00316837">
              <w:rPr>
                <w:rFonts w:eastAsia="Calibri"/>
                <w:bCs/>
                <w:sz w:val="18"/>
                <w:szCs w:val="18"/>
              </w:rPr>
              <w:t>R</w:t>
            </w:r>
            <w:r w:rsidR="005675CB" w:rsidRPr="00316837">
              <w:rPr>
                <w:rFonts w:eastAsia="Calibri"/>
                <w:bCs/>
                <w:sz w:val="18"/>
                <w:szCs w:val="18"/>
              </w:rPr>
              <w:t>esponsibilit</w:t>
            </w:r>
            <w:r w:rsidRPr="00316837">
              <w:rPr>
                <w:rFonts w:eastAsia="Calibri"/>
                <w:bCs/>
                <w:sz w:val="18"/>
                <w:szCs w:val="18"/>
              </w:rPr>
              <w:t xml:space="preserve">ies: </w:t>
            </w:r>
            <w:r w:rsidR="003B66A9">
              <w:rPr>
                <w:rFonts w:eastAsia="Calibri"/>
                <w:bCs/>
                <w:sz w:val="18"/>
                <w:szCs w:val="18"/>
              </w:rPr>
              <w:t>n</w:t>
            </w:r>
            <w:r w:rsidRPr="00316837">
              <w:rPr>
                <w:rFonts w:eastAsia="Calibri"/>
                <w:bCs/>
                <w:sz w:val="18"/>
                <w:szCs w:val="18"/>
              </w:rPr>
              <w:t xml:space="preserve">ational, </w:t>
            </w:r>
            <w:r w:rsidR="003B66A9">
              <w:rPr>
                <w:rFonts w:eastAsia="Calibri"/>
                <w:bCs/>
                <w:sz w:val="18"/>
                <w:szCs w:val="18"/>
              </w:rPr>
              <w:t>r</w:t>
            </w:r>
            <w:r w:rsidRPr="00316837">
              <w:rPr>
                <w:rFonts w:eastAsia="Calibri"/>
                <w:bCs/>
                <w:sz w:val="18"/>
                <w:szCs w:val="18"/>
              </w:rPr>
              <w:t xml:space="preserve">egional and </w:t>
            </w:r>
            <w:r w:rsidR="003B66A9">
              <w:rPr>
                <w:rFonts w:eastAsia="Calibri"/>
                <w:bCs/>
                <w:sz w:val="18"/>
                <w:szCs w:val="18"/>
              </w:rPr>
              <w:t>c</w:t>
            </w:r>
            <w:r w:rsidRPr="00316837">
              <w:rPr>
                <w:rFonts w:eastAsia="Calibri"/>
                <w:bCs/>
                <w:sz w:val="18"/>
                <w:szCs w:val="18"/>
              </w:rPr>
              <w:t>ontinental</w:t>
            </w:r>
            <w:r w:rsidR="005675CB" w:rsidRPr="00316837">
              <w:rPr>
                <w:rFonts w:eastAsia="Calibri"/>
                <w:bCs/>
                <w:sz w:val="18"/>
                <w:szCs w:val="18"/>
              </w:rPr>
              <w:t xml:space="preserve"> </w:t>
            </w:r>
          </w:p>
        </w:tc>
        <w:tc>
          <w:tcPr>
            <w:tcW w:w="2520" w:type="dxa"/>
          </w:tcPr>
          <w:p w14:paraId="6096D307" w14:textId="6F710F8F" w:rsidR="005675CB" w:rsidRPr="00316837" w:rsidRDefault="005675CB" w:rsidP="00E16180">
            <w:pPr>
              <w:spacing w:before="120" w:after="120"/>
              <w:jc w:val="left"/>
              <w:rPr>
                <w:rFonts w:eastAsia="Calibri"/>
                <w:bCs/>
                <w:sz w:val="18"/>
                <w:szCs w:val="18"/>
              </w:rPr>
            </w:pPr>
            <w:r w:rsidRPr="00316837">
              <w:rPr>
                <w:rFonts w:eastAsia="Calibri"/>
                <w:bCs/>
                <w:sz w:val="18"/>
                <w:szCs w:val="18"/>
              </w:rPr>
              <w:t xml:space="preserve">The responsibility for transposing and implementing these Guidelines will lie with governments, the national TSOs/electricity utilities, and the national regulatory authorities </w:t>
            </w:r>
          </w:p>
        </w:tc>
        <w:tc>
          <w:tcPr>
            <w:tcW w:w="2430" w:type="dxa"/>
          </w:tcPr>
          <w:p w14:paraId="152AAE34" w14:textId="41287C34" w:rsidR="005675CB" w:rsidRPr="00316837" w:rsidRDefault="005675CB" w:rsidP="00E16180">
            <w:pPr>
              <w:spacing w:before="120" w:after="120"/>
              <w:jc w:val="left"/>
              <w:rPr>
                <w:rFonts w:eastAsia="Calibri"/>
                <w:bCs/>
                <w:sz w:val="18"/>
                <w:szCs w:val="18"/>
              </w:rPr>
            </w:pPr>
            <w:r w:rsidRPr="00316837">
              <w:rPr>
                <w:rFonts w:eastAsia="Calibri"/>
                <w:bCs/>
                <w:sz w:val="18"/>
                <w:szCs w:val="18"/>
              </w:rPr>
              <w:t xml:space="preserve">The responsibility for transposing and implementing these Guidelines will lie with RECs, Power Pools, and the regional regulatory authorities/associations </w:t>
            </w:r>
          </w:p>
        </w:tc>
        <w:tc>
          <w:tcPr>
            <w:tcW w:w="2160" w:type="dxa"/>
          </w:tcPr>
          <w:p w14:paraId="2169C1A2" w14:textId="6B9C4692" w:rsidR="005675CB" w:rsidRPr="00316837" w:rsidRDefault="005675CB" w:rsidP="00E16180">
            <w:pPr>
              <w:spacing w:before="120" w:after="120"/>
              <w:jc w:val="left"/>
              <w:rPr>
                <w:rFonts w:eastAsia="Calibri"/>
                <w:bCs/>
                <w:sz w:val="18"/>
                <w:szCs w:val="18"/>
              </w:rPr>
            </w:pPr>
            <w:r w:rsidRPr="00316837">
              <w:rPr>
                <w:rFonts w:eastAsia="Calibri"/>
                <w:bCs/>
                <w:sz w:val="18"/>
                <w:szCs w:val="18"/>
              </w:rPr>
              <w:t xml:space="preserve">The responsibility for developing and adopting these frameworks will lie with AUC(-DIE) </w:t>
            </w:r>
          </w:p>
        </w:tc>
      </w:tr>
      <w:tr w:rsidR="005675CB" w:rsidRPr="00316837" w14:paraId="0B266FE3" w14:textId="77777777" w:rsidTr="00E16180">
        <w:trPr>
          <w:trHeight w:val="1343"/>
        </w:trPr>
        <w:tc>
          <w:tcPr>
            <w:tcW w:w="2785" w:type="dxa"/>
          </w:tcPr>
          <w:p w14:paraId="03CBCE90" w14:textId="1B081B79" w:rsidR="005675CB" w:rsidRPr="00316837" w:rsidRDefault="005675CB" w:rsidP="00E16180">
            <w:pPr>
              <w:spacing w:before="120" w:after="120"/>
              <w:jc w:val="left"/>
              <w:rPr>
                <w:rFonts w:eastAsia="Calibri"/>
                <w:bCs/>
                <w:sz w:val="18"/>
                <w:szCs w:val="18"/>
              </w:rPr>
            </w:pPr>
            <w:r w:rsidRPr="00316837">
              <w:rPr>
                <w:rFonts w:eastAsia="Calibri"/>
                <w:bCs/>
                <w:sz w:val="18"/>
                <w:szCs w:val="18"/>
              </w:rPr>
              <w:t xml:space="preserve">Actions </w:t>
            </w:r>
            <w:r w:rsidR="003B66A9">
              <w:rPr>
                <w:rFonts w:eastAsia="Calibri"/>
                <w:bCs/>
                <w:sz w:val="18"/>
                <w:szCs w:val="18"/>
              </w:rPr>
              <w:t>r</w:t>
            </w:r>
            <w:r w:rsidR="00BD4E67" w:rsidRPr="00316837">
              <w:rPr>
                <w:rFonts w:eastAsia="Calibri"/>
                <w:bCs/>
                <w:sz w:val="18"/>
                <w:szCs w:val="18"/>
              </w:rPr>
              <w:t>equired</w:t>
            </w:r>
          </w:p>
        </w:tc>
        <w:tc>
          <w:tcPr>
            <w:tcW w:w="2520" w:type="dxa"/>
          </w:tcPr>
          <w:p w14:paraId="0F09BEF7" w14:textId="4169736D" w:rsidR="005675CB" w:rsidRPr="00316837" w:rsidRDefault="005675CB" w:rsidP="005675CB">
            <w:pPr>
              <w:spacing w:before="120" w:after="120"/>
              <w:jc w:val="left"/>
              <w:rPr>
                <w:rFonts w:eastAsia="Calibri"/>
                <w:bCs/>
                <w:sz w:val="18"/>
                <w:szCs w:val="18"/>
              </w:rPr>
            </w:pPr>
            <w:r w:rsidRPr="00316837">
              <w:rPr>
                <w:rFonts w:eastAsia="Calibri"/>
                <w:bCs/>
                <w:sz w:val="18"/>
                <w:szCs w:val="18"/>
              </w:rPr>
              <w:t xml:space="preserve">Ensure the transposition and adaptation of the Technical and Operational Guidelines adopted at the continental and regional levels, into the national regulatory and technical documents and rules, to the extent required at the national level </w:t>
            </w:r>
          </w:p>
          <w:p w14:paraId="03EFC022" w14:textId="6604CE6F" w:rsidR="005675CB" w:rsidRPr="00316837" w:rsidRDefault="005675CB" w:rsidP="005675CB">
            <w:pPr>
              <w:spacing w:before="120" w:after="120"/>
              <w:jc w:val="left"/>
              <w:rPr>
                <w:rFonts w:eastAsia="Calibri"/>
                <w:bCs/>
                <w:sz w:val="18"/>
                <w:szCs w:val="18"/>
              </w:rPr>
            </w:pPr>
            <w:r w:rsidRPr="00316837">
              <w:rPr>
                <w:rFonts w:eastAsia="Calibri"/>
                <w:bCs/>
                <w:sz w:val="18"/>
                <w:szCs w:val="18"/>
              </w:rPr>
              <w:t xml:space="preserve">Enforce the Technical and Operational Readiness Guidelines and underlying principles to the degree to which it falls within the competence of the national regulatory authorities and </w:t>
            </w:r>
            <w:r w:rsidRPr="00316837">
              <w:rPr>
                <w:rFonts w:eastAsia="Calibri"/>
                <w:bCs/>
                <w:sz w:val="18"/>
                <w:szCs w:val="18"/>
              </w:rPr>
              <w:lastRenderedPageBreak/>
              <w:t xml:space="preserve">the national TSOs/electricity utilities </w:t>
            </w:r>
          </w:p>
          <w:p w14:paraId="3CC00BCE" w14:textId="5B6AAEAC" w:rsidR="005675CB" w:rsidRPr="00316837" w:rsidRDefault="005675CB" w:rsidP="005675CB">
            <w:pPr>
              <w:spacing w:before="120" w:after="120"/>
              <w:jc w:val="left"/>
              <w:rPr>
                <w:rFonts w:eastAsia="Calibri"/>
                <w:bCs/>
                <w:sz w:val="18"/>
                <w:szCs w:val="18"/>
              </w:rPr>
            </w:pPr>
            <w:r w:rsidRPr="00316837">
              <w:rPr>
                <w:rFonts w:eastAsia="Calibri"/>
                <w:bCs/>
                <w:sz w:val="18"/>
                <w:szCs w:val="18"/>
              </w:rPr>
              <w:t>Report progress in transposition of and compliance with the Technical and Operational Readiness Guidelines to RECs, Power Pools and the regional regulatory authorities/associations, for onward transmission to AUC(-DIE).</w:t>
            </w:r>
            <w:r w:rsidR="001D4932" w:rsidRPr="00316837">
              <w:rPr>
                <w:rFonts w:eastAsia="Calibri"/>
                <w:bCs/>
                <w:sz w:val="18"/>
                <w:szCs w:val="18"/>
              </w:rPr>
              <w:t xml:space="preserve"> </w:t>
            </w:r>
          </w:p>
        </w:tc>
        <w:tc>
          <w:tcPr>
            <w:tcW w:w="2430" w:type="dxa"/>
          </w:tcPr>
          <w:p w14:paraId="5778E2D1" w14:textId="53A2E887" w:rsidR="005675CB" w:rsidRPr="00316837" w:rsidRDefault="005675CB" w:rsidP="005675CB">
            <w:pPr>
              <w:spacing w:before="120" w:after="120"/>
              <w:jc w:val="left"/>
              <w:rPr>
                <w:rFonts w:eastAsia="Calibri"/>
                <w:bCs/>
                <w:sz w:val="18"/>
                <w:szCs w:val="18"/>
              </w:rPr>
            </w:pPr>
            <w:r w:rsidRPr="00316837">
              <w:rPr>
                <w:rFonts w:eastAsia="Calibri"/>
                <w:bCs/>
                <w:sz w:val="18"/>
                <w:szCs w:val="18"/>
              </w:rPr>
              <w:lastRenderedPageBreak/>
              <w:t xml:space="preserve">Complete and operationalise the Technical and Operational Readiness Guidelines at the regional level by the appropriate regional institutions such as RECs, Power Pools, regional regulatory authorities /associations, etc. </w:t>
            </w:r>
          </w:p>
          <w:p w14:paraId="53A24923" w14:textId="72D70103" w:rsidR="005675CB" w:rsidRPr="00316837" w:rsidRDefault="005675CB" w:rsidP="005675CB">
            <w:pPr>
              <w:spacing w:before="120" w:after="120"/>
              <w:jc w:val="left"/>
              <w:rPr>
                <w:rFonts w:eastAsia="Calibri"/>
                <w:bCs/>
                <w:sz w:val="18"/>
                <w:szCs w:val="18"/>
              </w:rPr>
            </w:pPr>
            <w:r w:rsidRPr="00316837">
              <w:rPr>
                <w:rFonts w:eastAsia="Calibri"/>
                <w:bCs/>
                <w:sz w:val="18"/>
                <w:szCs w:val="18"/>
              </w:rPr>
              <w:t xml:space="preserve">Transpose to the degree required at the regional level, the Technical and Operational Readiness Guidelines that have been adopted by AUC(-DIE) </w:t>
            </w:r>
          </w:p>
          <w:p w14:paraId="13DC9C0F" w14:textId="773F2FC2" w:rsidR="005675CB" w:rsidRPr="00316837" w:rsidRDefault="005675CB" w:rsidP="005675CB">
            <w:pPr>
              <w:spacing w:before="120" w:after="120"/>
              <w:jc w:val="left"/>
              <w:rPr>
                <w:rFonts w:eastAsia="Calibri"/>
                <w:bCs/>
                <w:sz w:val="18"/>
                <w:szCs w:val="18"/>
              </w:rPr>
            </w:pPr>
            <w:r w:rsidRPr="00316837">
              <w:rPr>
                <w:rFonts w:eastAsia="Calibri"/>
                <w:bCs/>
                <w:sz w:val="18"/>
                <w:szCs w:val="18"/>
              </w:rPr>
              <w:lastRenderedPageBreak/>
              <w:t xml:space="preserve">Monitor the transposition of and compliance with the Technical and Operational Readiness Guidelines at the national level within each Power Pool or REC </w:t>
            </w:r>
          </w:p>
          <w:p w14:paraId="115BA4D9" w14:textId="324853D9" w:rsidR="005675CB" w:rsidRPr="00316837" w:rsidRDefault="005675CB" w:rsidP="005675CB">
            <w:pPr>
              <w:spacing w:before="120" w:after="120"/>
              <w:jc w:val="left"/>
              <w:rPr>
                <w:rFonts w:eastAsia="Calibri"/>
                <w:bCs/>
                <w:sz w:val="18"/>
                <w:szCs w:val="18"/>
              </w:rPr>
            </w:pPr>
            <w:r w:rsidRPr="00316837">
              <w:rPr>
                <w:rFonts w:eastAsia="Calibri"/>
                <w:bCs/>
                <w:sz w:val="18"/>
                <w:szCs w:val="18"/>
              </w:rPr>
              <w:t xml:space="preserve">Report progress regarding implementation and compliance with the Technical and Operational Readiness Guidelines at the regional and national levels to AUC(-DIE) </w:t>
            </w:r>
          </w:p>
          <w:p w14:paraId="2E91BF18" w14:textId="003056DA" w:rsidR="005675CB" w:rsidRPr="00316837" w:rsidRDefault="005675CB" w:rsidP="005675CB">
            <w:pPr>
              <w:spacing w:before="120" w:after="120"/>
              <w:jc w:val="left"/>
              <w:rPr>
                <w:rFonts w:eastAsia="Calibri"/>
                <w:bCs/>
                <w:sz w:val="18"/>
                <w:szCs w:val="18"/>
              </w:rPr>
            </w:pPr>
            <w:r w:rsidRPr="00316837">
              <w:rPr>
                <w:rFonts w:eastAsia="Calibri"/>
                <w:bCs/>
                <w:sz w:val="18"/>
                <w:szCs w:val="18"/>
              </w:rPr>
              <w:t xml:space="preserve">Enforce the Technical and Operational Readiness Guidelines at the regional level to the extent that it falls within the competence of the regional regulatory authority/association and the RSMO </w:t>
            </w:r>
          </w:p>
        </w:tc>
        <w:tc>
          <w:tcPr>
            <w:tcW w:w="2160" w:type="dxa"/>
          </w:tcPr>
          <w:p w14:paraId="0DAD87E1" w14:textId="1FDA04B0" w:rsidR="005675CB" w:rsidRPr="00316837" w:rsidRDefault="005675CB" w:rsidP="005675CB">
            <w:pPr>
              <w:spacing w:before="120" w:after="120"/>
              <w:jc w:val="left"/>
              <w:rPr>
                <w:rFonts w:eastAsia="Calibri"/>
                <w:bCs/>
                <w:sz w:val="18"/>
                <w:szCs w:val="18"/>
              </w:rPr>
            </w:pPr>
            <w:r w:rsidRPr="00316837">
              <w:rPr>
                <w:rFonts w:eastAsia="Calibri"/>
                <w:bCs/>
                <w:sz w:val="18"/>
                <w:szCs w:val="18"/>
              </w:rPr>
              <w:lastRenderedPageBreak/>
              <w:t xml:space="preserve">Develop and adopt the legal, technical, operational, and institutional frameworks for AfSEM </w:t>
            </w:r>
          </w:p>
          <w:p w14:paraId="55427FA7" w14:textId="30CB6D75" w:rsidR="005675CB" w:rsidRPr="00316837" w:rsidRDefault="005675CB" w:rsidP="005675CB">
            <w:pPr>
              <w:spacing w:before="120" w:after="120"/>
              <w:jc w:val="left"/>
              <w:rPr>
                <w:rFonts w:eastAsia="Calibri"/>
                <w:bCs/>
                <w:sz w:val="18"/>
                <w:szCs w:val="18"/>
              </w:rPr>
            </w:pPr>
            <w:r w:rsidRPr="00316837">
              <w:rPr>
                <w:rFonts w:eastAsia="Calibri"/>
                <w:bCs/>
                <w:sz w:val="18"/>
                <w:szCs w:val="18"/>
              </w:rPr>
              <w:t xml:space="preserve">Develop and adopt a set of common technical rules and guidelines for AfSEM, to be adopted and implemented at the regional and national levels </w:t>
            </w:r>
          </w:p>
          <w:p w14:paraId="285CCCB8" w14:textId="7B4E4352" w:rsidR="005675CB" w:rsidRPr="00316837" w:rsidRDefault="005675CB" w:rsidP="005675CB">
            <w:pPr>
              <w:spacing w:before="120" w:after="120"/>
              <w:jc w:val="left"/>
              <w:rPr>
                <w:rFonts w:eastAsia="Calibri"/>
                <w:bCs/>
                <w:sz w:val="18"/>
                <w:szCs w:val="18"/>
              </w:rPr>
            </w:pPr>
            <w:r w:rsidRPr="00316837">
              <w:rPr>
                <w:rFonts w:eastAsia="Calibri"/>
                <w:bCs/>
                <w:sz w:val="18"/>
                <w:szCs w:val="18"/>
              </w:rPr>
              <w:t xml:space="preserve">Monitor the compliance with adopted rules at the regional and national levels </w:t>
            </w:r>
          </w:p>
        </w:tc>
      </w:tr>
    </w:tbl>
    <w:p w14:paraId="1F5EF802" w14:textId="68CEE226" w:rsidR="00744D32" w:rsidRPr="00316837" w:rsidRDefault="00744D32" w:rsidP="00744D32">
      <w:pPr>
        <w:pStyle w:val="Heading3"/>
        <w:rPr>
          <w:rFonts w:eastAsia="Calibri"/>
        </w:rPr>
      </w:pPr>
      <w:bookmarkStart w:id="212" w:name="_Toc77260330"/>
      <w:r w:rsidRPr="00316837">
        <w:rPr>
          <w:rFonts w:eastAsia="Calibri"/>
        </w:rPr>
        <w:t>Short-Term (2021-2025)</w:t>
      </w:r>
      <w:bookmarkEnd w:id="212"/>
    </w:p>
    <w:p w14:paraId="445FAD6B" w14:textId="698DBE17" w:rsidR="003A28EB" w:rsidRPr="00681DAA" w:rsidRDefault="003A28EB" w:rsidP="003A28EB">
      <w:pPr>
        <w:rPr>
          <w:rFonts w:eastAsia="Calibri"/>
          <w:szCs w:val="20"/>
        </w:rPr>
      </w:pPr>
      <w:r w:rsidRPr="00316837">
        <w:rPr>
          <w:rFonts w:eastAsia="Calibri"/>
        </w:rPr>
        <w:t xml:space="preserve">The short-term Action Plan identifies the key activities required at the national, regional and continental levels, </w:t>
      </w:r>
      <w:r w:rsidRPr="00316837">
        <w:rPr>
          <w:rFonts w:eastAsia="Calibri"/>
          <w:szCs w:val="20"/>
        </w:rPr>
        <w:t xml:space="preserve">to achieve the Technical and Operational Readiness for cross-border electricity trading (see </w:t>
      </w:r>
      <w:r w:rsidRPr="00681DAA">
        <w:rPr>
          <w:rFonts w:eastAsia="Calibri"/>
          <w:szCs w:val="20"/>
        </w:rPr>
        <w:fldChar w:fldCharType="begin"/>
      </w:r>
      <w:r w:rsidRPr="00316837">
        <w:rPr>
          <w:rFonts w:eastAsia="Calibri"/>
          <w:szCs w:val="20"/>
        </w:rPr>
        <w:instrText xml:space="preserve"> REF _Ref76746900 \h  \* MERGEFORMAT </w:instrText>
      </w:r>
      <w:r w:rsidRPr="00681DAA">
        <w:rPr>
          <w:rFonts w:eastAsia="Calibri"/>
          <w:szCs w:val="20"/>
        </w:rPr>
      </w:r>
      <w:r w:rsidRPr="00681DAA">
        <w:rPr>
          <w:rFonts w:eastAsia="Calibri"/>
          <w:szCs w:val="20"/>
        </w:rPr>
        <w:fldChar w:fldCharType="separate"/>
      </w:r>
      <w:r w:rsidR="00C94CE5" w:rsidRPr="00681DAA">
        <w:rPr>
          <w:szCs w:val="20"/>
        </w:rPr>
        <w:t>Table 7</w:t>
      </w:r>
      <w:r w:rsidR="00C94CE5" w:rsidRPr="00681DAA">
        <w:rPr>
          <w:szCs w:val="20"/>
        </w:rPr>
        <w:noBreakHyphen/>
        <w:t>2</w:t>
      </w:r>
      <w:r w:rsidRPr="00681DAA">
        <w:rPr>
          <w:rFonts w:eastAsia="Calibri"/>
          <w:szCs w:val="20"/>
        </w:rPr>
        <w:fldChar w:fldCharType="end"/>
      </w:r>
      <w:r w:rsidRPr="00654753">
        <w:rPr>
          <w:rFonts w:eastAsia="Calibri"/>
          <w:szCs w:val="20"/>
        </w:rPr>
        <w:t xml:space="preserve">). </w:t>
      </w:r>
    </w:p>
    <w:p w14:paraId="4E457755" w14:textId="2527C193" w:rsidR="003A28EB" w:rsidRPr="00681DAA" w:rsidRDefault="003A28EB" w:rsidP="003A28EB">
      <w:pPr>
        <w:rPr>
          <w:sz w:val="18"/>
          <w:szCs w:val="18"/>
        </w:rPr>
      </w:pPr>
      <w:bookmarkStart w:id="213" w:name="_Ref76746900"/>
      <w:bookmarkStart w:id="214" w:name="_Hlk76985204"/>
      <w:bookmarkStart w:id="215" w:name="_Toc77260259"/>
      <w:r w:rsidRPr="00316837">
        <w:rPr>
          <w:sz w:val="18"/>
          <w:szCs w:val="18"/>
        </w:rPr>
        <w:t xml:space="preserve">Table </w:t>
      </w:r>
      <w:r w:rsidRPr="00681DAA">
        <w:rPr>
          <w:sz w:val="18"/>
          <w:szCs w:val="18"/>
        </w:rPr>
        <w:fldChar w:fldCharType="begin"/>
      </w:r>
      <w:r w:rsidRPr="00316837">
        <w:rPr>
          <w:sz w:val="18"/>
          <w:szCs w:val="18"/>
        </w:rPr>
        <w:instrText xml:space="preserve"> STYLEREF 1 \s </w:instrText>
      </w:r>
      <w:r w:rsidRPr="00681DAA">
        <w:rPr>
          <w:sz w:val="18"/>
          <w:szCs w:val="18"/>
        </w:rPr>
        <w:fldChar w:fldCharType="separate"/>
      </w:r>
      <w:r w:rsidRPr="00681DAA">
        <w:rPr>
          <w:sz w:val="18"/>
          <w:szCs w:val="18"/>
        </w:rPr>
        <w:t>7</w:t>
      </w:r>
      <w:r w:rsidRPr="00681DAA">
        <w:rPr>
          <w:sz w:val="18"/>
          <w:szCs w:val="18"/>
        </w:rPr>
        <w:fldChar w:fldCharType="end"/>
      </w:r>
      <w:r w:rsidRPr="00654753">
        <w:rPr>
          <w:sz w:val="18"/>
          <w:szCs w:val="18"/>
        </w:rPr>
        <w:noBreakHyphen/>
      </w:r>
      <w:r w:rsidRPr="00681DAA">
        <w:rPr>
          <w:sz w:val="18"/>
          <w:szCs w:val="18"/>
        </w:rPr>
        <w:fldChar w:fldCharType="begin"/>
      </w:r>
      <w:r w:rsidRPr="00316837">
        <w:rPr>
          <w:sz w:val="18"/>
          <w:szCs w:val="18"/>
        </w:rPr>
        <w:instrText xml:space="preserve"> SEQ Table \* ARABIC \s 1 </w:instrText>
      </w:r>
      <w:r w:rsidRPr="00681DAA">
        <w:rPr>
          <w:sz w:val="18"/>
          <w:szCs w:val="18"/>
        </w:rPr>
        <w:fldChar w:fldCharType="separate"/>
      </w:r>
      <w:r w:rsidR="00C94CE5" w:rsidRPr="00681DAA">
        <w:rPr>
          <w:sz w:val="18"/>
          <w:szCs w:val="18"/>
        </w:rPr>
        <w:t>2</w:t>
      </w:r>
      <w:r w:rsidRPr="00681DAA">
        <w:rPr>
          <w:sz w:val="18"/>
          <w:szCs w:val="18"/>
        </w:rPr>
        <w:fldChar w:fldCharType="end"/>
      </w:r>
      <w:bookmarkEnd w:id="213"/>
      <w:r w:rsidRPr="00654753">
        <w:rPr>
          <w:sz w:val="18"/>
          <w:szCs w:val="18"/>
        </w:rPr>
        <w:t>: The Short-Term Action Plan</w:t>
      </w:r>
      <w:bookmarkEnd w:id="215"/>
      <w:r w:rsidRPr="00654753">
        <w:rPr>
          <w:sz w:val="18"/>
          <w:szCs w:val="18"/>
        </w:rPr>
        <w:t xml:space="preserve"> </w:t>
      </w:r>
    </w:p>
    <w:tbl>
      <w:tblPr>
        <w:tblStyle w:val="TableGrid"/>
        <w:tblW w:w="9895" w:type="dxa"/>
        <w:tblLook w:val="04A0" w:firstRow="1" w:lastRow="0" w:firstColumn="1" w:lastColumn="0" w:noHBand="0" w:noVBand="1"/>
      </w:tblPr>
      <w:tblGrid>
        <w:gridCol w:w="2775"/>
        <w:gridCol w:w="2516"/>
        <w:gridCol w:w="2427"/>
        <w:gridCol w:w="2177"/>
      </w:tblGrid>
      <w:tr w:rsidR="00F831B1" w:rsidRPr="0069087F" w14:paraId="60C9E4F5" w14:textId="77777777" w:rsidTr="003A28EB">
        <w:tc>
          <w:tcPr>
            <w:tcW w:w="2785" w:type="dxa"/>
            <w:vMerge w:val="restart"/>
            <w:shd w:val="clear" w:color="auto" w:fill="F2F2F2" w:themeFill="background1" w:themeFillShade="F2"/>
          </w:tcPr>
          <w:p w14:paraId="292E8080" w14:textId="26BBD906" w:rsidR="003A28EB" w:rsidRPr="006273BD" w:rsidRDefault="003A28EB" w:rsidP="003A28EB">
            <w:pPr>
              <w:spacing w:before="120" w:after="120"/>
              <w:jc w:val="left"/>
              <w:rPr>
                <w:rFonts w:eastAsia="Calibri"/>
                <w:b/>
                <w:sz w:val="18"/>
                <w:szCs w:val="18"/>
              </w:rPr>
            </w:pPr>
            <w:r w:rsidRPr="006273BD">
              <w:rPr>
                <w:rFonts w:eastAsia="Calibri"/>
                <w:b/>
                <w:sz w:val="18"/>
                <w:szCs w:val="18"/>
              </w:rPr>
              <w:t>Activity</w:t>
            </w:r>
            <w:r w:rsidR="001D4932" w:rsidRPr="006273BD">
              <w:rPr>
                <w:rFonts w:eastAsia="Calibri"/>
                <w:b/>
                <w:sz w:val="18"/>
                <w:szCs w:val="18"/>
              </w:rPr>
              <w:t xml:space="preserve"> </w:t>
            </w:r>
          </w:p>
        </w:tc>
        <w:tc>
          <w:tcPr>
            <w:tcW w:w="7110" w:type="dxa"/>
            <w:gridSpan w:val="3"/>
            <w:shd w:val="clear" w:color="auto" w:fill="F2F2F2" w:themeFill="background1" w:themeFillShade="F2"/>
          </w:tcPr>
          <w:p w14:paraId="7804875D" w14:textId="0F817B2C" w:rsidR="003A28EB" w:rsidRPr="006273BD" w:rsidRDefault="003A28EB" w:rsidP="003A28EB">
            <w:pPr>
              <w:spacing w:before="120" w:after="120"/>
              <w:jc w:val="center"/>
              <w:rPr>
                <w:rFonts w:eastAsia="Calibri"/>
                <w:b/>
                <w:sz w:val="18"/>
                <w:szCs w:val="18"/>
              </w:rPr>
            </w:pPr>
            <w:r w:rsidRPr="006273BD">
              <w:rPr>
                <w:rFonts w:eastAsia="Calibri"/>
                <w:b/>
                <w:sz w:val="18"/>
                <w:szCs w:val="18"/>
              </w:rPr>
              <w:t>National, Regional and Continental Levels</w:t>
            </w:r>
            <w:r w:rsidR="001D4932" w:rsidRPr="006273BD">
              <w:rPr>
                <w:rFonts w:eastAsia="Calibri"/>
                <w:b/>
                <w:sz w:val="18"/>
                <w:szCs w:val="18"/>
              </w:rPr>
              <w:t xml:space="preserve"> </w:t>
            </w:r>
          </w:p>
        </w:tc>
      </w:tr>
      <w:tr w:rsidR="00F831B1" w:rsidRPr="0069087F" w14:paraId="02D12992" w14:textId="77777777" w:rsidTr="003A28EB">
        <w:tc>
          <w:tcPr>
            <w:tcW w:w="2785" w:type="dxa"/>
            <w:vMerge/>
            <w:shd w:val="clear" w:color="auto" w:fill="F2F2F2" w:themeFill="background1" w:themeFillShade="F2"/>
          </w:tcPr>
          <w:p w14:paraId="3C6173AE" w14:textId="77777777" w:rsidR="003A28EB" w:rsidRPr="006273BD" w:rsidRDefault="003A28EB" w:rsidP="003A28EB">
            <w:pPr>
              <w:spacing w:before="120" w:after="120"/>
              <w:jc w:val="left"/>
              <w:rPr>
                <w:rFonts w:eastAsia="Calibri"/>
                <w:b/>
                <w:sz w:val="18"/>
                <w:szCs w:val="18"/>
              </w:rPr>
            </w:pPr>
          </w:p>
        </w:tc>
        <w:tc>
          <w:tcPr>
            <w:tcW w:w="2520" w:type="dxa"/>
            <w:shd w:val="clear" w:color="auto" w:fill="F2F2F2" w:themeFill="background1" w:themeFillShade="F2"/>
          </w:tcPr>
          <w:p w14:paraId="019FAA8A" w14:textId="755EFF1A" w:rsidR="003A28EB" w:rsidRPr="006273BD" w:rsidRDefault="003A28EB" w:rsidP="003A28EB">
            <w:pPr>
              <w:spacing w:before="120" w:after="120"/>
              <w:jc w:val="left"/>
              <w:rPr>
                <w:rFonts w:eastAsia="Calibri"/>
                <w:b/>
                <w:sz w:val="18"/>
                <w:szCs w:val="18"/>
              </w:rPr>
            </w:pPr>
            <w:r w:rsidRPr="006273BD">
              <w:rPr>
                <w:rFonts w:eastAsia="Calibri"/>
                <w:b/>
                <w:sz w:val="18"/>
                <w:szCs w:val="18"/>
              </w:rPr>
              <w:t>National</w:t>
            </w:r>
            <w:r w:rsidR="001D4932" w:rsidRPr="006273BD">
              <w:rPr>
                <w:rFonts w:eastAsia="Calibri"/>
                <w:b/>
                <w:sz w:val="18"/>
                <w:szCs w:val="18"/>
              </w:rPr>
              <w:t xml:space="preserve"> </w:t>
            </w:r>
          </w:p>
        </w:tc>
        <w:tc>
          <w:tcPr>
            <w:tcW w:w="2430" w:type="dxa"/>
            <w:shd w:val="clear" w:color="auto" w:fill="F2F2F2" w:themeFill="background1" w:themeFillShade="F2"/>
          </w:tcPr>
          <w:p w14:paraId="655E18D1" w14:textId="586D8A85" w:rsidR="003A28EB" w:rsidRPr="006273BD" w:rsidRDefault="003A28EB" w:rsidP="003A28EB">
            <w:pPr>
              <w:spacing w:before="120" w:after="120"/>
              <w:jc w:val="left"/>
              <w:rPr>
                <w:rFonts w:eastAsia="Calibri"/>
                <w:b/>
                <w:sz w:val="18"/>
                <w:szCs w:val="18"/>
              </w:rPr>
            </w:pPr>
            <w:r w:rsidRPr="006273BD">
              <w:rPr>
                <w:rFonts w:eastAsia="Calibri"/>
                <w:b/>
                <w:sz w:val="18"/>
                <w:szCs w:val="18"/>
              </w:rPr>
              <w:t>Regional</w:t>
            </w:r>
            <w:r w:rsidR="001D4932" w:rsidRPr="006273BD">
              <w:rPr>
                <w:rFonts w:eastAsia="Calibri"/>
                <w:b/>
                <w:sz w:val="18"/>
                <w:szCs w:val="18"/>
              </w:rPr>
              <w:t xml:space="preserve"> </w:t>
            </w:r>
          </w:p>
        </w:tc>
        <w:tc>
          <w:tcPr>
            <w:tcW w:w="2160" w:type="dxa"/>
            <w:shd w:val="clear" w:color="auto" w:fill="F2F2F2" w:themeFill="background1" w:themeFillShade="F2"/>
          </w:tcPr>
          <w:p w14:paraId="65EAFBF7" w14:textId="7D67F6BD" w:rsidR="003A28EB" w:rsidRPr="006273BD" w:rsidRDefault="003A28EB" w:rsidP="003A28EB">
            <w:pPr>
              <w:spacing w:before="120" w:after="120"/>
              <w:jc w:val="left"/>
              <w:rPr>
                <w:rFonts w:eastAsia="Calibri"/>
                <w:b/>
                <w:sz w:val="18"/>
                <w:szCs w:val="18"/>
              </w:rPr>
            </w:pPr>
            <w:r w:rsidRPr="006273BD">
              <w:rPr>
                <w:rFonts w:eastAsia="Calibri"/>
                <w:b/>
                <w:sz w:val="18"/>
                <w:szCs w:val="18"/>
              </w:rPr>
              <w:t>Continental</w:t>
            </w:r>
            <w:r w:rsidR="001D4932" w:rsidRPr="006273BD">
              <w:rPr>
                <w:rFonts w:eastAsia="Calibri"/>
                <w:b/>
                <w:sz w:val="18"/>
                <w:szCs w:val="18"/>
              </w:rPr>
              <w:t xml:space="preserve"> </w:t>
            </w:r>
          </w:p>
        </w:tc>
      </w:tr>
      <w:tr w:rsidR="00F831B1" w:rsidRPr="00316837" w14:paraId="31308C87" w14:textId="77777777" w:rsidTr="00E16180">
        <w:trPr>
          <w:trHeight w:val="1343"/>
        </w:trPr>
        <w:tc>
          <w:tcPr>
            <w:tcW w:w="2785" w:type="dxa"/>
          </w:tcPr>
          <w:p w14:paraId="2D347CAA" w14:textId="0B75F51B"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Establishment of national and regional institutions/entities in charge of system operation </w:t>
            </w:r>
          </w:p>
        </w:tc>
        <w:tc>
          <w:tcPr>
            <w:tcW w:w="2520" w:type="dxa"/>
          </w:tcPr>
          <w:p w14:paraId="519F4932" w14:textId="7530B9A6"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Establish the national TSOs which are </w:t>
            </w:r>
            <w:r w:rsidRPr="00316837">
              <w:rPr>
                <w:rFonts w:eastAsia="Calibri"/>
                <w:bCs/>
                <w:iCs/>
                <w:sz w:val="18"/>
                <w:szCs w:val="18"/>
              </w:rPr>
              <w:t xml:space="preserve">operationally </w:t>
            </w:r>
            <w:r w:rsidRPr="00316837">
              <w:rPr>
                <w:rFonts w:eastAsia="Calibri"/>
                <w:bCs/>
                <w:sz w:val="18"/>
                <w:szCs w:val="18"/>
              </w:rPr>
              <w:t xml:space="preserve">independent and/or unbundled </w:t>
            </w:r>
          </w:p>
        </w:tc>
        <w:tc>
          <w:tcPr>
            <w:tcW w:w="2430" w:type="dxa"/>
          </w:tcPr>
          <w:p w14:paraId="7B08E569" w14:textId="2C9BA558" w:rsidR="003A28EB" w:rsidRPr="00316837" w:rsidRDefault="003A28EB" w:rsidP="003A28EB">
            <w:pPr>
              <w:spacing w:before="120" w:after="120"/>
              <w:jc w:val="left"/>
              <w:rPr>
                <w:rFonts w:eastAsia="Calibri"/>
                <w:bCs/>
                <w:sz w:val="18"/>
                <w:szCs w:val="18"/>
              </w:rPr>
            </w:pPr>
            <w:r w:rsidRPr="00316837">
              <w:rPr>
                <w:rFonts w:eastAsia="Calibri"/>
                <w:bCs/>
                <w:sz w:val="18"/>
                <w:szCs w:val="18"/>
              </w:rPr>
              <w:t>Establish the Control Area Operators</w:t>
            </w:r>
            <w:r w:rsidR="00A2145D" w:rsidRPr="00316837">
              <w:rPr>
                <w:rFonts w:eastAsia="Calibri"/>
                <w:bCs/>
                <w:sz w:val="18"/>
                <w:szCs w:val="18"/>
              </w:rPr>
              <w:t xml:space="preserve"> within Power Pools </w:t>
            </w:r>
          </w:p>
          <w:p w14:paraId="1CE65BFE" w14:textId="395D318B"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Establish </w:t>
            </w:r>
            <w:r w:rsidR="00A2145D" w:rsidRPr="00316837">
              <w:rPr>
                <w:rFonts w:eastAsia="Calibri"/>
                <w:bCs/>
                <w:sz w:val="18"/>
                <w:szCs w:val="18"/>
              </w:rPr>
              <w:t xml:space="preserve">the </w:t>
            </w:r>
            <w:r w:rsidRPr="00316837">
              <w:rPr>
                <w:rFonts w:eastAsia="Calibri"/>
                <w:bCs/>
                <w:sz w:val="18"/>
                <w:szCs w:val="18"/>
              </w:rPr>
              <w:t>RSMOs</w:t>
            </w:r>
            <w:r w:rsidR="00A2145D" w:rsidRPr="00316837">
              <w:rPr>
                <w:rFonts w:eastAsia="Calibri"/>
                <w:bCs/>
                <w:sz w:val="18"/>
                <w:szCs w:val="18"/>
              </w:rPr>
              <w:t xml:space="preserve"> from the Information and Coordination Centres of Power Pools </w:t>
            </w:r>
          </w:p>
        </w:tc>
        <w:tc>
          <w:tcPr>
            <w:tcW w:w="2160" w:type="dxa"/>
          </w:tcPr>
          <w:p w14:paraId="4C63F165" w14:textId="77777777" w:rsidR="003A28EB" w:rsidRPr="00316837" w:rsidRDefault="003A28EB" w:rsidP="003A28EB">
            <w:pPr>
              <w:spacing w:before="120" w:after="120"/>
              <w:jc w:val="left"/>
              <w:rPr>
                <w:rFonts w:eastAsia="Calibri"/>
                <w:bCs/>
                <w:sz w:val="18"/>
                <w:szCs w:val="18"/>
              </w:rPr>
            </w:pPr>
          </w:p>
        </w:tc>
      </w:tr>
      <w:bookmarkEnd w:id="214"/>
      <w:tr w:rsidR="00F831B1" w:rsidRPr="00316837" w14:paraId="7837DC93" w14:textId="77777777" w:rsidTr="00E16180">
        <w:tc>
          <w:tcPr>
            <w:tcW w:w="2785" w:type="dxa"/>
          </w:tcPr>
          <w:p w14:paraId="2E8BF2E8" w14:textId="6CF6CBD8"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Establishment of dispatch and system control centres with ICT capabilities in the national TSOs, the Control Area Operators, and the RSMOs </w:t>
            </w:r>
          </w:p>
        </w:tc>
        <w:tc>
          <w:tcPr>
            <w:tcW w:w="2520" w:type="dxa"/>
          </w:tcPr>
          <w:p w14:paraId="49F27C48" w14:textId="37000A3C"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Equip and upgrade the national dispatch and system control centres with modern ICT capabilities, to </w:t>
            </w:r>
            <w:r w:rsidR="00A2145D" w:rsidRPr="00316837">
              <w:rPr>
                <w:rFonts w:eastAsia="Calibri"/>
                <w:bCs/>
                <w:sz w:val="18"/>
                <w:szCs w:val="18"/>
              </w:rPr>
              <w:t>enable market participants t</w:t>
            </w:r>
            <w:r w:rsidRPr="00316837">
              <w:rPr>
                <w:rFonts w:eastAsia="Calibri"/>
                <w:bCs/>
                <w:sz w:val="18"/>
                <w:szCs w:val="18"/>
              </w:rPr>
              <w:t xml:space="preserve">o participate in the </w:t>
            </w:r>
            <w:r w:rsidR="00A2145D" w:rsidRPr="00316837">
              <w:rPr>
                <w:rFonts w:eastAsia="Calibri"/>
                <w:bCs/>
                <w:sz w:val="18"/>
                <w:szCs w:val="18"/>
              </w:rPr>
              <w:t xml:space="preserve">national and </w:t>
            </w:r>
            <w:r w:rsidRPr="00316837">
              <w:rPr>
                <w:rFonts w:eastAsia="Calibri"/>
                <w:bCs/>
                <w:sz w:val="18"/>
                <w:szCs w:val="18"/>
              </w:rPr>
              <w:t>regional electricity market</w:t>
            </w:r>
            <w:r w:rsidR="00A2145D" w:rsidRPr="00316837">
              <w:rPr>
                <w:rFonts w:eastAsia="Calibri"/>
                <w:bCs/>
                <w:sz w:val="18"/>
                <w:szCs w:val="18"/>
              </w:rPr>
              <w:t>s</w:t>
            </w:r>
            <w:r w:rsidRPr="00316837">
              <w:rPr>
                <w:rFonts w:eastAsia="Calibri"/>
                <w:bCs/>
                <w:sz w:val="18"/>
                <w:szCs w:val="18"/>
              </w:rPr>
              <w:t xml:space="preserve"> </w:t>
            </w:r>
          </w:p>
        </w:tc>
        <w:tc>
          <w:tcPr>
            <w:tcW w:w="2430" w:type="dxa"/>
          </w:tcPr>
          <w:p w14:paraId="1E599F76" w14:textId="47426528"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Implement functional </w:t>
            </w:r>
            <w:r w:rsidR="00A2145D" w:rsidRPr="00316837">
              <w:rPr>
                <w:rFonts w:eastAsia="Calibri"/>
                <w:bCs/>
                <w:sz w:val="18"/>
                <w:szCs w:val="18"/>
              </w:rPr>
              <w:t xml:space="preserve">Control </w:t>
            </w:r>
            <w:r w:rsidRPr="00316837">
              <w:rPr>
                <w:rFonts w:eastAsia="Calibri"/>
                <w:bCs/>
                <w:sz w:val="18"/>
                <w:szCs w:val="18"/>
              </w:rPr>
              <w:t xml:space="preserve">Area </w:t>
            </w:r>
            <w:r w:rsidR="00A2145D" w:rsidRPr="00316837">
              <w:rPr>
                <w:rFonts w:eastAsia="Calibri"/>
                <w:bCs/>
                <w:sz w:val="18"/>
                <w:szCs w:val="18"/>
              </w:rPr>
              <w:t>Operators with adequate control c</w:t>
            </w:r>
            <w:r w:rsidRPr="00316837">
              <w:rPr>
                <w:rFonts w:eastAsia="Calibri"/>
                <w:bCs/>
                <w:sz w:val="18"/>
                <w:szCs w:val="18"/>
              </w:rPr>
              <w:t xml:space="preserve">entres to link </w:t>
            </w:r>
            <w:r w:rsidR="00A2145D" w:rsidRPr="00316837">
              <w:rPr>
                <w:rFonts w:eastAsia="Calibri"/>
                <w:bCs/>
                <w:sz w:val="18"/>
                <w:szCs w:val="18"/>
              </w:rPr>
              <w:t xml:space="preserve">the national </w:t>
            </w:r>
            <w:r w:rsidRPr="00316837">
              <w:rPr>
                <w:rFonts w:eastAsia="Calibri"/>
                <w:bCs/>
                <w:sz w:val="18"/>
                <w:szCs w:val="18"/>
              </w:rPr>
              <w:t xml:space="preserve">TSOs dispatch and control centres with the </w:t>
            </w:r>
            <w:r w:rsidR="00A2145D" w:rsidRPr="00316837">
              <w:rPr>
                <w:rFonts w:eastAsia="Calibri"/>
                <w:bCs/>
                <w:sz w:val="18"/>
                <w:szCs w:val="18"/>
              </w:rPr>
              <w:t>RSMOs c</w:t>
            </w:r>
            <w:r w:rsidRPr="00316837">
              <w:rPr>
                <w:rFonts w:eastAsia="Calibri"/>
                <w:bCs/>
                <w:sz w:val="18"/>
                <w:szCs w:val="18"/>
              </w:rPr>
              <w:t xml:space="preserve">oordination </w:t>
            </w:r>
            <w:r w:rsidR="00A2145D" w:rsidRPr="00316837">
              <w:rPr>
                <w:rFonts w:eastAsia="Calibri"/>
                <w:bCs/>
                <w:sz w:val="18"/>
                <w:szCs w:val="18"/>
              </w:rPr>
              <w:t>c</w:t>
            </w:r>
            <w:r w:rsidRPr="00316837">
              <w:rPr>
                <w:rFonts w:eastAsia="Calibri"/>
                <w:bCs/>
                <w:sz w:val="18"/>
                <w:szCs w:val="18"/>
              </w:rPr>
              <w:t>entres</w:t>
            </w:r>
            <w:r w:rsidR="00A2145D" w:rsidRPr="00316837">
              <w:rPr>
                <w:rFonts w:eastAsia="Calibri"/>
                <w:bCs/>
                <w:sz w:val="18"/>
                <w:szCs w:val="18"/>
              </w:rPr>
              <w:t xml:space="preserve"> </w:t>
            </w:r>
          </w:p>
          <w:p w14:paraId="0E6BF57E" w14:textId="592F8A31" w:rsidR="00A2145D" w:rsidRPr="00316837" w:rsidRDefault="00A2145D" w:rsidP="003A28EB">
            <w:pPr>
              <w:spacing w:before="120" w:after="120"/>
              <w:jc w:val="left"/>
              <w:rPr>
                <w:rFonts w:eastAsia="Calibri"/>
                <w:bCs/>
                <w:sz w:val="18"/>
                <w:szCs w:val="18"/>
              </w:rPr>
            </w:pPr>
            <w:r w:rsidRPr="00316837">
              <w:rPr>
                <w:rFonts w:eastAsia="Calibri"/>
                <w:bCs/>
                <w:sz w:val="18"/>
                <w:szCs w:val="18"/>
              </w:rPr>
              <w:t xml:space="preserve">Implement fully functional RSMOs with adequate coordination centres </w:t>
            </w:r>
          </w:p>
        </w:tc>
        <w:tc>
          <w:tcPr>
            <w:tcW w:w="2160" w:type="dxa"/>
          </w:tcPr>
          <w:p w14:paraId="5EB59C3E" w14:textId="77777777" w:rsidR="003A28EB" w:rsidRPr="00316837" w:rsidRDefault="003A28EB" w:rsidP="003A28EB">
            <w:pPr>
              <w:spacing w:before="120" w:after="120"/>
              <w:jc w:val="left"/>
              <w:rPr>
                <w:rFonts w:eastAsia="Calibri"/>
                <w:bCs/>
                <w:sz w:val="18"/>
                <w:szCs w:val="18"/>
              </w:rPr>
            </w:pPr>
          </w:p>
        </w:tc>
      </w:tr>
      <w:tr w:rsidR="00F831B1" w:rsidRPr="00316837" w14:paraId="35957D18" w14:textId="77777777" w:rsidTr="00E16180">
        <w:tc>
          <w:tcPr>
            <w:tcW w:w="2785" w:type="dxa"/>
          </w:tcPr>
          <w:p w14:paraId="1215DC61" w14:textId="4A6C4A14" w:rsidR="00A2145D" w:rsidRPr="00316837" w:rsidRDefault="003A28EB" w:rsidP="003A28EB">
            <w:pPr>
              <w:spacing w:before="120" w:after="120"/>
              <w:jc w:val="left"/>
              <w:rPr>
                <w:rFonts w:eastAsia="Calibri"/>
                <w:bCs/>
                <w:sz w:val="18"/>
                <w:szCs w:val="18"/>
              </w:rPr>
            </w:pPr>
            <w:r w:rsidRPr="00316837">
              <w:rPr>
                <w:rFonts w:eastAsia="Calibri"/>
                <w:bCs/>
                <w:sz w:val="18"/>
                <w:szCs w:val="18"/>
              </w:rPr>
              <w:t xml:space="preserve">Generation and </w:t>
            </w:r>
            <w:r w:rsidR="00A2145D" w:rsidRPr="00316837">
              <w:rPr>
                <w:rFonts w:eastAsia="Calibri"/>
                <w:bCs/>
                <w:sz w:val="18"/>
                <w:szCs w:val="18"/>
              </w:rPr>
              <w:t>t</w:t>
            </w:r>
            <w:r w:rsidRPr="00316837">
              <w:rPr>
                <w:rFonts w:eastAsia="Calibri"/>
                <w:bCs/>
                <w:sz w:val="18"/>
                <w:szCs w:val="18"/>
              </w:rPr>
              <w:t xml:space="preserve">ransmission </w:t>
            </w:r>
            <w:r w:rsidR="00A2145D" w:rsidRPr="00316837">
              <w:rPr>
                <w:rFonts w:eastAsia="Calibri"/>
                <w:bCs/>
                <w:sz w:val="18"/>
                <w:szCs w:val="18"/>
              </w:rPr>
              <w:t>s</w:t>
            </w:r>
            <w:r w:rsidRPr="00316837">
              <w:rPr>
                <w:rFonts w:eastAsia="Calibri"/>
                <w:bCs/>
                <w:sz w:val="18"/>
                <w:szCs w:val="18"/>
              </w:rPr>
              <w:t>ystem adequacy</w:t>
            </w:r>
            <w:r w:rsidR="00A2145D" w:rsidRPr="00316837">
              <w:rPr>
                <w:rFonts w:eastAsia="Calibri"/>
                <w:bCs/>
                <w:sz w:val="18"/>
                <w:szCs w:val="18"/>
              </w:rPr>
              <w:t xml:space="preserve"> </w:t>
            </w:r>
          </w:p>
        </w:tc>
        <w:tc>
          <w:tcPr>
            <w:tcW w:w="2520" w:type="dxa"/>
          </w:tcPr>
          <w:p w14:paraId="6BB43B25" w14:textId="1BB13850" w:rsidR="003A28EB" w:rsidRPr="00316837" w:rsidRDefault="00A2145D" w:rsidP="003A28EB">
            <w:pPr>
              <w:spacing w:before="120" w:after="120"/>
              <w:jc w:val="left"/>
              <w:rPr>
                <w:rFonts w:eastAsia="Calibri"/>
                <w:bCs/>
                <w:sz w:val="18"/>
                <w:szCs w:val="18"/>
              </w:rPr>
            </w:pPr>
            <w:r w:rsidRPr="00316837">
              <w:rPr>
                <w:rFonts w:eastAsia="Calibri"/>
                <w:bCs/>
                <w:sz w:val="18"/>
                <w:szCs w:val="18"/>
              </w:rPr>
              <w:t>The n</w:t>
            </w:r>
            <w:r w:rsidR="003A28EB" w:rsidRPr="00316837">
              <w:rPr>
                <w:rFonts w:eastAsia="Calibri"/>
                <w:bCs/>
                <w:sz w:val="18"/>
                <w:szCs w:val="18"/>
              </w:rPr>
              <w:t>ational TSOs/</w:t>
            </w:r>
            <w:r w:rsidRPr="00316837">
              <w:rPr>
                <w:rFonts w:eastAsia="Calibri"/>
                <w:bCs/>
                <w:sz w:val="18"/>
                <w:szCs w:val="18"/>
              </w:rPr>
              <w:t>electricity</w:t>
            </w:r>
            <w:r w:rsidR="003A28EB" w:rsidRPr="00316837">
              <w:rPr>
                <w:rFonts w:eastAsia="Calibri"/>
                <w:bCs/>
                <w:sz w:val="18"/>
                <w:szCs w:val="18"/>
              </w:rPr>
              <w:t xml:space="preserve"> utilities and </w:t>
            </w:r>
            <w:r w:rsidRPr="00316837">
              <w:rPr>
                <w:rFonts w:eastAsia="Calibri"/>
                <w:bCs/>
                <w:sz w:val="18"/>
                <w:szCs w:val="18"/>
              </w:rPr>
              <w:t xml:space="preserve">the </w:t>
            </w:r>
            <w:r w:rsidR="003A28EB" w:rsidRPr="00316837">
              <w:rPr>
                <w:rFonts w:eastAsia="Calibri"/>
                <w:bCs/>
                <w:sz w:val="18"/>
                <w:szCs w:val="18"/>
              </w:rPr>
              <w:t xml:space="preserve">national regulatory authorities to collaborate with </w:t>
            </w:r>
            <w:r w:rsidRPr="00316837">
              <w:rPr>
                <w:rFonts w:eastAsia="Calibri"/>
                <w:bCs/>
                <w:sz w:val="18"/>
                <w:szCs w:val="18"/>
              </w:rPr>
              <w:t>P</w:t>
            </w:r>
            <w:r w:rsidR="003A28EB" w:rsidRPr="00316837">
              <w:rPr>
                <w:rFonts w:eastAsia="Calibri"/>
                <w:bCs/>
                <w:sz w:val="18"/>
                <w:szCs w:val="18"/>
              </w:rPr>
              <w:t xml:space="preserve">ower </w:t>
            </w:r>
            <w:r w:rsidRPr="00316837">
              <w:rPr>
                <w:rFonts w:eastAsia="Calibri"/>
                <w:bCs/>
                <w:sz w:val="18"/>
                <w:szCs w:val="18"/>
              </w:rPr>
              <w:t>P</w:t>
            </w:r>
            <w:r w:rsidR="003A28EB" w:rsidRPr="00316837">
              <w:rPr>
                <w:rFonts w:eastAsia="Calibri"/>
                <w:bCs/>
                <w:sz w:val="18"/>
                <w:szCs w:val="18"/>
              </w:rPr>
              <w:t xml:space="preserve">ools and </w:t>
            </w:r>
            <w:r w:rsidRPr="00316837">
              <w:rPr>
                <w:rFonts w:eastAsia="Calibri"/>
                <w:bCs/>
                <w:sz w:val="18"/>
                <w:szCs w:val="18"/>
              </w:rPr>
              <w:t xml:space="preserve">the </w:t>
            </w:r>
            <w:r w:rsidRPr="00316837">
              <w:rPr>
                <w:rFonts w:eastAsia="Calibri"/>
                <w:bCs/>
                <w:sz w:val="18"/>
                <w:szCs w:val="18"/>
              </w:rPr>
              <w:lastRenderedPageBreak/>
              <w:t>regional r</w:t>
            </w:r>
            <w:r w:rsidR="003A28EB" w:rsidRPr="00316837">
              <w:rPr>
                <w:rFonts w:eastAsia="Calibri"/>
                <w:bCs/>
                <w:sz w:val="18"/>
                <w:szCs w:val="18"/>
              </w:rPr>
              <w:t>egulatory authorities</w:t>
            </w:r>
            <w:r w:rsidRPr="00316837">
              <w:rPr>
                <w:rFonts w:eastAsia="Calibri"/>
                <w:bCs/>
                <w:sz w:val="18"/>
                <w:szCs w:val="18"/>
              </w:rPr>
              <w:t>/associations</w:t>
            </w:r>
            <w:r w:rsidR="003A28EB" w:rsidRPr="00316837">
              <w:rPr>
                <w:rFonts w:eastAsia="Calibri"/>
                <w:bCs/>
                <w:sz w:val="18"/>
                <w:szCs w:val="18"/>
              </w:rPr>
              <w:t xml:space="preserve">, for the development of the </w:t>
            </w:r>
            <w:r w:rsidRPr="00316837">
              <w:rPr>
                <w:rFonts w:eastAsia="Calibri"/>
                <w:bCs/>
                <w:sz w:val="18"/>
                <w:szCs w:val="18"/>
              </w:rPr>
              <w:t>National Master Plans in alignment with the R</w:t>
            </w:r>
            <w:r w:rsidR="003A28EB" w:rsidRPr="00316837">
              <w:rPr>
                <w:rFonts w:eastAsia="Calibri"/>
                <w:bCs/>
                <w:sz w:val="18"/>
                <w:szCs w:val="18"/>
              </w:rPr>
              <w:t xml:space="preserve">egional and </w:t>
            </w:r>
            <w:r w:rsidRPr="00316837">
              <w:rPr>
                <w:rFonts w:eastAsia="Calibri"/>
                <w:bCs/>
                <w:sz w:val="18"/>
                <w:szCs w:val="18"/>
              </w:rPr>
              <w:t>C</w:t>
            </w:r>
            <w:r w:rsidR="003A28EB" w:rsidRPr="00316837">
              <w:rPr>
                <w:rFonts w:eastAsia="Calibri"/>
                <w:bCs/>
                <w:sz w:val="18"/>
                <w:szCs w:val="18"/>
              </w:rPr>
              <w:t xml:space="preserve">ontinental </w:t>
            </w:r>
            <w:r w:rsidRPr="00316837">
              <w:rPr>
                <w:rFonts w:eastAsia="Calibri"/>
                <w:bCs/>
                <w:sz w:val="18"/>
                <w:szCs w:val="18"/>
              </w:rPr>
              <w:t>M</w:t>
            </w:r>
            <w:r w:rsidR="003A28EB" w:rsidRPr="00316837">
              <w:rPr>
                <w:rFonts w:eastAsia="Calibri"/>
                <w:bCs/>
                <w:sz w:val="18"/>
                <w:szCs w:val="18"/>
              </w:rPr>
              <w:t>aster</w:t>
            </w:r>
            <w:r w:rsidRPr="00316837">
              <w:rPr>
                <w:rFonts w:eastAsia="Calibri"/>
                <w:bCs/>
                <w:sz w:val="18"/>
                <w:szCs w:val="18"/>
              </w:rPr>
              <w:t xml:space="preserve"> P</w:t>
            </w:r>
            <w:r w:rsidR="003A28EB" w:rsidRPr="00316837">
              <w:rPr>
                <w:rFonts w:eastAsia="Calibri"/>
                <w:bCs/>
                <w:sz w:val="18"/>
                <w:szCs w:val="18"/>
              </w:rPr>
              <w:t xml:space="preserve">lans </w:t>
            </w:r>
          </w:p>
          <w:p w14:paraId="538A60A9" w14:textId="63CB3420" w:rsidR="003A28EB" w:rsidRPr="00316837" w:rsidRDefault="003A28EB" w:rsidP="003A28EB">
            <w:pPr>
              <w:spacing w:before="120" w:after="120"/>
              <w:jc w:val="left"/>
              <w:rPr>
                <w:rFonts w:eastAsia="Calibri"/>
                <w:bCs/>
                <w:sz w:val="18"/>
                <w:szCs w:val="18"/>
              </w:rPr>
            </w:pPr>
            <w:r w:rsidRPr="00316837">
              <w:rPr>
                <w:rFonts w:eastAsia="Calibri"/>
                <w:bCs/>
                <w:sz w:val="18"/>
                <w:szCs w:val="18"/>
              </w:rPr>
              <w:t>Countries to implement the</w:t>
            </w:r>
            <w:r w:rsidR="00A2145D" w:rsidRPr="00316837">
              <w:rPr>
                <w:rFonts w:eastAsia="Calibri"/>
                <w:bCs/>
                <w:sz w:val="18"/>
                <w:szCs w:val="18"/>
              </w:rPr>
              <w:t>ir</w:t>
            </w:r>
            <w:r w:rsidRPr="00316837">
              <w:rPr>
                <w:rFonts w:eastAsia="Calibri"/>
                <w:bCs/>
                <w:sz w:val="18"/>
                <w:szCs w:val="18"/>
              </w:rPr>
              <w:t xml:space="preserve"> </w:t>
            </w:r>
            <w:r w:rsidR="00A2145D" w:rsidRPr="00316837">
              <w:rPr>
                <w:rFonts w:eastAsia="Calibri"/>
                <w:bCs/>
                <w:sz w:val="18"/>
                <w:szCs w:val="18"/>
              </w:rPr>
              <w:t xml:space="preserve">national </w:t>
            </w:r>
            <w:r w:rsidRPr="00316837">
              <w:rPr>
                <w:rFonts w:eastAsia="Calibri"/>
                <w:bCs/>
                <w:sz w:val="18"/>
                <w:szCs w:val="18"/>
              </w:rPr>
              <w:t>TY</w:t>
            </w:r>
            <w:r w:rsidR="00A2145D" w:rsidRPr="00316837">
              <w:rPr>
                <w:rFonts w:eastAsia="Calibri"/>
                <w:bCs/>
                <w:sz w:val="18"/>
                <w:szCs w:val="18"/>
              </w:rPr>
              <w:t>T</w:t>
            </w:r>
            <w:r w:rsidRPr="00316837">
              <w:rPr>
                <w:rFonts w:eastAsia="Calibri"/>
                <w:bCs/>
                <w:sz w:val="18"/>
                <w:szCs w:val="18"/>
              </w:rPr>
              <w:t>NDP</w:t>
            </w:r>
            <w:r w:rsidR="00A2145D" w:rsidRPr="00316837">
              <w:rPr>
                <w:rFonts w:eastAsia="Calibri"/>
                <w:bCs/>
                <w:sz w:val="18"/>
                <w:szCs w:val="18"/>
              </w:rPr>
              <w:t>s</w:t>
            </w:r>
            <w:r w:rsidRPr="00316837">
              <w:rPr>
                <w:rFonts w:eastAsia="Calibri"/>
                <w:bCs/>
                <w:sz w:val="18"/>
                <w:szCs w:val="18"/>
              </w:rPr>
              <w:t xml:space="preserve">, </w:t>
            </w:r>
            <w:r w:rsidR="00A2145D" w:rsidRPr="00316837">
              <w:rPr>
                <w:rFonts w:eastAsia="Calibri"/>
                <w:bCs/>
                <w:sz w:val="18"/>
                <w:szCs w:val="18"/>
              </w:rPr>
              <w:t>aligned with the Regional Master Plans and</w:t>
            </w:r>
            <w:r w:rsidRPr="00316837">
              <w:rPr>
                <w:rFonts w:eastAsia="Calibri"/>
                <w:bCs/>
                <w:sz w:val="18"/>
                <w:szCs w:val="18"/>
              </w:rPr>
              <w:t xml:space="preserve"> the C</w:t>
            </w:r>
            <w:r w:rsidR="00A2145D" w:rsidRPr="00316837">
              <w:rPr>
                <w:rFonts w:eastAsia="Calibri"/>
                <w:bCs/>
                <w:sz w:val="18"/>
                <w:szCs w:val="18"/>
              </w:rPr>
              <w:t xml:space="preserve">ontinental </w:t>
            </w:r>
            <w:r w:rsidRPr="00316837">
              <w:rPr>
                <w:rFonts w:eastAsia="Calibri"/>
                <w:bCs/>
                <w:sz w:val="18"/>
                <w:szCs w:val="18"/>
              </w:rPr>
              <w:t>M</w:t>
            </w:r>
            <w:r w:rsidR="00A2145D" w:rsidRPr="00316837">
              <w:rPr>
                <w:rFonts w:eastAsia="Calibri"/>
                <w:bCs/>
                <w:sz w:val="18"/>
                <w:szCs w:val="18"/>
              </w:rPr>
              <w:t xml:space="preserve">aster </w:t>
            </w:r>
            <w:r w:rsidRPr="00316837">
              <w:rPr>
                <w:rFonts w:eastAsia="Calibri"/>
                <w:bCs/>
                <w:sz w:val="18"/>
                <w:szCs w:val="18"/>
              </w:rPr>
              <w:t>P</w:t>
            </w:r>
            <w:r w:rsidR="00A2145D" w:rsidRPr="00316837">
              <w:rPr>
                <w:rFonts w:eastAsia="Calibri"/>
                <w:bCs/>
                <w:sz w:val="18"/>
                <w:szCs w:val="18"/>
              </w:rPr>
              <w:t>lan</w:t>
            </w:r>
            <w:r w:rsidRPr="00316837">
              <w:rPr>
                <w:rFonts w:eastAsia="Calibri"/>
                <w:bCs/>
                <w:sz w:val="18"/>
                <w:szCs w:val="18"/>
              </w:rPr>
              <w:t xml:space="preserve"> </w:t>
            </w:r>
          </w:p>
        </w:tc>
        <w:tc>
          <w:tcPr>
            <w:tcW w:w="2430" w:type="dxa"/>
          </w:tcPr>
          <w:p w14:paraId="7EAB1120" w14:textId="36753EED" w:rsidR="003A28EB" w:rsidRPr="00316837" w:rsidRDefault="003A28EB" w:rsidP="003A28EB">
            <w:pPr>
              <w:spacing w:before="120" w:after="120"/>
              <w:jc w:val="left"/>
              <w:rPr>
                <w:rFonts w:eastAsia="Calibri"/>
                <w:bCs/>
                <w:sz w:val="18"/>
                <w:szCs w:val="18"/>
              </w:rPr>
            </w:pPr>
            <w:r w:rsidRPr="00316837">
              <w:rPr>
                <w:rFonts w:eastAsia="Calibri"/>
                <w:bCs/>
                <w:sz w:val="18"/>
                <w:szCs w:val="18"/>
              </w:rPr>
              <w:lastRenderedPageBreak/>
              <w:t>RECs, Power Pools, Regional Regulatory Authorities</w:t>
            </w:r>
            <w:r w:rsidR="00A2145D" w:rsidRPr="00316837">
              <w:rPr>
                <w:rFonts w:eastAsia="Calibri"/>
                <w:bCs/>
                <w:sz w:val="18"/>
                <w:szCs w:val="18"/>
              </w:rPr>
              <w:t>/Associations</w:t>
            </w:r>
            <w:r w:rsidRPr="00316837">
              <w:rPr>
                <w:rFonts w:eastAsia="Calibri"/>
                <w:bCs/>
                <w:sz w:val="18"/>
                <w:szCs w:val="18"/>
              </w:rPr>
              <w:t xml:space="preserve"> and other regional institutions, to collaborate </w:t>
            </w:r>
            <w:r w:rsidRPr="00316837">
              <w:rPr>
                <w:rFonts w:eastAsia="Calibri"/>
                <w:bCs/>
                <w:sz w:val="18"/>
                <w:szCs w:val="18"/>
              </w:rPr>
              <w:lastRenderedPageBreak/>
              <w:t xml:space="preserve">with AUDA-NEPAD to develop the </w:t>
            </w:r>
            <w:r w:rsidR="00A2145D" w:rsidRPr="00316837">
              <w:rPr>
                <w:rFonts w:eastAsia="Calibri"/>
                <w:bCs/>
                <w:sz w:val="18"/>
                <w:szCs w:val="18"/>
              </w:rPr>
              <w:t>R</w:t>
            </w:r>
            <w:r w:rsidRPr="00316837">
              <w:rPr>
                <w:rFonts w:eastAsia="Calibri"/>
                <w:bCs/>
                <w:sz w:val="18"/>
                <w:szCs w:val="18"/>
              </w:rPr>
              <w:t>egional and C</w:t>
            </w:r>
            <w:r w:rsidR="00A2145D" w:rsidRPr="00316837">
              <w:rPr>
                <w:rFonts w:eastAsia="Calibri"/>
                <w:bCs/>
                <w:sz w:val="18"/>
                <w:szCs w:val="18"/>
              </w:rPr>
              <w:t xml:space="preserve">ontinental </w:t>
            </w:r>
            <w:r w:rsidRPr="00316837">
              <w:rPr>
                <w:rFonts w:eastAsia="Calibri"/>
                <w:bCs/>
                <w:sz w:val="18"/>
                <w:szCs w:val="18"/>
              </w:rPr>
              <w:t>M</w:t>
            </w:r>
            <w:r w:rsidR="00A2145D" w:rsidRPr="00316837">
              <w:rPr>
                <w:rFonts w:eastAsia="Calibri"/>
                <w:bCs/>
                <w:sz w:val="18"/>
                <w:szCs w:val="18"/>
              </w:rPr>
              <w:t xml:space="preserve">aster </w:t>
            </w:r>
            <w:r w:rsidRPr="00316837">
              <w:rPr>
                <w:rFonts w:eastAsia="Calibri"/>
                <w:bCs/>
                <w:sz w:val="18"/>
                <w:szCs w:val="18"/>
              </w:rPr>
              <w:t>P</w:t>
            </w:r>
            <w:r w:rsidR="00A2145D" w:rsidRPr="00316837">
              <w:rPr>
                <w:rFonts w:eastAsia="Calibri"/>
                <w:bCs/>
                <w:sz w:val="18"/>
                <w:szCs w:val="18"/>
              </w:rPr>
              <w:t xml:space="preserve">lans </w:t>
            </w:r>
          </w:p>
          <w:p w14:paraId="03BD01BF" w14:textId="66D713BB" w:rsidR="003A28EB" w:rsidRPr="00316837" w:rsidRDefault="003A28EB" w:rsidP="003A28EB">
            <w:pPr>
              <w:spacing w:before="120" w:after="120"/>
              <w:jc w:val="left"/>
              <w:rPr>
                <w:rFonts w:eastAsia="Calibri"/>
                <w:bCs/>
                <w:sz w:val="18"/>
                <w:szCs w:val="18"/>
              </w:rPr>
            </w:pPr>
            <w:r w:rsidRPr="00316837">
              <w:rPr>
                <w:rFonts w:eastAsia="Calibri"/>
                <w:bCs/>
                <w:sz w:val="18"/>
                <w:szCs w:val="18"/>
              </w:rPr>
              <w:t>Identify all priority generation and transmission projects from the C</w:t>
            </w:r>
            <w:r w:rsidR="00A2145D" w:rsidRPr="00316837">
              <w:rPr>
                <w:rFonts w:eastAsia="Calibri"/>
                <w:bCs/>
                <w:sz w:val="18"/>
                <w:szCs w:val="18"/>
              </w:rPr>
              <w:t xml:space="preserve">ontinental </w:t>
            </w:r>
            <w:r w:rsidRPr="00316837">
              <w:rPr>
                <w:rFonts w:eastAsia="Calibri"/>
                <w:bCs/>
                <w:sz w:val="18"/>
                <w:szCs w:val="18"/>
              </w:rPr>
              <w:t>M</w:t>
            </w:r>
            <w:r w:rsidR="00A2145D" w:rsidRPr="00316837">
              <w:rPr>
                <w:rFonts w:eastAsia="Calibri"/>
                <w:bCs/>
                <w:sz w:val="18"/>
                <w:szCs w:val="18"/>
              </w:rPr>
              <w:t xml:space="preserve">aster </w:t>
            </w:r>
            <w:r w:rsidRPr="00316837">
              <w:rPr>
                <w:rFonts w:eastAsia="Calibri"/>
                <w:bCs/>
                <w:sz w:val="18"/>
                <w:szCs w:val="18"/>
              </w:rPr>
              <w:t>P</w:t>
            </w:r>
            <w:r w:rsidR="00A2145D" w:rsidRPr="00316837">
              <w:rPr>
                <w:rFonts w:eastAsia="Calibri"/>
                <w:bCs/>
                <w:sz w:val="18"/>
                <w:szCs w:val="18"/>
              </w:rPr>
              <w:t>lan</w:t>
            </w:r>
            <w:r w:rsidRPr="00316837">
              <w:rPr>
                <w:rFonts w:eastAsia="Calibri"/>
                <w:bCs/>
                <w:sz w:val="18"/>
                <w:szCs w:val="18"/>
              </w:rPr>
              <w:t xml:space="preserve"> modelling, for </w:t>
            </w:r>
            <w:r w:rsidR="00A2145D" w:rsidRPr="00316837">
              <w:rPr>
                <w:rFonts w:eastAsia="Calibri"/>
                <w:bCs/>
                <w:sz w:val="18"/>
                <w:szCs w:val="18"/>
              </w:rPr>
              <w:t xml:space="preserve">the AfSEM </w:t>
            </w:r>
            <w:r w:rsidRPr="00316837">
              <w:rPr>
                <w:rFonts w:eastAsia="Calibri"/>
                <w:bCs/>
                <w:sz w:val="18"/>
                <w:szCs w:val="18"/>
              </w:rPr>
              <w:t xml:space="preserve">operationalisation </w:t>
            </w:r>
          </w:p>
          <w:p w14:paraId="04F8BF74" w14:textId="10DCC8CA"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Power Pools to implement the </w:t>
            </w:r>
            <w:r w:rsidR="00A2145D" w:rsidRPr="00316837">
              <w:rPr>
                <w:rFonts w:eastAsia="Calibri"/>
                <w:bCs/>
                <w:sz w:val="18"/>
                <w:szCs w:val="18"/>
              </w:rPr>
              <w:t>Regional Master Plans</w:t>
            </w:r>
            <w:r w:rsidRPr="00316837">
              <w:rPr>
                <w:rFonts w:eastAsia="Calibri"/>
                <w:bCs/>
                <w:sz w:val="18"/>
                <w:szCs w:val="18"/>
              </w:rPr>
              <w:t xml:space="preserve"> based on the C</w:t>
            </w:r>
            <w:r w:rsidR="00A2145D" w:rsidRPr="00316837">
              <w:rPr>
                <w:rFonts w:eastAsia="Calibri"/>
                <w:bCs/>
                <w:sz w:val="18"/>
                <w:szCs w:val="18"/>
              </w:rPr>
              <w:t xml:space="preserve">ontinental </w:t>
            </w:r>
            <w:r w:rsidRPr="00316837">
              <w:rPr>
                <w:rFonts w:eastAsia="Calibri"/>
                <w:bCs/>
                <w:sz w:val="18"/>
                <w:szCs w:val="18"/>
              </w:rPr>
              <w:t>M</w:t>
            </w:r>
            <w:r w:rsidR="00A2145D" w:rsidRPr="00316837">
              <w:rPr>
                <w:rFonts w:eastAsia="Calibri"/>
                <w:bCs/>
                <w:sz w:val="18"/>
                <w:szCs w:val="18"/>
              </w:rPr>
              <w:t xml:space="preserve">aster </w:t>
            </w:r>
            <w:r w:rsidRPr="00316837">
              <w:rPr>
                <w:rFonts w:eastAsia="Calibri"/>
                <w:bCs/>
                <w:sz w:val="18"/>
                <w:szCs w:val="18"/>
              </w:rPr>
              <w:t>P</w:t>
            </w:r>
            <w:r w:rsidR="00A2145D" w:rsidRPr="00316837">
              <w:rPr>
                <w:rFonts w:eastAsia="Calibri"/>
                <w:bCs/>
                <w:sz w:val="18"/>
                <w:szCs w:val="18"/>
              </w:rPr>
              <w:t>lan</w:t>
            </w:r>
            <w:r w:rsidRPr="00316837">
              <w:rPr>
                <w:rFonts w:eastAsia="Calibri"/>
                <w:bCs/>
                <w:sz w:val="18"/>
                <w:szCs w:val="18"/>
              </w:rPr>
              <w:t xml:space="preserve"> results, synchronised with the national </w:t>
            </w:r>
            <w:r w:rsidR="00A2145D" w:rsidRPr="00316837">
              <w:rPr>
                <w:rFonts w:eastAsia="Calibri"/>
                <w:bCs/>
                <w:sz w:val="18"/>
                <w:szCs w:val="18"/>
              </w:rPr>
              <w:t xml:space="preserve">TYTNDPs </w:t>
            </w:r>
          </w:p>
        </w:tc>
        <w:tc>
          <w:tcPr>
            <w:tcW w:w="2160" w:type="dxa"/>
          </w:tcPr>
          <w:p w14:paraId="55D5680E" w14:textId="3F4E0A0F" w:rsidR="003A28EB" w:rsidRPr="00316837" w:rsidRDefault="003A28EB" w:rsidP="003A28EB">
            <w:pPr>
              <w:spacing w:before="120" w:after="120"/>
              <w:jc w:val="left"/>
              <w:rPr>
                <w:rFonts w:eastAsia="Calibri"/>
                <w:bCs/>
                <w:sz w:val="18"/>
                <w:szCs w:val="18"/>
              </w:rPr>
            </w:pPr>
            <w:r w:rsidRPr="00316837">
              <w:rPr>
                <w:rFonts w:eastAsia="Calibri"/>
                <w:bCs/>
                <w:sz w:val="18"/>
                <w:szCs w:val="18"/>
              </w:rPr>
              <w:lastRenderedPageBreak/>
              <w:t>AUDA-NEPAD to collaborate with RECs</w:t>
            </w:r>
            <w:r w:rsidR="00A2145D" w:rsidRPr="00316837">
              <w:rPr>
                <w:rFonts w:eastAsia="Calibri"/>
                <w:bCs/>
                <w:sz w:val="18"/>
                <w:szCs w:val="18"/>
              </w:rPr>
              <w:t>,</w:t>
            </w:r>
            <w:r w:rsidRPr="00316837">
              <w:rPr>
                <w:rFonts w:eastAsia="Calibri"/>
                <w:bCs/>
                <w:sz w:val="18"/>
                <w:szCs w:val="18"/>
              </w:rPr>
              <w:t xml:space="preserve"> </w:t>
            </w:r>
            <w:r w:rsidR="00A2145D" w:rsidRPr="00316837">
              <w:rPr>
                <w:rFonts w:eastAsia="Calibri"/>
                <w:bCs/>
                <w:sz w:val="18"/>
                <w:szCs w:val="18"/>
              </w:rPr>
              <w:t>P</w:t>
            </w:r>
            <w:r w:rsidRPr="00316837">
              <w:rPr>
                <w:rFonts w:eastAsia="Calibri"/>
                <w:bCs/>
                <w:sz w:val="18"/>
                <w:szCs w:val="18"/>
              </w:rPr>
              <w:t xml:space="preserve">ower </w:t>
            </w:r>
            <w:r w:rsidR="00A2145D" w:rsidRPr="00316837">
              <w:rPr>
                <w:rFonts w:eastAsia="Calibri"/>
                <w:bCs/>
                <w:sz w:val="18"/>
                <w:szCs w:val="18"/>
              </w:rPr>
              <w:t>P</w:t>
            </w:r>
            <w:r w:rsidRPr="00316837">
              <w:rPr>
                <w:rFonts w:eastAsia="Calibri"/>
                <w:bCs/>
                <w:sz w:val="18"/>
                <w:szCs w:val="18"/>
              </w:rPr>
              <w:t>ools</w:t>
            </w:r>
            <w:r w:rsidR="00A2145D" w:rsidRPr="00316837">
              <w:rPr>
                <w:rFonts w:eastAsia="Calibri"/>
                <w:bCs/>
                <w:sz w:val="18"/>
                <w:szCs w:val="18"/>
              </w:rPr>
              <w:t xml:space="preserve"> and</w:t>
            </w:r>
            <w:r w:rsidR="00A2145D" w:rsidRPr="00316837">
              <w:t xml:space="preserve"> </w:t>
            </w:r>
            <w:r w:rsidR="00A2145D" w:rsidRPr="00316837">
              <w:rPr>
                <w:rFonts w:eastAsia="Calibri"/>
                <w:bCs/>
                <w:sz w:val="18"/>
                <w:szCs w:val="18"/>
              </w:rPr>
              <w:t>Regional Regulatory Authorities/Associations</w:t>
            </w:r>
            <w:r w:rsidRPr="00316837">
              <w:rPr>
                <w:rFonts w:eastAsia="Calibri"/>
                <w:bCs/>
                <w:sz w:val="18"/>
                <w:szCs w:val="18"/>
              </w:rPr>
              <w:t xml:space="preserve">, </w:t>
            </w:r>
            <w:r w:rsidRPr="00316837">
              <w:rPr>
                <w:rFonts w:eastAsia="Calibri"/>
                <w:bCs/>
                <w:sz w:val="18"/>
                <w:szCs w:val="18"/>
              </w:rPr>
              <w:lastRenderedPageBreak/>
              <w:t xml:space="preserve">as well as the development partners, to develop </w:t>
            </w:r>
            <w:r w:rsidR="00A2145D" w:rsidRPr="00316837">
              <w:rPr>
                <w:rFonts w:eastAsia="Calibri"/>
                <w:bCs/>
                <w:sz w:val="18"/>
                <w:szCs w:val="18"/>
              </w:rPr>
              <w:t xml:space="preserve">the </w:t>
            </w:r>
            <w:r w:rsidRPr="00316837">
              <w:rPr>
                <w:rFonts w:eastAsia="Calibri"/>
                <w:bCs/>
                <w:sz w:val="18"/>
                <w:szCs w:val="18"/>
              </w:rPr>
              <w:t>C</w:t>
            </w:r>
            <w:r w:rsidR="00A2145D" w:rsidRPr="00316837">
              <w:rPr>
                <w:rFonts w:eastAsia="Calibri"/>
                <w:bCs/>
                <w:sz w:val="18"/>
                <w:szCs w:val="18"/>
              </w:rPr>
              <w:t xml:space="preserve">ontinental </w:t>
            </w:r>
            <w:r w:rsidRPr="00316837">
              <w:rPr>
                <w:rFonts w:eastAsia="Calibri"/>
                <w:bCs/>
                <w:sz w:val="18"/>
                <w:szCs w:val="18"/>
              </w:rPr>
              <w:t>M</w:t>
            </w:r>
            <w:r w:rsidR="00A2145D" w:rsidRPr="00316837">
              <w:rPr>
                <w:rFonts w:eastAsia="Calibri"/>
                <w:bCs/>
                <w:sz w:val="18"/>
                <w:szCs w:val="18"/>
              </w:rPr>
              <w:t xml:space="preserve">aster </w:t>
            </w:r>
            <w:r w:rsidRPr="00316837">
              <w:rPr>
                <w:rFonts w:eastAsia="Calibri"/>
                <w:bCs/>
                <w:sz w:val="18"/>
                <w:szCs w:val="18"/>
              </w:rPr>
              <w:t>P</w:t>
            </w:r>
            <w:r w:rsidR="00A2145D" w:rsidRPr="00316837">
              <w:rPr>
                <w:rFonts w:eastAsia="Calibri"/>
                <w:bCs/>
                <w:sz w:val="18"/>
                <w:szCs w:val="18"/>
              </w:rPr>
              <w:t xml:space="preserve">lan </w:t>
            </w:r>
          </w:p>
          <w:p w14:paraId="7705D3A6" w14:textId="79F59698"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AUDA-NEPAD to work with </w:t>
            </w:r>
            <w:r w:rsidR="00A2145D" w:rsidRPr="00316837">
              <w:rPr>
                <w:rFonts w:eastAsia="Calibri"/>
                <w:bCs/>
                <w:sz w:val="18"/>
                <w:szCs w:val="18"/>
              </w:rPr>
              <w:t>P</w:t>
            </w:r>
            <w:r w:rsidRPr="00316837">
              <w:rPr>
                <w:rFonts w:eastAsia="Calibri"/>
                <w:bCs/>
                <w:sz w:val="18"/>
                <w:szCs w:val="18"/>
              </w:rPr>
              <w:t xml:space="preserve">ower </w:t>
            </w:r>
            <w:r w:rsidR="00A2145D" w:rsidRPr="00316837">
              <w:rPr>
                <w:rFonts w:eastAsia="Calibri"/>
                <w:bCs/>
                <w:sz w:val="18"/>
                <w:szCs w:val="18"/>
              </w:rPr>
              <w:t>P</w:t>
            </w:r>
            <w:r w:rsidRPr="00316837">
              <w:rPr>
                <w:rFonts w:eastAsia="Calibri"/>
                <w:bCs/>
                <w:sz w:val="18"/>
                <w:szCs w:val="18"/>
              </w:rPr>
              <w:t xml:space="preserve">ools to implement </w:t>
            </w:r>
            <w:r w:rsidR="00A2145D" w:rsidRPr="00316837">
              <w:rPr>
                <w:rFonts w:eastAsia="Calibri"/>
                <w:bCs/>
                <w:sz w:val="18"/>
                <w:szCs w:val="18"/>
              </w:rPr>
              <w:t xml:space="preserve">the </w:t>
            </w:r>
            <w:r w:rsidRPr="00316837">
              <w:rPr>
                <w:rFonts w:eastAsia="Calibri"/>
                <w:bCs/>
                <w:sz w:val="18"/>
                <w:szCs w:val="18"/>
              </w:rPr>
              <w:t>short</w:t>
            </w:r>
            <w:r w:rsidR="00A2145D" w:rsidRPr="00316837">
              <w:rPr>
                <w:rFonts w:eastAsia="Calibri"/>
                <w:bCs/>
                <w:sz w:val="18"/>
                <w:szCs w:val="18"/>
              </w:rPr>
              <w:t>-</w:t>
            </w:r>
            <w:r w:rsidRPr="00316837">
              <w:rPr>
                <w:rFonts w:eastAsia="Calibri"/>
                <w:bCs/>
                <w:sz w:val="18"/>
                <w:szCs w:val="18"/>
              </w:rPr>
              <w:t>term priority generation and transmission projects, identified from the C</w:t>
            </w:r>
            <w:r w:rsidR="00A2145D" w:rsidRPr="00316837">
              <w:rPr>
                <w:rFonts w:eastAsia="Calibri"/>
                <w:bCs/>
                <w:sz w:val="18"/>
                <w:szCs w:val="18"/>
              </w:rPr>
              <w:t xml:space="preserve">ontinental </w:t>
            </w:r>
            <w:r w:rsidRPr="00316837">
              <w:rPr>
                <w:rFonts w:eastAsia="Calibri"/>
                <w:bCs/>
                <w:sz w:val="18"/>
                <w:szCs w:val="18"/>
              </w:rPr>
              <w:t>M</w:t>
            </w:r>
            <w:r w:rsidR="00A2145D" w:rsidRPr="00316837">
              <w:rPr>
                <w:rFonts w:eastAsia="Calibri"/>
                <w:bCs/>
                <w:sz w:val="18"/>
                <w:szCs w:val="18"/>
              </w:rPr>
              <w:t xml:space="preserve">aster </w:t>
            </w:r>
            <w:r w:rsidRPr="00316837">
              <w:rPr>
                <w:rFonts w:eastAsia="Calibri"/>
                <w:bCs/>
                <w:sz w:val="18"/>
                <w:szCs w:val="18"/>
              </w:rPr>
              <w:t>P</w:t>
            </w:r>
            <w:r w:rsidR="00A2145D" w:rsidRPr="00316837">
              <w:rPr>
                <w:rFonts w:eastAsia="Calibri"/>
                <w:bCs/>
                <w:sz w:val="18"/>
                <w:szCs w:val="18"/>
              </w:rPr>
              <w:t xml:space="preserve">lan </w:t>
            </w:r>
          </w:p>
        </w:tc>
      </w:tr>
      <w:tr w:rsidR="00F831B1" w:rsidRPr="00316837" w14:paraId="6B2BE748" w14:textId="77777777" w:rsidTr="00E16180">
        <w:tc>
          <w:tcPr>
            <w:tcW w:w="2785" w:type="dxa"/>
          </w:tcPr>
          <w:p w14:paraId="31ACE4F5" w14:textId="641CD515" w:rsidR="003A28EB" w:rsidRPr="00316837" w:rsidRDefault="003A28EB" w:rsidP="003A28EB">
            <w:pPr>
              <w:spacing w:before="120" w:after="120"/>
              <w:jc w:val="left"/>
              <w:rPr>
                <w:rFonts w:eastAsia="Calibri"/>
                <w:bCs/>
                <w:sz w:val="18"/>
                <w:szCs w:val="18"/>
              </w:rPr>
            </w:pPr>
            <w:r w:rsidRPr="00316837">
              <w:rPr>
                <w:rFonts w:eastAsia="Calibri"/>
                <w:bCs/>
                <w:sz w:val="18"/>
                <w:szCs w:val="18"/>
              </w:rPr>
              <w:lastRenderedPageBreak/>
              <w:t xml:space="preserve">Transmission </w:t>
            </w:r>
            <w:r w:rsidR="00A2145D" w:rsidRPr="00316837">
              <w:rPr>
                <w:rFonts w:eastAsia="Calibri"/>
                <w:bCs/>
                <w:sz w:val="18"/>
                <w:szCs w:val="18"/>
              </w:rPr>
              <w:t>c</w:t>
            </w:r>
            <w:r w:rsidRPr="00316837">
              <w:rPr>
                <w:rFonts w:eastAsia="Calibri"/>
                <w:bCs/>
                <w:sz w:val="18"/>
                <w:szCs w:val="18"/>
              </w:rPr>
              <w:t xml:space="preserve">apacity </w:t>
            </w:r>
            <w:r w:rsidR="00A2145D" w:rsidRPr="00316837">
              <w:rPr>
                <w:rFonts w:eastAsia="Calibri"/>
                <w:bCs/>
                <w:sz w:val="18"/>
                <w:szCs w:val="18"/>
              </w:rPr>
              <w:t>r</w:t>
            </w:r>
            <w:r w:rsidRPr="00316837">
              <w:rPr>
                <w:rFonts w:eastAsia="Calibri"/>
                <w:bCs/>
                <w:sz w:val="18"/>
                <w:szCs w:val="18"/>
              </w:rPr>
              <w:t>eadiness</w:t>
            </w:r>
            <w:r w:rsidR="00A2145D" w:rsidRPr="00316837">
              <w:rPr>
                <w:rFonts w:eastAsia="Calibri"/>
                <w:bCs/>
                <w:sz w:val="18"/>
                <w:szCs w:val="18"/>
              </w:rPr>
              <w:t xml:space="preserve"> </w:t>
            </w:r>
          </w:p>
        </w:tc>
        <w:tc>
          <w:tcPr>
            <w:tcW w:w="2520" w:type="dxa"/>
          </w:tcPr>
          <w:p w14:paraId="50D84D8A" w14:textId="704BCD3B" w:rsidR="003A28EB" w:rsidRPr="00316837" w:rsidRDefault="00CD1EBE" w:rsidP="003A28EB">
            <w:pPr>
              <w:spacing w:before="120" w:after="120"/>
              <w:jc w:val="left"/>
              <w:rPr>
                <w:rFonts w:eastAsia="Calibri"/>
                <w:bCs/>
                <w:sz w:val="18"/>
                <w:szCs w:val="18"/>
              </w:rPr>
            </w:pPr>
            <w:r w:rsidRPr="00316837">
              <w:rPr>
                <w:rFonts w:eastAsia="Calibri"/>
                <w:bCs/>
                <w:sz w:val="18"/>
                <w:szCs w:val="18"/>
              </w:rPr>
              <w:t xml:space="preserve">The national </w:t>
            </w:r>
            <w:r w:rsidR="003A28EB" w:rsidRPr="00316837">
              <w:rPr>
                <w:rFonts w:eastAsia="Calibri"/>
                <w:bCs/>
                <w:sz w:val="18"/>
                <w:szCs w:val="18"/>
              </w:rPr>
              <w:t xml:space="preserve">TSOs </w:t>
            </w:r>
            <w:r w:rsidRPr="00316837">
              <w:rPr>
                <w:rFonts w:eastAsia="Calibri"/>
                <w:bCs/>
                <w:sz w:val="18"/>
                <w:szCs w:val="18"/>
              </w:rPr>
              <w:t xml:space="preserve">to </w:t>
            </w:r>
            <w:r w:rsidR="003A28EB" w:rsidRPr="00316837">
              <w:rPr>
                <w:rFonts w:eastAsia="Calibri"/>
                <w:bCs/>
                <w:sz w:val="18"/>
                <w:szCs w:val="18"/>
              </w:rPr>
              <w:t xml:space="preserve">work with </w:t>
            </w:r>
            <w:r w:rsidRPr="00316837">
              <w:rPr>
                <w:rFonts w:eastAsia="Calibri"/>
                <w:bCs/>
                <w:sz w:val="18"/>
                <w:szCs w:val="18"/>
              </w:rPr>
              <w:t xml:space="preserve">the </w:t>
            </w:r>
            <w:r w:rsidR="003A28EB" w:rsidRPr="00316837">
              <w:rPr>
                <w:rFonts w:eastAsia="Calibri"/>
                <w:bCs/>
                <w:sz w:val="18"/>
                <w:szCs w:val="18"/>
              </w:rPr>
              <w:t xml:space="preserve">national </w:t>
            </w:r>
            <w:r w:rsidRPr="00316837">
              <w:rPr>
                <w:rFonts w:eastAsia="Calibri"/>
                <w:bCs/>
                <w:sz w:val="18"/>
                <w:szCs w:val="18"/>
              </w:rPr>
              <w:t xml:space="preserve">regulatory authorities, </w:t>
            </w:r>
            <w:r w:rsidR="003A28EB" w:rsidRPr="00316837">
              <w:rPr>
                <w:rFonts w:eastAsia="Calibri"/>
                <w:bCs/>
                <w:sz w:val="18"/>
                <w:szCs w:val="18"/>
              </w:rPr>
              <w:t xml:space="preserve">and </w:t>
            </w:r>
            <w:r w:rsidRPr="00316837">
              <w:rPr>
                <w:rFonts w:eastAsia="Calibri"/>
                <w:bCs/>
                <w:sz w:val="18"/>
                <w:szCs w:val="18"/>
              </w:rPr>
              <w:t xml:space="preserve">the RSMOs the </w:t>
            </w:r>
            <w:r w:rsidR="003A28EB" w:rsidRPr="00316837">
              <w:rPr>
                <w:rFonts w:eastAsia="Calibri"/>
                <w:bCs/>
                <w:sz w:val="18"/>
                <w:szCs w:val="18"/>
              </w:rPr>
              <w:t>regional regulator</w:t>
            </w:r>
            <w:r w:rsidRPr="00316837">
              <w:rPr>
                <w:rFonts w:eastAsia="Calibri"/>
                <w:bCs/>
                <w:sz w:val="18"/>
                <w:szCs w:val="18"/>
              </w:rPr>
              <w:t>y authorities/association</w:t>
            </w:r>
            <w:r w:rsidR="003A28EB" w:rsidRPr="00316837">
              <w:rPr>
                <w:rFonts w:eastAsia="Calibri"/>
                <w:bCs/>
                <w:sz w:val="18"/>
                <w:szCs w:val="18"/>
              </w:rPr>
              <w:t xml:space="preserve">, so that interconnectors fulfil the </w:t>
            </w:r>
            <w:r w:rsidR="00B6101C" w:rsidRPr="00316837">
              <w:rPr>
                <w:rFonts w:eastAsia="Calibri"/>
                <w:bCs/>
                <w:sz w:val="18"/>
                <w:szCs w:val="18"/>
              </w:rPr>
              <w:t>(</w:t>
            </w:r>
            <w:r w:rsidR="003A28EB" w:rsidRPr="00316837">
              <w:rPr>
                <w:rFonts w:eastAsia="Calibri"/>
                <w:bCs/>
                <w:sz w:val="18"/>
                <w:szCs w:val="18"/>
              </w:rPr>
              <w:t>N-1</w:t>
            </w:r>
            <w:r w:rsidR="00B6101C" w:rsidRPr="00316837">
              <w:rPr>
                <w:rFonts w:eastAsia="Calibri"/>
                <w:bCs/>
                <w:sz w:val="18"/>
                <w:szCs w:val="18"/>
              </w:rPr>
              <w:t>)</w:t>
            </w:r>
            <w:r w:rsidR="003A28EB" w:rsidRPr="00316837">
              <w:rPr>
                <w:rFonts w:eastAsia="Calibri"/>
                <w:bCs/>
                <w:sz w:val="18"/>
                <w:szCs w:val="18"/>
              </w:rPr>
              <w:t xml:space="preserve"> criteria</w:t>
            </w:r>
            <w:r w:rsidRPr="00316837">
              <w:rPr>
                <w:rFonts w:eastAsia="Calibri"/>
                <w:bCs/>
                <w:sz w:val="18"/>
                <w:szCs w:val="18"/>
              </w:rPr>
              <w:t xml:space="preserve"> </w:t>
            </w:r>
          </w:p>
        </w:tc>
        <w:tc>
          <w:tcPr>
            <w:tcW w:w="2430" w:type="dxa"/>
          </w:tcPr>
          <w:p w14:paraId="15238C5D" w14:textId="43825E7B" w:rsidR="003A28EB" w:rsidRPr="00316837" w:rsidRDefault="00CD1EBE" w:rsidP="00A2145D">
            <w:pPr>
              <w:spacing w:before="120" w:after="120"/>
              <w:jc w:val="left"/>
              <w:rPr>
                <w:rFonts w:eastAsia="Calibri"/>
                <w:bCs/>
                <w:sz w:val="18"/>
                <w:szCs w:val="18"/>
              </w:rPr>
            </w:pPr>
            <w:r w:rsidRPr="00316837">
              <w:rPr>
                <w:rFonts w:eastAsia="Calibri"/>
                <w:bCs/>
                <w:sz w:val="18"/>
                <w:szCs w:val="18"/>
              </w:rPr>
              <w:t>The R</w:t>
            </w:r>
            <w:r w:rsidR="003A28EB" w:rsidRPr="00316837">
              <w:rPr>
                <w:rFonts w:eastAsia="Calibri"/>
                <w:bCs/>
                <w:sz w:val="18"/>
                <w:szCs w:val="18"/>
              </w:rPr>
              <w:t xml:space="preserve">SMOs and </w:t>
            </w:r>
            <w:r w:rsidRPr="00316837">
              <w:rPr>
                <w:rFonts w:eastAsia="Calibri"/>
                <w:bCs/>
                <w:sz w:val="18"/>
                <w:szCs w:val="18"/>
              </w:rPr>
              <w:t xml:space="preserve">the </w:t>
            </w:r>
            <w:r w:rsidR="003A28EB" w:rsidRPr="00316837">
              <w:rPr>
                <w:rFonts w:eastAsia="Calibri"/>
                <w:bCs/>
                <w:sz w:val="18"/>
                <w:szCs w:val="18"/>
              </w:rPr>
              <w:t>regional regulator</w:t>
            </w:r>
            <w:r w:rsidRPr="00316837">
              <w:rPr>
                <w:rFonts w:eastAsia="Calibri"/>
                <w:bCs/>
                <w:sz w:val="18"/>
                <w:szCs w:val="18"/>
              </w:rPr>
              <w:t>y authorities/associations to</w:t>
            </w:r>
            <w:r w:rsidR="003A28EB" w:rsidRPr="00316837">
              <w:rPr>
                <w:rFonts w:eastAsia="Calibri"/>
                <w:bCs/>
                <w:sz w:val="18"/>
                <w:szCs w:val="18"/>
              </w:rPr>
              <w:t xml:space="preserve"> work with the national TSOs and </w:t>
            </w:r>
            <w:r w:rsidRPr="00316837">
              <w:rPr>
                <w:rFonts w:eastAsia="Calibri"/>
                <w:bCs/>
                <w:sz w:val="18"/>
                <w:szCs w:val="18"/>
              </w:rPr>
              <w:t xml:space="preserve">the national </w:t>
            </w:r>
            <w:r w:rsidR="003A28EB" w:rsidRPr="00316837">
              <w:rPr>
                <w:rFonts w:eastAsia="Calibri"/>
                <w:bCs/>
                <w:sz w:val="18"/>
                <w:szCs w:val="18"/>
              </w:rPr>
              <w:t>regulator</w:t>
            </w:r>
            <w:r w:rsidRPr="00316837">
              <w:rPr>
                <w:rFonts w:eastAsia="Calibri"/>
                <w:bCs/>
                <w:sz w:val="18"/>
                <w:szCs w:val="18"/>
              </w:rPr>
              <w:t>y authorities</w:t>
            </w:r>
            <w:r w:rsidR="003A28EB" w:rsidRPr="00316837">
              <w:rPr>
                <w:rFonts w:eastAsia="Calibri"/>
                <w:bCs/>
                <w:sz w:val="18"/>
                <w:szCs w:val="18"/>
              </w:rPr>
              <w:t xml:space="preserve"> for interconnectors </w:t>
            </w:r>
            <w:r w:rsidRPr="00316837">
              <w:rPr>
                <w:rFonts w:eastAsia="Calibri"/>
                <w:bCs/>
                <w:sz w:val="18"/>
                <w:szCs w:val="18"/>
              </w:rPr>
              <w:t xml:space="preserve">to </w:t>
            </w:r>
            <w:r w:rsidR="003A28EB" w:rsidRPr="00316837">
              <w:rPr>
                <w:rFonts w:eastAsia="Calibri"/>
                <w:bCs/>
                <w:sz w:val="18"/>
                <w:szCs w:val="18"/>
              </w:rPr>
              <w:t xml:space="preserve">meet the </w:t>
            </w:r>
            <w:r w:rsidR="00B6101C" w:rsidRPr="00316837">
              <w:rPr>
                <w:rFonts w:eastAsia="Calibri"/>
                <w:bCs/>
                <w:sz w:val="18"/>
                <w:szCs w:val="18"/>
              </w:rPr>
              <w:t>(</w:t>
            </w:r>
            <w:r w:rsidR="003A28EB" w:rsidRPr="00316837">
              <w:rPr>
                <w:rFonts w:eastAsia="Calibri"/>
                <w:bCs/>
                <w:sz w:val="18"/>
                <w:szCs w:val="18"/>
              </w:rPr>
              <w:t>N-1</w:t>
            </w:r>
            <w:r w:rsidR="00B6101C" w:rsidRPr="00316837">
              <w:rPr>
                <w:rFonts w:eastAsia="Calibri"/>
                <w:bCs/>
                <w:sz w:val="18"/>
                <w:szCs w:val="18"/>
              </w:rPr>
              <w:t>)</w:t>
            </w:r>
            <w:r w:rsidR="003A28EB" w:rsidRPr="00316837">
              <w:rPr>
                <w:rFonts w:eastAsia="Calibri"/>
                <w:bCs/>
                <w:sz w:val="18"/>
                <w:szCs w:val="18"/>
              </w:rPr>
              <w:t xml:space="preserve"> criteria</w:t>
            </w:r>
            <w:r w:rsidR="00A2145D" w:rsidRPr="00316837">
              <w:rPr>
                <w:rFonts w:eastAsia="Calibri"/>
                <w:bCs/>
                <w:sz w:val="18"/>
                <w:szCs w:val="18"/>
              </w:rPr>
              <w:t xml:space="preserve"> </w:t>
            </w:r>
          </w:p>
          <w:p w14:paraId="0FCC8E79" w14:textId="38D3E49B" w:rsidR="003A28EB" w:rsidRPr="00316837" w:rsidRDefault="00CD1EBE" w:rsidP="00A2145D">
            <w:pPr>
              <w:spacing w:before="120" w:after="120"/>
              <w:jc w:val="left"/>
              <w:rPr>
                <w:rFonts w:eastAsia="Calibri"/>
                <w:bCs/>
                <w:sz w:val="18"/>
                <w:szCs w:val="18"/>
              </w:rPr>
            </w:pPr>
            <w:r w:rsidRPr="00316837">
              <w:rPr>
                <w:rFonts w:eastAsia="Calibri"/>
                <w:bCs/>
                <w:sz w:val="18"/>
                <w:szCs w:val="18"/>
              </w:rPr>
              <w:t>The R</w:t>
            </w:r>
            <w:r w:rsidR="003A28EB" w:rsidRPr="00316837">
              <w:rPr>
                <w:rFonts w:eastAsia="Calibri"/>
                <w:bCs/>
                <w:sz w:val="18"/>
                <w:szCs w:val="18"/>
              </w:rPr>
              <w:t>SMO</w:t>
            </w:r>
            <w:r w:rsidRPr="00316837">
              <w:rPr>
                <w:rFonts w:eastAsia="Calibri"/>
                <w:bCs/>
                <w:sz w:val="18"/>
                <w:szCs w:val="18"/>
              </w:rPr>
              <w:t>s</w:t>
            </w:r>
            <w:r w:rsidR="003A28EB" w:rsidRPr="00316837">
              <w:rPr>
                <w:rFonts w:eastAsia="Calibri"/>
                <w:bCs/>
                <w:sz w:val="18"/>
                <w:szCs w:val="18"/>
              </w:rPr>
              <w:t xml:space="preserve"> to develop for regulatory approval, </w:t>
            </w:r>
            <w:r w:rsidRPr="00316837">
              <w:rPr>
                <w:rFonts w:eastAsia="Calibri"/>
                <w:bCs/>
                <w:sz w:val="18"/>
                <w:szCs w:val="18"/>
              </w:rPr>
              <w:t xml:space="preserve">a </w:t>
            </w:r>
            <w:r w:rsidR="003A28EB" w:rsidRPr="00316837">
              <w:rPr>
                <w:rFonts w:eastAsia="Calibri"/>
                <w:bCs/>
                <w:sz w:val="18"/>
                <w:szCs w:val="18"/>
              </w:rPr>
              <w:t>transparent interconnector transfer limit calculation methodology</w:t>
            </w:r>
            <w:r w:rsidR="00A2145D" w:rsidRPr="00316837">
              <w:rPr>
                <w:rFonts w:eastAsia="Calibri"/>
                <w:bCs/>
                <w:sz w:val="18"/>
                <w:szCs w:val="18"/>
              </w:rPr>
              <w:t xml:space="preserve"> </w:t>
            </w:r>
          </w:p>
        </w:tc>
        <w:tc>
          <w:tcPr>
            <w:tcW w:w="2160" w:type="dxa"/>
          </w:tcPr>
          <w:p w14:paraId="358284C2" w14:textId="199A6A27"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AUDA-NEPAD to monitor the implementation of </w:t>
            </w:r>
            <w:r w:rsidR="00CD1EBE" w:rsidRPr="00316837">
              <w:rPr>
                <w:rFonts w:eastAsia="Calibri"/>
                <w:bCs/>
                <w:sz w:val="18"/>
                <w:szCs w:val="18"/>
              </w:rPr>
              <w:t xml:space="preserve">the </w:t>
            </w:r>
            <w:r w:rsidRPr="00316837">
              <w:rPr>
                <w:rFonts w:eastAsia="Calibri"/>
                <w:bCs/>
                <w:sz w:val="18"/>
                <w:szCs w:val="18"/>
              </w:rPr>
              <w:t>short</w:t>
            </w:r>
            <w:r w:rsidR="00CD1EBE" w:rsidRPr="00316837">
              <w:rPr>
                <w:rFonts w:eastAsia="Calibri"/>
                <w:bCs/>
                <w:sz w:val="18"/>
                <w:szCs w:val="18"/>
              </w:rPr>
              <w:t>-</w:t>
            </w:r>
            <w:r w:rsidRPr="00316837">
              <w:rPr>
                <w:rFonts w:eastAsia="Calibri"/>
                <w:bCs/>
                <w:sz w:val="18"/>
                <w:szCs w:val="18"/>
              </w:rPr>
              <w:t>term priority transmission projects</w:t>
            </w:r>
            <w:r w:rsidR="00A2145D" w:rsidRPr="00316837">
              <w:rPr>
                <w:rFonts w:eastAsia="Calibri"/>
                <w:bCs/>
                <w:sz w:val="18"/>
                <w:szCs w:val="18"/>
              </w:rPr>
              <w:t xml:space="preserve"> </w:t>
            </w:r>
          </w:p>
        </w:tc>
      </w:tr>
      <w:tr w:rsidR="00F831B1" w:rsidRPr="00316837" w14:paraId="2636BA7F" w14:textId="77777777" w:rsidTr="00E16180">
        <w:tc>
          <w:tcPr>
            <w:tcW w:w="2785" w:type="dxa"/>
          </w:tcPr>
          <w:p w14:paraId="0E54A913" w14:textId="6A462AB4"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Generation </w:t>
            </w:r>
            <w:r w:rsidR="00A2145D" w:rsidRPr="00316837">
              <w:rPr>
                <w:rFonts w:eastAsia="Calibri"/>
                <w:bCs/>
                <w:sz w:val="18"/>
                <w:szCs w:val="18"/>
              </w:rPr>
              <w:t>c</w:t>
            </w:r>
            <w:r w:rsidRPr="00316837">
              <w:rPr>
                <w:rFonts w:eastAsia="Calibri"/>
                <w:bCs/>
                <w:sz w:val="18"/>
                <w:szCs w:val="18"/>
              </w:rPr>
              <w:t xml:space="preserve">apacity </w:t>
            </w:r>
            <w:r w:rsidR="00A2145D" w:rsidRPr="00316837">
              <w:rPr>
                <w:rFonts w:eastAsia="Calibri"/>
                <w:bCs/>
                <w:sz w:val="18"/>
                <w:szCs w:val="18"/>
              </w:rPr>
              <w:t>r</w:t>
            </w:r>
            <w:r w:rsidRPr="00316837">
              <w:rPr>
                <w:rFonts w:eastAsia="Calibri"/>
                <w:bCs/>
                <w:sz w:val="18"/>
                <w:szCs w:val="18"/>
              </w:rPr>
              <w:t>eadiness</w:t>
            </w:r>
          </w:p>
        </w:tc>
        <w:tc>
          <w:tcPr>
            <w:tcW w:w="2520" w:type="dxa"/>
          </w:tcPr>
          <w:p w14:paraId="60E6F160" w14:textId="7ED38E65" w:rsidR="003A28EB" w:rsidRPr="00316837" w:rsidRDefault="003A28EB" w:rsidP="003A28EB">
            <w:pPr>
              <w:spacing w:before="120" w:after="120"/>
              <w:jc w:val="left"/>
              <w:rPr>
                <w:rFonts w:eastAsia="Calibri"/>
                <w:bCs/>
                <w:sz w:val="18"/>
                <w:szCs w:val="18"/>
              </w:rPr>
            </w:pPr>
            <w:r w:rsidRPr="00316837">
              <w:rPr>
                <w:rFonts w:eastAsia="Calibri"/>
                <w:bCs/>
                <w:sz w:val="18"/>
                <w:szCs w:val="18"/>
              </w:rPr>
              <w:t>Install Power System Stabili</w:t>
            </w:r>
            <w:r w:rsidR="00CD1EBE" w:rsidRPr="00316837">
              <w:rPr>
                <w:rFonts w:eastAsia="Calibri"/>
                <w:bCs/>
                <w:sz w:val="18"/>
                <w:szCs w:val="18"/>
              </w:rPr>
              <w:t>s</w:t>
            </w:r>
            <w:r w:rsidRPr="00316837">
              <w:rPr>
                <w:rFonts w:eastAsia="Calibri"/>
                <w:bCs/>
                <w:sz w:val="18"/>
                <w:szCs w:val="18"/>
              </w:rPr>
              <w:t xml:space="preserve">ers (PSS) to dampen electromechanical oscillations within the frequency range prescribed by the </w:t>
            </w:r>
            <w:r w:rsidR="00CD1EBE" w:rsidRPr="00316837">
              <w:rPr>
                <w:rFonts w:eastAsia="Calibri"/>
                <w:bCs/>
                <w:sz w:val="18"/>
                <w:szCs w:val="18"/>
              </w:rPr>
              <w:t>national G</w:t>
            </w:r>
            <w:r w:rsidRPr="00316837">
              <w:rPr>
                <w:rFonts w:eastAsia="Calibri"/>
                <w:bCs/>
                <w:sz w:val="18"/>
                <w:szCs w:val="18"/>
              </w:rPr>
              <w:t xml:space="preserve">rid </w:t>
            </w:r>
            <w:r w:rsidR="00CD1EBE" w:rsidRPr="00316837">
              <w:rPr>
                <w:rFonts w:eastAsia="Calibri"/>
                <w:bCs/>
                <w:sz w:val="18"/>
                <w:szCs w:val="18"/>
              </w:rPr>
              <w:t>C</w:t>
            </w:r>
            <w:r w:rsidRPr="00316837">
              <w:rPr>
                <w:rFonts w:eastAsia="Calibri"/>
                <w:bCs/>
                <w:sz w:val="18"/>
                <w:szCs w:val="18"/>
              </w:rPr>
              <w:t>ode</w:t>
            </w:r>
            <w:r w:rsidR="00A2145D" w:rsidRPr="00316837">
              <w:rPr>
                <w:rFonts w:eastAsia="Calibri"/>
                <w:bCs/>
                <w:sz w:val="18"/>
                <w:szCs w:val="18"/>
              </w:rPr>
              <w:t xml:space="preserve"> </w:t>
            </w:r>
          </w:p>
        </w:tc>
        <w:tc>
          <w:tcPr>
            <w:tcW w:w="2430" w:type="dxa"/>
          </w:tcPr>
          <w:p w14:paraId="16C6E7EA" w14:textId="37E8EEFC"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Ensure that </w:t>
            </w:r>
            <w:r w:rsidR="00CD1EBE" w:rsidRPr="00316837">
              <w:rPr>
                <w:rFonts w:eastAsia="Calibri"/>
                <w:bCs/>
                <w:sz w:val="18"/>
                <w:szCs w:val="18"/>
              </w:rPr>
              <w:t xml:space="preserve">each </w:t>
            </w:r>
            <w:r w:rsidRPr="00316837">
              <w:rPr>
                <w:rFonts w:eastAsia="Calibri"/>
                <w:bCs/>
                <w:sz w:val="18"/>
                <w:szCs w:val="18"/>
              </w:rPr>
              <w:t>generati</w:t>
            </w:r>
            <w:r w:rsidR="00CD1EBE" w:rsidRPr="00316837">
              <w:rPr>
                <w:rFonts w:eastAsia="Calibri"/>
                <w:bCs/>
                <w:sz w:val="18"/>
                <w:szCs w:val="18"/>
              </w:rPr>
              <w:t>on</w:t>
            </w:r>
            <w:r w:rsidRPr="00316837">
              <w:rPr>
                <w:rFonts w:eastAsia="Calibri"/>
                <w:bCs/>
                <w:sz w:val="18"/>
                <w:szCs w:val="18"/>
              </w:rPr>
              <w:t xml:space="preserve"> unit with nominal capacity equal or above the required capacity threshold (MVA) </w:t>
            </w:r>
            <w:r w:rsidR="00CD1EBE" w:rsidRPr="00316837">
              <w:rPr>
                <w:rFonts w:eastAsia="Calibri"/>
                <w:bCs/>
                <w:sz w:val="18"/>
                <w:szCs w:val="18"/>
              </w:rPr>
              <w:t>is</w:t>
            </w:r>
            <w:r w:rsidRPr="00316837">
              <w:rPr>
                <w:rFonts w:eastAsia="Calibri"/>
                <w:bCs/>
                <w:sz w:val="18"/>
                <w:szCs w:val="18"/>
              </w:rPr>
              <w:t xml:space="preserve"> equipped with a Power System Stabili</w:t>
            </w:r>
            <w:r w:rsidR="00CD1EBE" w:rsidRPr="00316837">
              <w:rPr>
                <w:rFonts w:eastAsia="Calibri"/>
                <w:bCs/>
                <w:sz w:val="18"/>
                <w:szCs w:val="18"/>
              </w:rPr>
              <w:t>s</w:t>
            </w:r>
            <w:r w:rsidRPr="00316837">
              <w:rPr>
                <w:rFonts w:eastAsia="Calibri"/>
                <w:bCs/>
                <w:sz w:val="18"/>
                <w:szCs w:val="18"/>
              </w:rPr>
              <w:t xml:space="preserve">er </w:t>
            </w:r>
          </w:p>
        </w:tc>
        <w:tc>
          <w:tcPr>
            <w:tcW w:w="2160" w:type="dxa"/>
          </w:tcPr>
          <w:p w14:paraId="67BBAF08" w14:textId="77777777" w:rsidR="003A28EB" w:rsidRPr="00316837" w:rsidRDefault="003A28EB" w:rsidP="003A28EB">
            <w:pPr>
              <w:spacing w:before="120" w:after="120"/>
              <w:jc w:val="left"/>
              <w:rPr>
                <w:rFonts w:eastAsia="Calibri"/>
                <w:bCs/>
                <w:sz w:val="18"/>
                <w:szCs w:val="18"/>
              </w:rPr>
            </w:pPr>
          </w:p>
        </w:tc>
      </w:tr>
      <w:tr w:rsidR="00F831B1" w:rsidRPr="00316837" w14:paraId="64AB6A6D" w14:textId="77777777" w:rsidTr="00E16180">
        <w:tc>
          <w:tcPr>
            <w:tcW w:w="2785" w:type="dxa"/>
          </w:tcPr>
          <w:p w14:paraId="1C9D65E4" w14:textId="1871BC7B" w:rsidR="003A28EB" w:rsidRPr="00316837" w:rsidRDefault="003A28EB" w:rsidP="003A28EB">
            <w:pPr>
              <w:spacing w:before="120" w:after="120"/>
              <w:jc w:val="left"/>
              <w:rPr>
                <w:rFonts w:eastAsia="Calibri"/>
                <w:bCs/>
                <w:sz w:val="18"/>
                <w:szCs w:val="18"/>
              </w:rPr>
            </w:pPr>
            <w:r w:rsidRPr="00316837">
              <w:rPr>
                <w:rFonts w:eastAsia="Calibri"/>
                <w:bCs/>
                <w:sz w:val="18"/>
                <w:szCs w:val="18"/>
              </w:rPr>
              <w:t>Development of harmonised Grid Code</w:t>
            </w:r>
            <w:r w:rsidR="00CD1EBE" w:rsidRPr="00316837">
              <w:rPr>
                <w:rFonts w:eastAsia="Calibri"/>
                <w:bCs/>
                <w:sz w:val="18"/>
                <w:szCs w:val="18"/>
              </w:rPr>
              <w:t>s</w:t>
            </w:r>
            <w:r w:rsidRPr="00316837">
              <w:rPr>
                <w:rFonts w:eastAsia="Calibri"/>
                <w:bCs/>
                <w:sz w:val="18"/>
                <w:szCs w:val="18"/>
              </w:rPr>
              <w:t xml:space="preserve"> for cross-border transactions</w:t>
            </w:r>
            <w:r w:rsidR="001D4932" w:rsidRPr="00316837">
              <w:rPr>
                <w:rFonts w:eastAsia="Calibri"/>
                <w:bCs/>
                <w:sz w:val="18"/>
                <w:szCs w:val="18"/>
              </w:rPr>
              <w:t xml:space="preserve"> </w:t>
            </w:r>
          </w:p>
        </w:tc>
        <w:tc>
          <w:tcPr>
            <w:tcW w:w="2520" w:type="dxa"/>
          </w:tcPr>
          <w:p w14:paraId="5D5AA7CE" w14:textId="39A25869" w:rsidR="003A28EB" w:rsidRPr="00316837" w:rsidRDefault="00CD1EBE" w:rsidP="003A28EB">
            <w:pPr>
              <w:spacing w:before="120" w:after="120"/>
              <w:jc w:val="left"/>
              <w:rPr>
                <w:rFonts w:eastAsia="Calibri"/>
                <w:bCs/>
                <w:sz w:val="18"/>
                <w:szCs w:val="18"/>
              </w:rPr>
            </w:pPr>
            <w:r w:rsidRPr="00316837">
              <w:rPr>
                <w:rFonts w:eastAsia="Calibri"/>
                <w:bCs/>
                <w:sz w:val="18"/>
                <w:szCs w:val="18"/>
              </w:rPr>
              <w:t>The national r</w:t>
            </w:r>
            <w:r w:rsidR="003A28EB" w:rsidRPr="00316837">
              <w:rPr>
                <w:rFonts w:eastAsia="Calibri"/>
                <w:bCs/>
                <w:sz w:val="18"/>
                <w:szCs w:val="18"/>
              </w:rPr>
              <w:t>egulator</w:t>
            </w:r>
            <w:r w:rsidRPr="00316837">
              <w:rPr>
                <w:rFonts w:eastAsia="Calibri"/>
                <w:bCs/>
                <w:sz w:val="18"/>
                <w:szCs w:val="18"/>
              </w:rPr>
              <w:t xml:space="preserve">y authorities </w:t>
            </w:r>
            <w:r w:rsidR="003A28EB" w:rsidRPr="00316837">
              <w:rPr>
                <w:rFonts w:eastAsia="Calibri"/>
                <w:bCs/>
                <w:sz w:val="18"/>
                <w:szCs w:val="18"/>
              </w:rPr>
              <w:t xml:space="preserve">to ensure that cross-border transactions entered into are in accordance with the </w:t>
            </w:r>
            <w:r w:rsidRPr="00316837">
              <w:rPr>
                <w:rFonts w:eastAsia="Calibri"/>
                <w:bCs/>
                <w:sz w:val="18"/>
                <w:szCs w:val="18"/>
              </w:rPr>
              <w:t xml:space="preserve">national Grid Code which is </w:t>
            </w:r>
            <w:r w:rsidR="003A28EB" w:rsidRPr="00316837">
              <w:rPr>
                <w:rFonts w:eastAsia="Calibri"/>
                <w:bCs/>
                <w:sz w:val="18"/>
                <w:szCs w:val="18"/>
              </w:rPr>
              <w:t xml:space="preserve">harmonised </w:t>
            </w:r>
            <w:r w:rsidRPr="00316837">
              <w:rPr>
                <w:rFonts w:eastAsia="Calibri"/>
                <w:bCs/>
                <w:sz w:val="18"/>
                <w:szCs w:val="18"/>
              </w:rPr>
              <w:t xml:space="preserve">with the </w:t>
            </w:r>
            <w:r w:rsidR="003A28EB" w:rsidRPr="00316837">
              <w:rPr>
                <w:rFonts w:eastAsia="Calibri"/>
                <w:bCs/>
                <w:sz w:val="18"/>
                <w:szCs w:val="18"/>
              </w:rPr>
              <w:t xml:space="preserve">regional </w:t>
            </w:r>
            <w:r w:rsidRPr="00316837">
              <w:rPr>
                <w:rFonts w:eastAsia="Calibri"/>
                <w:bCs/>
                <w:sz w:val="18"/>
                <w:szCs w:val="18"/>
              </w:rPr>
              <w:t>one</w:t>
            </w:r>
            <w:r w:rsidR="003A28EB" w:rsidRPr="00316837">
              <w:rPr>
                <w:rFonts w:eastAsia="Calibri"/>
                <w:bCs/>
                <w:sz w:val="18"/>
                <w:szCs w:val="18"/>
              </w:rPr>
              <w:t xml:space="preserve"> </w:t>
            </w:r>
          </w:p>
        </w:tc>
        <w:tc>
          <w:tcPr>
            <w:tcW w:w="2430" w:type="dxa"/>
          </w:tcPr>
          <w:p w14:paraId="79E46AB7" w14:textId="7EDE687F" w:rsidR="003A28EB" w:rsidRPr="00316837" w:rsidRDefault="003A28EB" w:rsidP="003A28EB">
            <w:pPr>
              <w:spacing w:before="120" w:after="120"/>
              <w:jc w:val="left"/>
              <w:rPr>
                <w:rFonts w:eastAsia="Calibri"/>
                <w:bCs/>
                <w:sz w:val="18"/>
                <w:szCs w:val="18"/>
              </w:rPr>
            </w:pPr>
            <w:r w:rsidRPr="00316837">
              <w:rPr>
                <w:rFonts w:eastAsia="Calibri"/>
                <w:bCs/>
                <w:sz w:val="18"/>
                <w:szCs w:val="18"/>
              </w:rPr>
              <w:t>Power Pool</w:t>
            </w:r>
            <w:r w:rsidR="00CD1EBE" w:rsidRPr="00316837">
              <w:rPr>
                <w:rFonts w:eastAsia="Calibri"/>
                <w:bCs/>
                <w:sz w:val="18"/>
                <w:szCs w:val="18"/>
              </w:rPr>
              <w:t>s</w:t>
            </w:r>
            <w:r w:rsidRPr="00316837">
              <w:rPr>
                <w:rFonts w:eastAsia="Calibri"/>
                <w:bCs/>
                <w:sz w:val="18"/>
                <w:szCs w:val="18"/>
              </w:rPr>
              <w:t xml:space="preserve"> to work in collaboration with the regional regulator</w:t>
            </w:r>
            <w:r w:rsidR="00CD1EBE" w:rsidRPr="00316837">
              <w:rPr>
                <w:rFonts w:eastAsia="Calibri"/>
                <w:bCs/>
                <w:sz w:val="18"/>
                <w:szCs w:val="18"/>
              </w:rPr>
              <w:t>y authorities/associations</w:t>
            </w:r>
            <w:r w:rsidRPr="00316837">
              <w:rPr>
                <w:rFonts w:eastAsia="Calibri"/>
                <w:bCs/>
                <w:sz w:val="18"/>
                <w:szCs w:val="18"/>
              </w:rPr>
              <w:t xml:space="preserve">, to implement a harmonised regional Grid Code </w:t>
            </w:r>
          </w:p>
        </w:tc>
        <w:tc>
          <w:tcPr>
            <w:tcW w:w="2160" w:type="dxa"/>
          </w:tcPr>
          <w:p w14:paraId="4ADEE95D" w14:textId="77777777" w:rsidR="003A28EB" w:rsidRPr="00316837" w:rsidRDefault="003A28EB" w:rsidP="003A28EB">
            <w:pPr>
              <w:spacing w:before="120" w:after="120"/>
              <w:jc w:val="left"/>
              <w:rPr>
                <w:rFonts w:eastAsia="Calibri"/>
                <w:bCs/>
                <w:sz w:val="18"/>
                <w:szCs w:val="18"/>
              </w:rPr>
            </w:pPr>
          </w:p>
        </w:tc>
      </w:tr>
      <w:tr w:rsidR="003E2DB6" w:rsidRPr="00316837" w14:paraId="78A4361D" w14:textId="77777777" w:rsidTr="00E16180">
        <w:tc>
          <w:tcPr>
            <w:tcW w:w="2785" w:type="dxa"/>
          </w:tcPr>
          <w:p w14:paraId="75D58D02" w14:textId="775A55B1" w:rsidR="003E2DB6" w:rsidRPr="00316837" w:rsidRDefault="00793223" w:rsidP="003A28EB">
            <w:pPr>
              <w:spacing w:before="120" w:after="120"/>
              <w:jc w:val="left"/>
              <w:rPr>
                <w:rFonts w:eastAsia="Calibri"/>
                <w:bCs/>
                <w:sz w:val="18"/>
                <w:szCs w:val="18"/>
              </w:rPr>
            </w:pPr>
            <w:bookmarkStart w:id="216" w:name="_Hlk76995501"/>
            <w:r w:rsidRPr="00316837">
              <w:rPr>
                <w:rFonts w:eastAsia="Calibri"/>
                <w:bCs/>
                <w:sz w:val="18"/>
                <w:szCs w:val="18"/>
              </w:rPr>
              <w:t xml:space="preserve">Market compatibility for trading </w:t>
            </w:r>
          </w:p>
        </w:tc>
        <w:tc>
          <w:tcPr>
            <w:tcW w:w="2520" w:type="dxa"/>
          </w:tcPr>
          <w:p w14:paraId="443A3B21" w14:textId="3BBB34F6" w:rsidR="003E2DB6" w:rsidRPr="00316837" w:rsidRDefault="00793223" w:rsidP="003A28EB">
            <w:pPr>
              <w:spacing w:before="120" w:after="120"/>
              <w:jc w:val="left"/>
              <w:rPr>
                <w:rFonts w:eastAsia="Calibri"/>
                <w:bCs/>
                <w:sz w:val="18"/>
                <w:szCs w:val="18"/>
              </w:rPr>
            </w:pPr>
            <w:r w:rsidRPr="00316837">
              <w:rPr>
                <w:rFonts w:eastAsia="Calibri"/>
                <w:bCs/>
                <w:sz w:val="18"/>
                <w:szCs w:val="18"/>
              </w:rPr>
              <w:t xml:space="preserve">The national TSOs to cooperate with Power Pools in market development processes to enable and facilitate national market participants to trade electricity across borders in the regional electricity markets </w:t>
            </w:r>
          </w:p>
          <w:p w14:paraId="1C8F7D77" w14:textId="0C30B011" w:rsidR="00793223" w:rsidRPr="00316837" w:rsidRDefault="00793223" w:rsidP="003A28EB">
            <w:pPr>
              <w:spacing w:before="120" w:after="120"/>
              <w:jc w:val="left"/>
              <w:rPr>
                <w:rFonts w:eastAsia="Calibri"/>
                <w:bCs/>
                <w:sz w:val="18"/>
                <w:szCs w:val="18"/>
              </w:rPr>
            </w:pPr>
            <w:r w:rsidRPr="00316837">
              <w:rPr>
                <w:rFonts w:eastAsia="Calibri"/>
                <w:bCs/>
                <w:sz w:val="18"/>
                <w:szCs w:val="18"/>
              </w:rPr>
              <w:lastRenderedPageBreak/>
              <w:t xml:space="preserve">National market participants to follow the processes </w:t>
            </w:r>
          </w:p>
        </w:tc>
        <w:tc>
          <w:tcPr>
            <w:tcW w:w="2430" w:type="dxa"/>
          </w:tcPr>
          <w:p w14:paraId="47CCFBE5" w14:textId="75E80D7F" w:rsidR="003E2DB6" w:rsidRPr="00316837" w:rsidRDefault="00793223" w:rsidP="003A28EB">
            <w:pPr>
              <w:spacing w:before="120" w:after="120"/>
              <w:jc w:val="left"/>
              <w:rPr>
                <w:rFonts w:eastAsia="Calibri"/>
                <w:bCs/>
                <w:sz w:val="18"/>
                <w:szCs w:val="18"/>
              </w:rPr>
            </w:pPr>
            <w:r w:rsidRPr="00316837">
              <w:rPr>
                <w:rFonts w:eastAsia="Calibri"/>
                <w:bCs/>
                <w:sz w:val="18"/>
                <w:szCs w:val="18"/>
              </w:rPr>
              <w:lastRenderedPageBreak/>
              <w:t xml:space="preserve">Power Pools and the regional regulatory authorities/associations to define market concept in terms of market trading platforms, and develop the rules which govern electricity trade in separate </w:t>
            </w:r>
            <w:r w:rsidRPr="00316837">
              <w:rPr>
                <w:rFonts w:eastAsia="Calibri"/>
                <w:bCs/>
                <w:sz w:val="18"/>
                <w:szCs w:val="18"/>
              </w:rPr>
              <w:lastRenderedPageBreak/>
              <w:t xml:space="preserve">market timeframes at the regional level </w:t>
            </w:r>
          </w:p>
        </w:tc>
        <w:tc>
          <w:tcPr>
            <w:tcW w:w="2160" w:type="dxa"/>
          </w:tcPr>
          <w:p w14:paraId="1DE86CD7" w14:textId="10D2B004" w:rsidR="003E2DB6" w:rsidRPr="00316837" w:rsidRDefault="00793223" w:rsidP="003A28EB">
            <w:pPr>
              <w:spacing w:before="120" w:after="120"/>
              <w:jc w:val="left"/>
              <w:rPr>
                <w:rFonts w:eastAsia="Calibri"/>
                <w:bCs/>
                <w:sz w:val="18"/>
                <w:szCs w:val="18"/>
              </w:rPr>
            </w:pPr>
            <w:r w:rsidRPr="00316837">
              <w:rPr>
                <w:rFonts w:eastAsia="Calibri"/>
                <w:bCs/>
                <w:sz w:val="18"/>
                <w:szCs w:val="18"/>
              </w:rPr>
              <w:lastRenderedPageBreak/>
              <w:t xml:space="preserve">Power Pools and the regional regulatory authorities/associations to align market concepts and market trading platforms, and harmonise the rules which govern electricity trade in separate market </w:t>
            </w:r>
            <w:r w:rsidRPr="00316837">
              <w:rPr>
                <w:rFonts w:eastAsia="Calibri"/>
                <w:bCs/>
                <w:sz w:val="18"/>
                <w:szCs w:val="18"/>
              </w:rPr>
              <w:lastRenderedPageBreak/>
              <w:t xml:space="preserve">timeframes at the inter-Pool level </w:t>
            </w:r>
          </w:p>
        </w:tc>
      </w:tr>
      <w:tr w:rsidR="00647BED" w:rsidRPr="00316837" w14:paraId="634BFC4E" w14:textId="77777777" w:rsidTr="00E16180">
        <w:tc>
          <w:tcPr>
            <w:tcW w:w="2785" w:type="dxa"/>
          </w:tcPr>
          <w:p w14:paraId="124BE0B5" w14:textId="456FCB70" w:rsidR="00647BED" w:rsidRPr="00316837" w:rsidRDefault="00647BED" w:rsidP="003A28EB">
            <w:pPr>
              <w:spacing w:before="120" w:after="120"/>
              <w:jc w:val="left"/>
              <w:rPr>
                <w:rFonts w:eastAsia="Calibri"/>
                <w:bCs/>
                <w:sz w:val="18"/>
                <w:szCs w:val="18"/>
              </w:rPr>
            </w:pPr>
            <w:r w:rsidRPr="00316837">
              <w:rPr>
                <w:rFonts w:eastAsia="Calibri"/>
                <w:bCs/>
                <w:sz w:val="18"/>
                <w:szCs w:val="18"/>
              </w:rPr>
              <w:lastRenderedPageBreak/>
              <w:t xml:space="preserve">Synchronising procedures </w:t>
            </w:r>
          </w:p>
        </w:tc>
        <w:tc>
          <w:tcPr>
            <w:tcW w:w="2520" w:type="dxa"/>
          </w:tcPr>
          <w:p w14:paraId="03F84238" w14:textId="6489782B" w:rsidR="00647BED" w:rsidRPr="00316837" w:rsidRDefault="00412E7F" w:rsidP="003A28EB">
            <w:pPr>
              <w:spacing w:before="120" w:after="120"/>
              <w:jc w:val="left"/>
              <w:rPr>
                <w:rFonts w:eastAsia="Calibri"/>
                <w:bCs/>
                <w:sz w:val="18"/>
                <w:szCs w:val="18"/>
              </w:rPr>
            </w:pPr>
            <w:r w:rsidRPr="00316837">
              <w:rPr>
                <w:rFonts w:eastAsia="Calibri"/>
                <w:bCs/>
                <w:sz w:val="18"/>
                <w:szCs w:val="18"/>
              </w:rPr>
              <w:t>The national TSOs and market participants to facilitate the synchronisation processes by fulfilling all the requirements set at the regional level</w:t>
            </w:r>
          </w:p>
        </w:tc>
        <w:tc>
          <w:tcPr>
            <w:tcW w:w="2430" w:type="dxa"/>
          </w:tcPr>
          <w:p w14:paraId="6611163D" w14:textId="597FCF2A" w:rsidR="00647BED" w:rsidRPr="00316837" w:rsidRDefault="00412E7F" w:rsidP="003A28EB">
            <w:pPr>
              <w:spacing w:before="120" w:after="120"/>
              <w:jc w:val="left"/>
              <w:rPr>
                <w:rFonts w:eastAsia="Calibri"/>
                <w:bCs/>
                <w:sz w:val="18"/>
                <w:szCs w:val="18"/>
              </w:rPr>
            </w:pPr>
            <w:r w:rsidRPr="00316837">
              <w:rPr>
                <w:rFonts w:eastAsia="Calibri"/>
                <w:bCs/>
                <w:sz w:val="18"/>
                <w:szCs w:val="18"/>
              </w:rPr>
              <w:t>Power Pools to develop a set of minimum requirements for the reliable and predictable synchronisation of the power systems at the regional level</w:t>
            </w:r>
          </w:p>
        </w:tc>
        <w:tc>
          <w:tcPr>
            <w:tcW w:w="2160" w:type="dxa"/>
          </w:tcPr>
          <w:p w14:paraId="388F0F55" w14:textId="404C2979" w:rsidR="00647BED" w:rsidRPr="00316837" w:rsidRDefault="00412E7F" w:rsidP="003A28EB">
            <w:pPr>
              <w:spacing w:before="120" w:after="120"/>
              <w:jc w:val="left"/>
              <w:rPr>
                <w:rFonts w:eastAsia="Calibri"/>
                <w:bCs/>
                <w:sz w:val="18"/>
                <w:szCs w:val="18"/>
              </w:rPr>
            </w:pPr>
            <w:r w:rsidRPr="00316837">
              <w:rPr>
                <w:rFonts w:eastAsia="Calibri"/>
                <w:bCs/>
                <w:sz w:val="18"/>
                <w:szCs w:val="18"/>
              </w:rPr>
              <w:t xml:space="preserve">Power Pools to harmonise the minimum requirements for the synchronisation at the inter-Power Pool level, i.e. the continental level </w:t>
            </w:r>
          </w:p>
        </w:tc>
      </w:tr>
      <w:tr w:rsidR="005A33E8" w:rsidRPr="00316837" w14:paraId="74599C75" w14:textId="77777777" w:rsidTr="00E16180">
        <w:tc>
          <w:tcPr>
            <w:tcW w:w="2785" w:type="dxa"/>
          </w:tcPr>
          <w:p w14:paraId="67B07632" w14:textId="5E586C0F" w:rsidR="005A33E8" w:rsidRPr="00316837" w:rsidRDefault="005A33E8" w:rsidP="003A28EB">
            <w:pPr>
              <w:spacing w:before="120" w:after="120"/>
              <w:jc w:val="left"/>
              <w:rPr>
                <w:rFonts w:eastAsia="Calibri"/>
                <w:bCs/>
                <w:sz w:val="18"/>
                <w:szCs w:val="18"/>
              </w:rPr>
            </w:pPr>
            <w:r w:rsidRPr="00316837">
              <w:rPr>
                <w:rFonts w:eastAsia="Calibri"/>
                <w:bCs/>
                <w:sz w:val="18"/>
                <w:szCs w:val="18"/>
              </w:rPr>
              <w:t>Operational data</w:t>
            </w:r>
            <w:r w:rsidR="001D4932" w:rsidRPr="00316837">
              <w:rPr>
                <w:rFonts w:eastAsia="Calibri"/>
                <w:bCs/>
                <w:sz w:val="18"/>
                <w:szCs w:val="18"/>
              </w:rPr>
              <w:t xml:space="preserve"> </w:t>
            </w:r>
          </w:p>
        </w:tc>
        <w:tc>
          <w:tcPr>
            <w:tcW w:w="2520" w:type="dxa"/>
          </w:tcPr>
          <w:p w14:paraId="77B33FF7" w14:textId="79C9D0D7" w:rsidR="005A33E8" w:rsidRPr="00316837" w:rsidRDefault="005A33E8" w:rsidP="003A28EB">
            <w:pPr>
              <w:spacing w:before="120" w:after="120"/>
              <w:jc w:val="left"/>
              <w:rPr>
                <w:rFonts w:eastAsia="Calibri"/>
                <w:bCs/>
                <w:sz w:val="18"/>
                <w:szCs w:val="18"/>
              </w:rPr>
            </w:pPr>
            <w:r w:rsidRPr="00316837">
              <w:rPr>
                <w:rFonts w:eastAsia="Calibri"/>
                <w:bCs/>
                <w:sz w:val="18"/>
                <w:szCs w:val="18"/>
              </w:rPr>
              <w:t xml:space="preserve">The national TSOs to cooperate with each other and the relevant Control Area Operators and the RSMOs when </w:t>
            </w:r>
            <w:r w:rsidR="00BD4E67" w:rsidRPr="00316837">
              <w:rPr>
                <w:rFonts w:eastAsia="Calibri"/>
                <w:bCs/>
                <w:sz w:val="18"/>
                <w:szCs w:val="18"/>
              </w:rPr>
              <w:t xml:space="preserve">developing </w:t>
            </w:r>
            <w:r w:rsidRPr="00316837">
              <w:rPr>
                <w:rFonts w:eastAsia="Calibri"/>
                <w:bCs/>
                <w:sz w:val="18"/>
                <w:szCs w:val="18"/>
              </w:rPr>
              <w:t xml:space="preserve"> the specifications for the operational data </w:t>
            </w:r>
          </w:p>
        </w:tc>
        <w:tc>
          <w:tcPr>
            <w:tcW w:w="2430" w:type="dxa"/>
          </w:tcPr>
          <w:p w14:paraId="32A9E4D6" w14:textId="01367031" w:rsidR="005A33E8" w:rsidRPr="00316837" w:rsidRDefault="005A33E8" w:rsidP="003A28EB">
            <w:pPr>
              <w:spacing w:before="120" w:after="120"/>
              <w:jc w:val="left"/>
              <w:rPr>
                <w:rFonts w:eastAsia="Calibri"/>
                <w:bCs/>
                <w:sz w:val="18"/>
                <w:szCs w:val="18"/>
              </w:rPr>
            </w:pPr>
            <w:r w:rsidRPr="00316837">
              <w:rPr>
                <w:rFonts w:eastAsia="Calibri"/>
                <w:bCs/>
                <w:sz w:val="18"/>
                <w:szCs w:val="18"/>
              </w:rPr>
              <w:t>Power Pools to specify the minimum operational data to be shared between adjacent and non-adjacent system operators, and develop means of communicating these data</w:t>
            </w:r>
            <w:r w:rsidR="001D4932" w:rsidRPr="00316837">
              <w:rPr>
                <w:rFonts w:eastAsia="Calibri"/>
                <w:bCs/>
                <w:sz w:val="18"/>
                <w:szCs w:val="18"/>
              </w:rPr>
              <w:t xml:space="preserve"> </w:t>
            </w:r>
          </w:p>
        </w:tc>
        <w:tc>
          <w:tcPr>
            <w:tcW w:w="2160" w:type="dxa"/>
          </w:tcPr>
          <w:p w14:paraId="3ABCB431" w14:textId="207ABB21" w:rsidR="005A33E8" w:rsidRPr="00316837" w:rsidRDefault="005A33E8" w:rsidP="003A28EB">
            <w:pPr>
              <w:spacing w:before="120" w:after="120"/>
              <w:jc w:val="left"/>
              <w:rPr>
                <w:rFonts w:eastAsia="Calibri"/>
                <w:bCs/>
                <w:sz w:val="18"/>
                <w:szCs w:val="18"/>
              </w:rPr>
            </w:pPr>
            <w:r w:rsidRPr="00316837">
              <w:rPr>
                <w:rFonts w:eastAsia="Calibri"/>
                <w:bCs/>
                <w:sz w:val="18"/>
                <w:szCs w:val="18"/>
              </w:rPr>
              <w:t>Power Pools to harmonise the minimum operational datasets to be shared after the synchronisation at the inter-Power Pool level, i.e. the continental level</w:t>
            </w:r>
            <w:r w:rsidR="001D4932" w:rsidRPr="00316837">
              <w:rPr>
                <w:rFonts w:eastAsia="Calibri"/>
                <w:bCs/>
                <w:sz w:val="18"/>
                <w:szCs w:val="18"/>
              </w:rPr>
              <w:t xml:space="preserve"> </w:t>
            </w:r>
          </w:p>
        </w:tc>
      </w:tr>
      <w:tr w:rsidR="00F831B1" w:rsidRPr="00316837" w14:paraId="5ADD9615" w14:textId="77777777" w:rsidTr="00E16180">
        <w:tc>
          <w:tcPr>
            <w:tcW w:w="2785" w:type="dxa"/>
          </w:tcPr>
          <w:p w14:paraId="4054DC11" w14:textId="6E671C34" w:rsidR="00F831B1" w:rsidRPr="00316837" w:rsidRDefault="00F831B1" w:rsidP="003A28EB">
            <w:pPr>
              <w:spacing w:before="120" w:after="120"/>
              <w:jc w:val="left"/>
              <w:rPr>
                <w:rFonts w:eastAsia="Calibri"/>
                <w:bCs/>
                <w:sz w:val="18"/>
                <w:szCs w:val="18"/>
              </w:rPr>
            </w:pPr>
            <w:r w:rsidRPr="00316837">
              <w:rPr>
                <w:rFonts w:eastAsia="Calibri"/>
                <w:bCs/>
                <w:sz w:val="18"/>
                <w:szCs w:val="18"/>
              </w:rPr>
              <w:t xml:space="preserve">Transmission capacity allocation </w:t>
            </w:r>
          </w:p>
        </w:tc>
        <w:tc>
          <w:tcPr>
            <w:tcW w:w="2520" w:type="dxa"/>
          </w:tcPr>
          <w:p w14:paraId="128B522B" w14:textId="7171B075" w:rsidR="00F831B1" w:rsidRPr="00316837" w:rsidRDefault="00F831B1" w:rsidP="003A28EB">
            <w:pPr>
              <w:spacing w:before="120" w:after="120"/>
              <w:jc w:val="left"/>
              <w:rPr>
                <w:rFonts w:eastAsia="Calibri"/>
                <w:bCs/>
                <w:sz w:val="18"/>
                <w:szCs w:val="18"/>
              </w:rPr>
            </w:pPr>
            <w:r w:rsidRPr="00316837">
              <w:rPr>
                <w:rFonts w:eastAsia="Calibri"/>
                <w:bCs/>
                <w:sz w:val="18"/>
                <w:szCs w:val="18"/>
              </w:rPr>
              <w:t xml:space="preserve">The national TSOs and the national regulatory authorities to participate in development of the regional cross-border transmission capacity allocation rules and develop the rules for bilateral allocation </w:t>
            </w:r>
          </w:p>
        </w:tc>
        <w:tc>
          <w:tcPr>
            <w:tcW w:w="2430" w:type="dxa"/>
          </w:tcPr>
          <w:p w14:paraId="05DBF4DF" w14:textId="41214ABE" w:rsidR="00F831B1" w:rsidRPr="00316837" w:rsidRDefault="00F831B1" w:rsidP="003A28EB">
            <w:pPr>
              <w:spacing w:before="120" w:after="120"/>
              <w:jc w:val="left"/>
              <w:rPr>
                <w:rFonts w:eastAsia="Calibri"/>
                <w:bCs/>
                <w:sz w:val="18"/>
                <w:szCs w:val="18"/>
              </w:rPr>
            </w:pPr>
            <w:r w:rsidRPr="00316837">
              <w:rPr>
                <w:rFonts w:eastAsia="Calibri"/>
                <w:bCs/>
                <w:sz w:val="18"/>
                <w:szCs w:val="18"/>
              </w:rPr>
              <w:t xml:space="preserve">Power Pools and the regional regulatory authorities/associations to develop a methodology for allocation of cross-border transmission capacity at the regional level </w:t>
            </w:r>
          </w:p>
        </w:tc>
        <w:tc>
          <w:tcPr>
            <w:tcW w:w="2160" w:type="dxa"/>
          </w:tcPr>
          <w:p w14:paraId="624DB9CB" w14:textId="0AE0D119" w:rsidR="00F831B1" w:rsidRPr="00316837" w:rsidRDefault="00F831B1" w:rsidP="003A28EB">
            <w:pPr>
              <w:spacing w:before="120" w:after="120"/>
              <w:jc w:val="left"/>
              <w:rPr>
                <w:rFonts w:eastAsia="Calibri"/>
                <w:bCs/>
                <w:sz w:val="18"/>
                <w:szCs w:val="18"/>
              </w:rPr>
            </w:pPr>
            <w:r w:rsidRPr="00316837">
              <w:rPr>
                <w:rFonts w:eastAsia="Calibri"/>
                <w:bCs/>
                <w:sz w:val="18"/>
                <w:szCs w:val="18"/>
              </w:rPr>
              <w:t xml:space="preserve">Power Pools and the regional regulatory authorities/associations to harmonise the regional methodologies at the continental level (inter-Power Pool) </w:t>
            </w:r>
          </w:p>
        </w:tc>
      </w:tr>
      <w:bookmarkEnd w:id="216"/>
      <w:tr w:rsidR="00F831B1" w:rsidRPr="00316837" w14:paraId="410FC606" w14:textId="77777777" w:rsidTr="00E16180">
        <w:tc>
          <w:tcPr>
            <w:tcW w:w="2785" w:type="dxa"/>
          </w:tcPr>
          <w:p w14:paraId="1F1EC90B" w14:textId="1F69A4BA"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Ancillary </w:t>
            </w:r>
            <w:r w:rsidR="00CD1EBE" w:rsidRPr="00316837">
              <w:rPr>
                <w:rFonts w:eastAsia="Calibri"/>
                <w:bCs/>
                <w:sz w:val="18"/>
                <w:szCs w:val="18"/>
              </w:rPr>
              <w:t>s</w:t>
            </w:r>
            <w:r w:rsidRPr="00316837">
              <w:rPr>
                <w:rFonts w:eastAsia="Calibri"/>
                <w:bCs/>
                <w:sz w:val="18"/>
                <w:szCs w:val="18"/>
              </w:rPr>
              <w:t xml:space="preserve">ervices </w:t>
            </w:r>
            <w:r w:rsidR="00CD1EBE" w:rsidRPr="00316837">
              <w:rPr>
                <w:rFonts w:eastAsia="Calibri"/>
                <w:bCs/>
                <w:sz w:val="18"/>
                <w:szCs w:val="18"/>
              </w:rPr>
              <w:t>a</w:t>
            </w:r>
            <w:r w:rsidRPr="00316837">
              <w:rPr>
                <w:rFonts w:eastAsia="Calibri"/>
                <w:bCs/>
                <w:sz w:val="18"/>
                <w:szCs w:val="18"/>
              </w:rPr>
              <w:t>dequacy</w:t>
            </w:r>
            <w:r w:rsidR="001D4932" w:rsidRPr="00316837">
              <w:rPr>
                <w:rFonts w:eastAsia="Calibri"/>
                <w:bCs/>
                <w:sz w:val="18"/>
                <w:szCs w:val="18"/>
              </w:rPr>
              <w:t xml:space="preserve"> </w:t>
            </w:r>
          </w:p>
        </w:tc>
        <w:tc>
          <w:tcPr>
            <w:tcW w:w="2520" w:type="dxa"/>
          </w:tcPr>
          <w:p w14:paraId="3121D95F" w14:textId="19BD2A34" w:rsidR="003A28EB" w:rsidRPr="00316837" w:rsidRDefault="00CD1EBE" w:rsidP="003A28EB">
            <w:pPr>
              <w:spacing w:before="120" w:after="120"/>
              <w:jc w:val="left"/>
              <w:rPr>
                <w:rFonts w:eastAsia="Calibri"/>
                <w:bCs/>
                <w:sz w:val="18"/>
                <w:szCs w:val="18"/>
              </w:rPr>
            </w:pPr>
            <w:r w:rsidRPr="00316837">
              <w:rPr>
                <w:rFonts w:eastAsia="Calibri"/>
                <w:bCs/>
                <w:sz w:val="18"/>
                <w:szCs w:val="18"/>
              </w:rPr>
              <w:t>The n</w:t>
            </w:r>
            <w:r w:rsidR="003A28EB" w:rsidRPr="00316837">
              <w:rPr>
                <w:rFonts w:eastAsia="Calibri"/>
                <w:bCs/>
                <w:sz w:val="18"/>
                <w:szCs w:val="18"/>
              </w:rPr>
              <w:t xml:space="preserve">ational TSOs to ensure availability of operating reserves and other ancillary services as per the </w:t>
            </w:r>
            <w:r w:rsidRPr="00316837">
              <w:rPr>
                <w:rFonts w:eastAsia="Calibri"/>
                <w:bCs/>
                <w:sz w:val="18"/>
                <w:szCs w:val="18"/>
              </w:rPr>
              <w:t>national G</w:t>
            </w:r>
            <w:r w:rsidR="003A28EB" w:rsidRPr="00316837">
              <w:rPr>
                <w:rFonts w:eastAsia="Calibri"/>
                <w:bCs/>
                <w:sz w:val="18"/>
                <w:szCs w:val="18"/>
              </w:rPr>
              <w:t xml:space="preserve">rid </w:t>
            </w:r>
            <w:r w:rsidRPr="00316837">
              <w:rPr>
                <w:rFonts w:eastAsia="Calibri"/>
                <w:bCs/>
                <w:sz w:val="18"/>
                <w:szCs w:val="18"/>
              </w:rPr>
              <w:t>C</w:t>
            </w:r>
            <w:r w:rsidR="003A28EB" w:rsidRPr="00316837">
              <w:rPr>
                <w:rFonts w:eastAsia="Calibri"/>
                <w:bCs/>
                <w:sz w:val="18"/>
                <w:szCs w:val="18"/>
              </w:rPr>
              <w:t>ode</w:t>
            </w:r>
            <w:r w:rsidR="001D4932" w:rsidRPr="00316837">
              <w:rPr>
                <w:rFonts w:eastAsia="Calibri"/>
                <w:bCs/>
                <w:sz w:val="18"/>
                <w:szCs w:val="18"/>
              </w:rPr>
              <w:t>,</w:t>
            </w:r>
            <w:r w:rsidRPr="00316837">
              <w:rPr>
                <w:rFonts w:eastAsia="Calibri"/>
                <w:bCs/>
                <w:sz w:val="18"/>
                <w:szCs w:val="18"/>
              </w:rPr>
              <w:t xml:space="preserve"> which is harmonised with the regional one</w:t>
            </w:r>
            <w:r w:rsidR="003A28EB" w:rsidRPr="00316837">
              <w:rPr>
                <w:rFonts w:eastAsia="Calibri"/>
                <w:bCs/>
                <w:sz w:val="18"/>
                <w:szCs w:val="18"/>
              </w:rPr>
              <w:t>, for restoring system imbalance</w:t>
            </w:r>
            <w:r w:rsidR="00A2145D" w:rsidRPr="00316837">
              <w:rPr>
                <w:rFonts w:eastAsia="Calibri"/>
                <w:bCs/>
                <w:sz w:val="18"/>
                <w:szCs w:val="18"/>
              </w:rPr>
              <w:t xml:space="preserve"> </w:t>
            </w:r>
          </w:p>
        </w:tc>
        <w:tc>
          <w:tcPr>
            <w:tcW w:w="2430" w:type="dxa"/>
          </w:tcPr>
          <w:p w14:paraId="7A9CE2A8" w14:textId="560EC7C5" w:rsidR="003A28EB" w:rsidRPr="00316837" w:rsidRDefault="00CD1EBE" w:rsidP="003A28EB">
            <w:pPr>
              <w:spacing w:before="120" w:after="120"/>
              <w:jc w:val="left"/>
              <w:rPr>
                <w:rFonts w:eastAsia="Calibri"/>
                <w:bCs/>
                <w:sz w:val="18"/>
                <w:szCs w:val="18"/>
              </w:rPr>
            </w:pPr>
            <w:r w:rsidRPr="00316837">
              <w:rPr>
                <w:rFonts w:eastAsia="Calibri"/>
                <w:bCs/>
                <w:sz w:val="18"/>
                <w:szCs w:val="18"/>
              </w:rPr>
              <w:t>The R</w:t>
            </w:r>
            <w:r w:rsidR="003A28EB" w:rsidRPr="00316837">
              <w:rPr>
                <w:rFonts w:eastAsia="Calibri"/>
                <w:bCs/>
                <w:sz w:val="18"/>
                <w:szCs w:val="18"/>
              </w:rPr>
              <w:t xml:space="preserve">SMO to ensure each Control Area </w:t>
            </w:r>
            <w:r w:rsidRPr="00316837">
              <w:rPr>
                <w:rFonts w:eastAsia="Calibri"/>
                <w:bCs/>
                <w:sz w:val="18"/>
                <w:szCs w:val="18"/>
              </w:rPr>
              <w:t xml:space="preserve">Operator </w:t>
            </w:r>
            <w:r w:rsidR="003A28EB" w:rsidRPr="00316837">
              <w:rPr>
                <w:rFonts w:eastAsia="Calibri"/>
                <w:bCs/>
                <w:sz w:val="18"/>
                <w:szCs w:val="18"/>
              </w:rPr>
              <w:t>has adequate operating reserves and other ancillary services, to restore system imbalance as per the regional Grid Code</w:t>
            </w:r>
            <w:r w:rsidR="00A2145D" w:rsidRPr="00316837">
              <w:rPr>
                <w:rFonts w:eastAsia="Calibri"/>
                <w:bCs/>
                <w:sz w:val="18"/>
                <w:szCs w:val="18"/>
              </w:rPr>
              <w:t xml:space="preserve"> </w:t>
            </w:r>
          </w:p>
          <w:p w14:paraId="5708CD5F" w14:textId="26348A41" w:rsidR="003A28EB" w:rsidRPr="00316837" w:rsidRDefault="003A28EB" w:rsidP="003A28EB">
            <w:pPr>
              <w:spacing w:before="120" w:after="120"/>
              <w:jc w:val="left"/>
              <w:rPr>
                <w:rFonts w:eastAsia="Calibri"/>
                <w:bCs/>
                <w:sz w:val="18"/>
                <w:szCs w:val="18"/>
              </w:rPr>
            </w:pPr>
            <w:r w:rsidRPr="00316837">
              <w:rPr>
                <w:rFonts w:eastAsia="Calibri"/>
                <w:bCs/>
                <w:sz w:val="18"/>
                <w:szCs w:val="18"/>
              </w:rPr>
              <w:t xml:space="preserve">Align </w:t>
            </w:r>
            <w:r w:rsidR="00CD1EBE" w:rsidRPr="00316837">
              <w:rPr>
                <w:rFonts w:eastAsia="Calibri"/>
                <w:bCs/>
                <w:sz w:val="18"/>
                <w:szCs w:val="18"/>
              </w:rPr>
              <w:t>u</w:t>
            </w:r>
            <w:r w:rsidRPr="00316837">
              <w:rPr>
                <w:rFonts w:eastAsia="Calibri"/>
                <w:bCs/>
                <w:sz w:val="18"/>
                <w:szCs w:val="18"/>
              </w:rPr>
              <w:t xml:space="preserve">nder-frequency </w:t>
            </w:r>
            <w:r w:rsidR="00CD1EBE" w:rsidRPr="00316837">
              <w:rPr>
                <w:rFonts w:eastAsia="Calibri"/>
                <w:bCs/>
                <w:sz w:val="18"/>
                <w:szCs w:val="18"/>
              </w:rPr>
              <w:t>l</w:t>
            </w:r>
            <w:r w:rsidRPr="00316837">
              <w:rPr>
                <w:rFonts w:eastAsia="Calibri"/>
                <w:bCs/>
                <w:sz w:val="18"/>
                <w:szCs w:val="18"/>
              </w:rPr>
              <w:t xml:space="preserve">oad </w:t>
            </w:r>
            <w:r w:rsidR="00CD1EBE" w:rsidRPr="00316837">
              <w:rPr>
                <w:rFonts w:eastAsia="Calibri"/>
                <w:bCs/>
                <w:sz w:val="18"/>
                <w:szCs w:val="18"/>
              </w:rPr>
              <w:t>s</w:t>
            </w:r>
            <w:r w:rsidRPr="00316837">
              <w:rPr>
                <w:rFonts w:eastAsia="Calibri"/>
                <w:bCs/>
                <w:sz w:val="18"/>
                <w:szCs w:val="18"/>
              </w:rPr>
              <w:t xml:space="preserve">hedding </w:t>
            </w:r>
            <w:r w:rsidR="00CD1EBE" w:rsidRPr="00316837">
              <w:rPr>
                <w:rFonts w:eastAsia="Calibri"/>
                <w:bCs/>
                <w:sz w:val="18"/>
                <w:szCs w:val="18"/>
              </w:rPr>
              <w:t xml:space="preserve">protection </w:t>
            </w:r>
            <w:r w:rsidRPr="00316837">
              <w:rPr>
                <w:rFonts w:eastAsia="Calibri"/>
                <w:bCs/>
                <w:sz w:val="18"/>
                <w:szCs w:val="18"/>
              </w:rPr>
              <w:t xml:space="preserve">in </w:t>
            </w:r>
            <w:r w:rsidR="00CD1EBE" w:rsidRPr="00316837">
              <w:rPr>
                <w:rFonts w:eastAsia="Calibri"/>
                <w:bCs/>
                <w:sz w:val="18"/>
                <w:szCs w:val="18"/>
              </w:rPr>
              <w:t xml:space="preserve">all Power Pool </w:t>
            </w:r>
            <w:r w:rsidRPr="00316837">
              <w:rPr>
                <w:rFonts w:eastAsia="Calibri"/>
                <w:bCs/>
                <w:sz w:val="18"/>
                <w:szCs w:val="18"/>
              </w:rPr>
              <w:t>member utilities for uniform setting</w:t>
            </w:r>
            <w:r w:rsidR="00A2145D" w:rsidRPr="00316837">
              <w:rPr>
                <w:rFonts w:eastAsia="Calibri"/>
                <w:bCs/>
                <w:sz w:val="18"/>
                <w:szCs w:val="18"/>
              </w:rPr>
              <w:t xml:space="preserve"> </w:t>
            </w:r>
          </w:p>
        </w:tc>
        <w:tc>
          <w:tcPr>
            <w:tcW w:w="2160" w:type="dxa"/>
          </w:tcPr>
          <w:p w14:paraId="07BB8CA8" w14:textId="77777777" w:rsidR="003A28EB" w:rsidRPr="00316837" w:rsidRDefault="003A28EB" w:rsidP="003A28EB">
            <w:pPr>
              <w:spacing w:before="120" w:after="120"/>
              <w:jc w:val="left"/>
              <w:rPr>
                <w:rFonts w:eastAsia="Calibri"/>
                <w:bCs/>
                <w:sz w:val="18"/>
                <w:szCs w:val="18"/>
              </w:rPr>
            </w:pPr>
          </w:p>
        </w:tc>
      </w:tr>
    </w:tbl>
    <w:p w14:paraId="195D29E3" w14:textId="0B373F09" w:rsidR="00744D32" w:rsidRPr="00316837" w:rsidRDefault="00744D32" w:rsidP="00744D32">
      <w:pPr>
        <w:pStyle w:val="Heading3"/>
        <w:rPr>
          <w:rFonts w:eastAsia="Calibri"/>
        </w:rPr>
      </w:pPr>
      <w:bookmarkStart w:id="217" w:name="_Toc77260331"/>
      <w:r w:rsidRPr="00316837">
        <w:rPr>
          <w:rFonts w:eastAsia="Calibri"/>
        </w:rPr>
        <w:t>Medium-Term (2026-2030)</w:t>
      </w:r>
      <w:bookmarkEnd w:id="217"/>
    </w:p>
    <w:p w14:paraId="527BF7E2" w14:textId="270358D7" w:rsidR="00273F30" w:rsidRPr="00681DAA" w:rsidRDefault="00273F30" w:rsidP="00273F30">
      <w:pPr>
        <w:rPr>
          <w:rFonts w:eastAsia="Calibri"/>
          <w:szCs w:val="20"/>
        </w:rPr>
      </w:pPr>
      <w:bookmarkStart w:id="218" w:name="_Hlk76982301"/>
      <w:r w:rsidRPr="00316837">
        <w:rPr>
          <w:rFonts w:eastAsia="Calibri"/>
        </w:rPr>
        <w:t xml:space="preserve">The medium-term Action Plan identifies the key activities required at the national, regional and continental </w:t>
      </w:r>
      <w:r w:rsidRPr="00316837">
        <w:rPr>
          <w:rFonts w:eastAsia="Calibri"/>
          <w:szCs w:val="20"/>
        </w:rPr>
        <w:t xml:space="preserve">levels, to achieve the Technical and Operational Readiness for cross-border electricity trading (see </w:t>
      </w:r>
      <w:r w:rsidRPr="00681DAA">
        <w:rPr>
          <w:rFonts w:eastAsia="Calibri"/>
          <w:szCs w:val="20"/>
        </w:rPr>
        <w:fldChar w:fldCharType="begin"/>
      </w:r>
      <w:r w:rsidRPr="00316837">
        <w:rPr>
          <w:rFonts w:eastAsia="Calibri"/>
          <w:szCs w:val="20"/>
        </w:rPr>
        <w:instrText xml:space="preserve"> REF _Ref76981265 \h  \* MERGEFORMAT </w:instrText>
      </w:r>
      <w:r w:rsidRPr="00681DAA">
        <w:rPr>
          <w:rFonts w:eastAsia="Calibri"/>
          <w:szCs w:val="20"/>
        </w:rPr>
      </w:r>
      <w:r w:rsidRPr="00681DAA">
        <w:rPr>
          <w:rFonts w:eastAsia="Calibri"/>
          <w:szCs w:val="20"/>
        </w:rPr>
        <w:fldChar w:fldCharType="separate"/>
      </w:r>
      <w:r w:rsidR="00C94CE5" w:rsidRPr="00681DAA">
        <w:rPr>
          <w:szCs w:val="20"/>
        </w:rPr>
        <w:t>Table 7</w:t>
      </w:r>
      <w:r w:rsidR="00C94CE5" w:rsidRPr="00681DAA">
        <w:rPr>
          <w:szCs w:val="20"/>
        </w:rPr>
        <w:noBreakHyphen/>
        <w:t>3</w:t>
      </w:r>
      <w:r w:rsidRPr="00681DAA">
        <w:rPr>
          <w:rFonts w:eastAsia="Calibri"/>
          <w:szCs w:val="20"/>
        </w:rPr>
        <w:fldChar w:fldCharType="end"/>
      </w:r>
      <w:r w:rsidRPr="00654753">
        <w:rPr>
          <w:rFonts w:eastAsia="Calibri"/>
          <w:szCs w:val="20"/>
        </w:rPr>
        <w:t xml:space="preserve">). </w:t>
      </w:r>
    </w:p>
    <w:p w14:paraId="78E1896A" w14:textId="729FD091" w:rsidR="00273F30" w:rsidRPr="00316837" w:rsidRDefault="00273F30" w:rsidP="00273F30">
      <w:pPr>
        <w:rPr>
          <w:sz w:val="18"/>
          <w:szCs w:val="18"/>
        </w:rPr>
      </w:pPr>
      <w:bookmarkStart w:id="219" w:name="_Ref76981265"/>
      <w:bookmarkStart w:id="220" w:name="_Toc77260260"/>
      <w:r w:rsidRPr="00316837">
        <w:rPr>
          <w:sz w:val="18"/>
          <w:szCs w:val="18"/>
        </w:rPr>
        <w:t xml:space="preserve">Table </w:t>
      </w:r>
      <w:r w:rsidRPr="00681DAA">
        <w:rPr>
          <w:sz w:val="18"/>
          <w:szCs w:val="18"/>
        </w:rPr>
        <w:fldChar w:fldCharType="begin"/>
      </w:r>
      <w:r w:rsidRPr="00316837">
        <w:rPr>
          <w:sz w:val="18"/>
          <w:szCs w:val="18"/>
        </w:rPr>
        <w:instrText xml:space="preserve"> STYLEREF 1 \s </w:instrText>
      </w:r>
      <w:r w:rsidRPr="00681DAA">
        <w:rPr>
          <w:sz w:val="18"/>
          <w:szCs w:val="18"/>
        </w:rPr>
        <w:fldChar w:fldCharType="separate"/>
      </w:r>
      <w:r w:rsidRPr="00681DAA">
        <w:rPr>
          <w:sz w:val="18"/>
          <w:szCs w:val="18"/>
        </w:rPr>
        <w:t>7</w:t>
      </w:r>
      <w:r w:rsidRPr="00681DAA">
        <w:rPr>
          <w:sz w:val="18"/>
          <w:szCs w:val="18"/>
        </w:rPr>
        <w:fldChar w:fldCharType="end"/>
      </w:r>
      <w:r w:rsidRPr="00654753">
        <w:rPr>
          <w:sz w:val="18"/>
          <w:szCs w:val="18"/>
        </w:rPr>
        <w:noBreakHyphen/>
      </w:r>
      <w:r w:rsidRPr="00681DAA">
        <w:rPr>
          <w:sz w:val="18"/>
          <w:szCs w:val="18"/>
        </w:rPr>
        <w:fldChar w:fldCharType="begin"/>
      </w:r>
      <w:r w:rsidRPr="00316837">
        <w:rPr>
          <w:sz w:val="18"/>
          <w:szCs w:val="18"/>
        </w:rPr>
        <w:instrText xml:space="preserve"> SEQ Table \* ARABIC \s 1 </w:instrText>
      </w:r>
      <w:r w:rsidRPr="00681DAA">
        <w:rPr>
          <w:sz w:val="18"/>
          <w:szCs w:val="18"/>
        </w:rPr>
        <w:fldChar w:fldCharType="separate"/>
      </w:r>
      <w:r w:rsidR="00C94CE5" w:rsidRPr="00681DAA">
        <w:rPr>
          <w:sz w:val="18"/>
          <w:szCs w:val="18"/>
        </w:rPr>
        <w:t>3</w:t>
      </w:r>
      <w:r w:rsidRPr="00681DAA">
        <w:rPr>
          <w:sz w:val="18"/>
          <w:szCs w:val="18"/>
        </w:rPr>
        <w:fldChar w:fldCharType="end"/>
      </w:r>
      <w:bookmarkEnd w:id="219"/>
      <w:r w:rsidRPr="00654753">
        <w:rPr>
          <w:sz w:val="18"/>
          <w:szCs w:val="18"/>
        </w:rPr>
        <w:t>: The</w:t>
      </w:r>
      <w:r w:rsidRPr="00681DAA">
        <w:rPr>
          <w:sz w:val="18"/>
          <w:szCs w:val="18"/>
        </w:rPr>
        <w:t xml:space="preserve"> Medium-Term Action Plan</w:t>
      </w:r>
      <w:bookmarkEnd w:id="220"/>
      <w:r w:rsidRPr="00681DAA">
        <w:rPr>
          <w:sz w:val="18"/>
          <w:szCs w:val="18"/>
        </w:rPr>
        <w:t xml:space="preserve"> </w:t>
      </w:r>
    </w:p>
    <w:tbl>
      <w:tblPr>
        <w:tblStyle w:val="TableGrid"/>
        <w:tblW w:w="9895" w:type="dxa"/>
        <w:tblLook w:val="04A0" w:firstRow="1" w:lastRow="0" w:firstColumn="1" w:lastColumn="0" w:noHBand="0" w:noVBand="1"/>
      </w:tblPr>
      <w:tblGrid>
        <w:gridCol w:w="2785"/>
        <w:gridCol w:w="2520"/>
        <w:gridCol w:w="2430"/>
        <w:gridCol w:w="2160"/>
      </w:tblGrid>
      <w:tr w:rsidR="00273F30" w:rsidRPr="0069087F" w14:paraId="19A413EC" w14:textId="77777777" w:rsidTr="00E16180">
        <w:tc>
          <w:tcPr>
            <w:tcW w:w="2785" w:type="dxa"/>
            <w:vMerge w:val="restart"/>
            <w:shd w:val="clear" w:color="auto" w:fill="F2F2F2" w:themeFill="background1" w:themeFillShade="F2"/>
          </w:tcPr>
          <w:p w14:paraId="55CE291A" w14:textId="32E13A57" w:rsidR="00273F30" w:rsidRPr="006273BD" w:rsidRDefault="00273F30" w:rsidP="00E16180">
            <w:pPr>
              <w:spacing w:before="120" w:after="120"/>
              <w:jc w:val="left"/>
              <w:rPr>
                <w:rFonts w:eastAsia="Calibri"/>
                <w:b/>
                <w:sz w:val="18"/>
                <w:szCs w:val="18"/>
              </w:rPr>
            </w:pPr>
            <w:r w:rsidRPr="006273BD">
              <w:rPr>
                <w:rFonts w:eastAsia="Calibri"/>
                <w:b/>
                <w:sz w:val="18"/>
                <w:szCs w:val="18"/>
              </w:rPr>
              <w:t>Activity</w:t>
            </w:r>
            <w:r w:rsidR="001D4932" w:rsidRPr="006273BD">
              <w:rPr>
                <w:rFonts w:eastAsia="Calibri"/>
                <w:b/>
                <w:sz w:val="18"/>
                <w:szCs w:val="18"/>
              </w:rPr>
              <w:t xml:space="preserve"> </w:t>
            </w:r>
          </w:p>
        </w:tc>
        <w:tc>
          <w:tcPr>
            <w:tcW w:w="7110" w:type="dxa"/>
            <w:gridSpan w:val="3"/>
            <w:shd w:val="clear" w:color="auto" w:fill="F2F2F2" w:themeFill="background1" w:themeFillShade="F2"/>
          </w:tcPr>
          <w:p w14:paraId="610BB823" w14:textId="0587F7BC" w:rsidR="00273F30" w:rsidRPr="006273BD" w:rsidRDefault="00273F30" w:rsidP="00E16180">
            <w:pPr>
              <w:spacing w:before="120" w:after="120"/>
              <w:jc w:val="center"/>
              <w:rPr>
                <w:rFonts w:eastAsia="Calibri"/>
                <w:b/>
                <w:sz w:val="18"/>
                <w:szCs w:val="18"/>
              </w:rPr>
            </w:pPr>
            <w:r w:rsidRPr="006273BD">
              <w:rPr>
                <w:rFonts w:eastAsia="Calibri"/>
                <w:b/>
                <w:sz w:val="18"/>
                <w:szCs w:val="18"/>
              </w:rPr>
              <w:t>National, Regional and Continental Levels</w:t>
            </w:r>
            <w:r w:rsidR="001D4932" w:rsidRPr="006273BD">
              <w:rPr>
                <w:rFonts w:eastAsia="Calibri"/>
                <w:b/>
                <w:sz w:val="18"/>
                <w:szCs w:val="18"/>
              </w:rPr>
              <w:t xml:space="preserve"> </w:t>
            </w:r>
          </w:p>
        </w:tc>
      </w:tr>
      <w:tr w:rsidR="00273F30" w:rsidRPr="0069087F" w14:paraId="09D94C62" w14:textId="77777777" w:rsidTr="00E16180">
        <w:tc>
          <w:tcPr>
            <w:tcW w:w="2785" w:type="dxa"/>
            <w:vMerge/>
            <w:shd w:val="clear" w:color="auto" w:fill="F2F2F2" w:themeFill="background1" w:themeFillShade="F2"/>
          </w:tcPr>
          <w:p w14:paraId="469D0C37" w14:textId="77777777" w:rsidR="00273F30" w:rsidRPr="006273BD" w:rsidRDefault="00273F30" w:rsidP="00E16180">
            <w:pPr>
              <w:spacing w:before="120" w:after="120"/>
              <w:jc w:val="left"/>
              <w:rPr>
                <w:rFonts w:eastAsia="Calibri"/>
                <w:b/>
                <w:sz w:val="18"/>
                <w:szCs w:val="18"/>
              </w:rPr>
            </w:pPr>
          </w:p>
        </w:tc>
        <w:tc>
          <w:tcPr>
            <w:tcW w:w="2520" w:type="dxa"/>
            <w:shd w:val="clear" w:color="auto" w:fill="F2F2F2" w:themeFill="background1" w:themeFillShade="F2"/>
          </w:tcPr>
          <w:p w14:paraId="11EA7EC3" w14:textId="4C379424" w:rsidR="00273F30" w:rsidRPr="006273BD" w:rsidRDefault="00273F30" w:rsidP="00E16180">
            <w:pPr>
              <w:spacing w:before="120" w:after="120"/>
              <w:jc w:val="left"/>
              <w:rPr>
                <w:rFonts w:eastAsia="Calibri"/>
                <w:b/>
                <w:sz w:val="18"/>
                <w:szCs w:val="18"/>
              </w:rPr>
            </w:pPr>
            <w:r w:rsidRPr="006273BD">
              <w:rPr>
                <w:rFonts w:eastAsia="Calibri"/>
                <w:b/>
                <w:sz w:val="18"/>
                <w:szCs w:val="18"/>
              </w:rPr>
              <w:t>National</w:t>
            </w:r>
            <w:r w:rsidR="001D4932" w:rsidRPr="006273BD">
              <w:rPr>
                <w:rFonts w:eastAsia="Calibri"/>
                <w:b/>
                <w:sz w:val="18"/>
                <w:szCs w:val="18"/>
              </w:rPr>
              <w:t xml:space="preserve"> </w:t>
            </w:r>
          </w:p>
        </w:tc>
        <w:tc>
          <w:tcPr>
            <w:tcW w:w="2430" w:type="dxa"/>
            <w:shd w:val="clear" w:color="auto" w:fill="F2F2F2" w:themeFill="background1" w:themeFillShade="F2"/>
          </w:tcPr>
          <w:p w14:paraId="6C0DBE14" w14:textId="0B3B0B0D" w:rsidR="00273F30" w:rsidRPr="006273BD" w:rsidRDefault="00273F30" w:rsidP="00E16180">
            <w:pPr>
              <w:spacing w:before="120" w:after="120"/>
              <w:jc w:val="left"/>
              <w:rPr>
                <w:rFonts w:eastAsia="Calibri"/>
                <w:b/>
                <w:sz w:val="18"/>
                <w:szCs w:val="18"/>
              </w:rPr>
            </w:pPr>
            <w:r w:rsidRPr="006273BD">
              <w:rPr>
                <w:rFonts w:eastAsia="Calibri"/>
                <w:b/>
                <w:sz w:val="18"/>
                <w:szCs w:val="18"/>
              </w:rPr>
              <w:t>Regional</w:t>
            </w:r>
            <w:r w:rsidR="001D4932" w:rsidRPr="006273BD">
              <w:rPr>
                <w:rFonts w:eastAsia="Calibri"/>
                <w:b/>
                <w:sz w:val="18"/>
                <w:szCs w:val="18"/>
              </w:rPr>
              <w:t xml:space="preserve"> </w:t>
            </w:r>
          </w:p>
        </w:tc>
        <w:tc>
          <w:tcPr>
            <w:tcW w:w="2160" w:type="dxa"/>
            <w:shd w:val="clear" w:color="auto" w:fill="F2F2F2" w:themeFill="background1" w:themeFillShade="F2"/>
          </w:tcPr>
          <w:p w14:paraId="6641EACB" w14:textId="7323A4F9" w:rsidR="00273F30" w:rsidRPr="006273BD" w:rsidRDefault="00273F30" w:rsidP="00E16180">
            <w:pPr>
              <w:spacing w:before="120" w:after="120"/>
              <w:jc w:val="left"/>
              <w:rPr>
                <w:rFonts w:eastAsia="Calibri"/>
                <w:b/>
                <w:sz w:val="18"/>
                <w:szCs w:val="18"/>
              </w:rPr>
            </w:pPr>
            <w:r w:rsidRPr="006273BD">
              <w:rPr>
                <w:rFonts w:eastAsia="Calibri"/>
                <w:b/>
                <w:sz w:val="18"/>
                <w:szCs w:val="18"/>
              </w:rPr>
              <w:t>Continental</w:t>
            </w:r>
            <w:r w:rsidR="001D4932" w:rsidRPr="006273BD">
              <w:rPr>
                <w:rFonts w:eastAsia="Calibri"/>
                <w:b/>
                <w:sz w:val="18"/>
                <w:szCs w:val="18"/>
              </w:rPr>
              <w:t xml:space="preserve"> </w:t>
            </w:r>
          </w:p>
        </w:tc>
      </w:tr>
      <w:tr w:rsidR="00273F30" w:rsidRPr="00316837" w14:paraId="2D9F3FFC" w14:textId="77777777" w:rsidTr="001D4932">
        <w:trPr>
          <w:trHeight w:val="1071"/>
        </w:trPr>
        <w:tc>
          <w:tcPr>
            <w:tcW w:w="2785" w:type="dxa"/>
          </w:tcPr>
          <w:p w14:paraId="70540EE2" w14:textId="397CC797" w:rsidR="00273F30" w:rsidRPr="00316837" w:rsidRDefault="00273F30" w:rsidP="00E16180">
            <w:pPr>
              <w:spacing w:before="120" w:after="120"/>
              <w:jc w:val="left"/>
              <w:rPr>
                <w:rFonts w:eastAsia="Calibri"/>
                <w:bCs/>
                <w:sz w:val="18"/>
                <w:szCs w:val="18"/>
              </w:rPr>
            </w:pPr>
            <w:r w:rsidRPr="00316837">
              <w:rPr>
                <w:rFonts w:eastAsia="Calibri"/>
                <w:bCs/>
                <w:sz w:val="18"/>
                <w:szCs w:val="18"/>
              </w:rPr>
              <w:t>Generation and transmission system adequacy</w:t>
            </w:r>
            <w:r w:rsidR="001D4932" w:rsidRPr="00316837">
              <w:rPr>
                <w:rFonts w:eastAsia="Calibri"/>
                <w:bCs/>
                <w:sz w:val="18"/>
                <w:szCs w:val="18"/>
              </w:rPr>
              <w:t xml:space="preserve"> </w:t>
            </w:r>
          </w:p>
        </w:tc>
        <w:tc>
          <w:tcPr>
            <w:tcW w:w="2520" w:type="dxa"/>
          </w:tcPr>
          <w:p w14:paraId="63CBF8A6" w14:textId="1CFFE885" w:rsidR="00273F30" w:rsidRPr="00316837" w:rsidRDefault="00273F30" w:rsidP="00E16180">
            <w:pPr>
              <w:spacing w:before="120" w:after="120"/>
              <w:jc w:val="left"/>
              <w:rPr>
                <w:rFonts w:eastAsia="Calibri"/>
                <w:bCs/>
                <w:sz w:val="18"/>
                <w:szCs w:val="18"/>
              </w:rPr>
            </w:pPr>
            <w:r w:rsidRPr="00316837">
              <w:rPr>
                <w:rFonts w:eastAsia="Calibri"/>
                <w:bCs/>
                <w:sz w:val="18"/>
                <w:szCs w:val="18"/>
              </w:rPr>
              <w:t xml:space="preserve">The national TSOs and national regulatory authorities to collaborate with Power Pools and the regional regulatory authorities/associations, to </w:t>
            </w:r>
            <w:r w:rsidRPr="00316837">
              <w:rPr>
                <w:rFonts w:eastAsia="Calibri"/>
                <w:bCs/>
                <w:sz w:val="18"/>
                <w:szCs w:val="18"/>
              </w:rPr>
              <w:lastRenderedPageBreak/>
              <w:t xml:space="preserve">implement the medium-term projects identified in the Regional and Continental Master Plans </w:t>
            </w:r>
          </w:p>
        </w:tc>
        <w:tc>
          <w:tcPr>
            <w:tcW w:w="2430" w:type="dxa"/>
          </w:tcPr>
          <w:p w14:paraId="0C7DD1A6" w14:textId="4ECAABA3" w:rsidR="00273F30" w:rsidRPr="00316837" w:rsidRDefault="00273F30" w:rsidP="00E16180">
            <w:pPr>
              <w:spacing w:before="120" w:after="120"/>
              <w:jc w:val="left"/>
              <w:rPr>
                <w:rFonts w:eastAsia="Calibri"/>
                <w:bCs/>
                <w:sz w:val="18"/>
                <w:szCs w:val="18"/>
              </w:rPr>
            </w:pPr>
            <w:r w:rsidRPr="00316837">
              <w:rPr>
                <w:rFonts w:eastAsia="Calibri"/>
                <w:bCs/>
                <w:sz w:val="18"/>
                <w:szCs w:val="18"/>
              </w:rPr>
              <w:lastRenderedPageBreak/>
              <w:t xml:space="preserve">RECs, Power Pools, and the regional regulatory authorities/associations to collaborate with AUDA-NEPAD to implement the medium-term priority </w:t>
            </w:r>
            <w:r w:rsidRPr="00316837">
              <w:rPr>
                <w:rFonts w:eastAsia="Calibri"/>
                <w:bCs/>
                <w:sz w:val="18"/>
                <w:szCs w:val="18"/>
              </w:rPr>
              <w:lastRenderedPageBreak/>
              <w:t xml:space="preserve">projects identified in the Continental Master Plan </w:t>
            </w:r>
          </w:p>
        </w:tc>
        <w:tc>
          <w:tcPr>
            <w:tcW w:w="2160" w:type="dxa"/>
          </w:tcPr>
          <w:p w14:paraId="51E086C6" w14:textId="4F7062F3" w:rsidR="00273F30" w:rsidRPr="00316837" w:rsidRDefault="00273F30" w:rsidP="00E16180">
            <w:pPr>
              <w:spacing w:before="120" w:after="120"/>
              <w:jc w:val="left"/>
              <w:rPr>
                <w:rFonts w:eastAsia="Calibri"/>
                <w:bCs/>
                <w:sz w:val="18"/>
                <w:szCs w:val="18"/>
              </w:rPr>
            </w:pPr>
            <w:r w:rsidRPr="00316837">
              <w:rPr>
                <w:rFonts w:eastAsia="Calibri"/>
                <w:bCs/>
                <w:sz w:val="18"/>
                <w:szCs w:val="18"/>
              </w:rPr>
              <w:lastRenderedPageBreak/>
              <w:t xml:space="preserve">AUDA-NEPAD to work with Power Pools, the regional regulatory authorities/associations and RECs to implement the medium-term </w:t>
            </w:r>
            <w:r w:rsidRPr="00316837">
              <w:rPr>
                <w:rFonts w:eastAsia="Calibri"/>
                <w:bCs/>
                <w:sz w:val="18"/>
                <w:szCs w:val="18"/>
              </w:rPr>
              <w:lastRenderedPageBreak/>
              <w:t xml:space="preserve">priority generation and transmission projects, identified in the Continental Master Plan </w:t>
            </w:r>
          </w:p>
        </w:tc>
      </w:tr>
      <w:bookmarkEnd w:id="218"/>
      <w:tr w:rsidR="00273F30" w:rsidRPr="00316837" w14:paraId="167B4C9C" w14:textId="77777777" w:rsidTr="00E16180">
        <w:trPr>
          <w:trHeight w:val="1343"/>
        </w:trPr>
        <w:tc>
          <w:tcPr>
            <w:tcW w:w="2785" w:type="dxa"/>
          </w:tcPr>
          <w:p w14:paraId="1B952121" w14:textId="0301AB53" w:rsidR="00273F30" w:rsidRPr="00316837" w:rsidRDefault="00273F30" w:rsidP="00E16180">
            <w:pPr>
              <w:spacing w:before="120" w:after="120"/>
              <w:jc w:val="left"/>
              <w:rPr>
                <w:rFonts w:eastAsia="Calibri"/>
                <w:bCs/>
                <w:sz w:val="18"/>
                <w:szCs w:val="18"/>
              </w:rPr>
            </w:pPr>
            <w:r w:rsidRPr="00316837">
              <w:rPr>
                <w:rFonts w:eastAsia="Calibri"/>
                <w:bCs/>
                <w:sz w:val="18"/>
                <w:szCs w:val="18"/>
              </w:rPr>
              <w:lastRenderedPageBreak/>
              <w:t>Transmission system capacity readiness</w:t>
            </w:r>
            <w:r w:rsidR="001D4932" w:rsidRPr="00316837">
              <w:rPr>
                <w:rFonts w:eastAsia="Calibri"/>
                <w:bCs/>
                <w:sz w:val="18"/>
                <w:szCs w:val="18"/>
              </w:rPr>
              <w:t xml:space="preserve"> </w:t>
            </w:r>
          </w:p>
        </w:tc>
        <w:tc>
          <w:tcPr>
            <w:tcW w:w="2520" w:type="dxa"/>
          </w:tcPr>
          <w:p w14:paraId="7D92D38E" w14:textId="7D48F857"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Continue to implement projects to ensure that interconnectors meet the </w:t>
            </w:r>
            <w:r w:rsidR="00B6101C" w:rsidRPr="00316837">
              <w:rPr>
                <w:rFonts w:eastAsia="Calibri"/>
                <w:bCs/>
                <w:sz w:val="18"/>
                <w:szCs w:val="18"/>
              </w:rPr>
              <w:t>(</w:t>
            </w:r>
            <w:r w:rsidRPr="00316837">
              <w:rPr>
                <w:rFonts w:eastAsia="Calibri"/>
                <w:bCs/>
                <w:sz w:val="18"/>
                <w:szCs w:val="18"/>
              </w:rPr>
              <w:t>N-1</w:t>
            </w:r>
            <w:r w:rsidR="00B6101C" w:rsidRPr="00316837">
              <w:rPr>
                <w:rFonts w:eastAsia="Calibri"/>
                <w:bCs/>
                <w:sz w:val="18"/>
                <w:szCs w:val="18"/>
              </w:rPr>
              <w:t>)</w:t>
            </w:r>
            <w:r w:rsidRPr="00316837">
              <w:rPr>
                <w:rFonts w:eastAsia="Calibri"/>
                <w:bCs/>
                <w:sz w:val="18"/>
                <w:szCs w:val="18"/>
              </w:rPr>
              <w:t xml:space="preserve"> criteria </w:t>
            </w:r>
          </w:p>
          <w:p w14:paraId="79A04FE8" w14:textId="5E6F9670"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Implement the Quality of Service requirements for cross-border interconnectors, as per the regional Grid Code and technical regulations </w:t>
            </w:r>
          </w:p>
          <w:p w14:paraId="4324B2F3" w14:textId="699EDC06"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Continue to implement the TYTNDP, aligned with the Regional and Continental Master Plan </w:t>
            </w:r>
          </w:p>
        </w:tc>
        <w:tc>
          <w:tcPr>
            <w:tcW w:w="2430" w:type="dxa"/>
          </w:tcPr>
          <w:p w14:paraId="01430D19" w14:textId="207CF03A"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Verify the operational voltage limits of the interconnector for stability, as prescribed by the technical regulations and regional Grid Code </w:t>
            </w:r>
          </w:p>
          <w:p w14:paraId="1223602D" w14:textId="72163CDB" w:rsidR="00273F30" w:rsidRPr="00316837" w:rsidRDefault="00273F30" w:rsidP="00273F30">
            <w:pPr>
              <w:spacing w:before="120" w:after="120"/>
              <w:jc w:val="left"/>
              <w:rPr>
                <w:rFonts w:eastAsia="Calibri"/>
                <w:bCs/>
                <w:sz w:val="18"/>
                <w:szCs w:val="18"/>
              </w:rPr>
            </w:pPr>
            <w:r w:rsidRPr="00316837">
              <w:rPr>
                <w:rFonts w:eastAsia="Calibri"/>
                <w:bCs/>
                <w:sz w:val="18"/>
                <w:szCs w:val="18"/>
              </w:rPr>
              <w:t>Specify the Quality of Service criteria and the harmonic limits of the interconnector, as per the technical regulations and the regional Grid Code</w:t>
            </w:r>
            <w:r w:rsidR="001D4932" w:rsidRPr="00316837">
              <w:rPr>
                <w:rFonts w:eastAsia="Calibri"/>
                <w:bCs/>
                <w:sz w:val="18"/>
                <w:szCs w:val="18"/>
              </w:rPr>
              <w:t xml:space="preserve"> </w:t>
            </w:r>
          </w:p>
          <w:p w14:paraId="71F1E473" w14:textId="036310FE"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Power Pools to continue to implement the regional TYTNDPs, aligned with the Continental Master Plan </w:t>
            </w:r>
          </w:p>
        </w:tc>
        <w:tc>
          <w:tcPr>
            <w:tcW w:w="2160" w:type="dxa"/>
          </w:tcPr>
          <w:p w14:paraId="67D5F740" w14:textId="27EB225F" w:rsidR="00273F30" w:rsidRPr="00316837" w:rsidRDefault="00273F30" w:rsidP="00E16180">
            <w:pPr>
              <w:spacing w:before="120" w:after="120"/>
              <w:jc w:val="left"/>
              <w:rPr>
                <w:rFonts w:eastAsia="Calibri"/>
                <w:bCs/>
                <w:sz w:val="18"/>
                <w:szCs w:val="18"/>
              </w:rPr>
            </w:pPr>
            <w:r w:rsidRPr="00316837">
              <w:rPr>
                <w:rFonts w:eastAsia="Calibri"/>
                <w:bCs/>
                <w:sz w:val="18"/>
                <w:szCs w:val="18"/>
              </w:rPr>
              <w:t xml:space="preserve">AUC(-DIE) to monitor the evolution and operation of the single and integrated continental electricity market (AfSEM) </w:t>
            </w:r>
          </w:p>
        </w:tc>
      </w:tr>
      <w:tr w:rsidR="00273F30" w:rsidRPr="00316837" w14:paraId="53B7687B" w14:textId="77777777" w:rsidTr="00E16180">
        <w:trPr>
          <w:trHeight w:val="1343"/>
        </w:trPr>
        <w:tc>
          <w:tcPr>
            <w:tcW w:w="2785" w:type="dxa"/>
          </w:tcPr>
          <w:p w14:paraId="4F765444" w14:textId="7BC9B1A5" w:rsidR="00273F30" w:rsidRPr="00316837" w:rsidRDefault="00273F30" w:rsidP="00E16180">
            <w:pPr>
              <w:spacing w:before="120" w:after="120"/>
              <w:jc w:val="left"/>
              <w:rPr>
                <w:rFonts w:eastAsia="Calibri"/>
                <w:bCs/>
                <w:sz w:val="18"/>
                <w:szCs w:val="18"/>
              </w:rPr>
            </w:pPr>
            <w:r w:rsidRPr="00316837">
              <w:rPr>
                <w:rFonts w:eastAsia="Calibri"/>
                <w:bCs/>
                <w:sz w:val="18"/>
                <w:szCs w:val="18"/>
              </w:rPr>
              <w:t xml:space="preserve">Generation system capacity readiness </w:t>
            </w:r>
          </w:p>
        </w:tc>
        <w:tc>
          <w:tcPr>
            <w:tcW w:w="2520" w:type="dxa"/>
          </w:tcPr>
          <w:p w14:paraId="098B930B" w14:textId="625D0408"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Install Phasor Measurement Units at the tie-lines to improve the observability of inter-area modes and provide useful data for other applications </w:t>
            </w:r>
          </w:p>
        </w:tc>
        <w:tc>
          <w:tcPr>
            <w:tcW w:w="2430" w:type="dxa"/>
          </w:tcPr>
          <w:p w14:paraId="4A94B468" w14:textId="3772CA2D"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The RSMOs to enforce the installation of the Phasor Measurement Units where necessary, to provide useful data for applications and events </w:t>
            </w:r>
          </w:p>
        </w:tc>
        <w:tc>
          <w:tcPr>
            <w:tcW w:w="2160" w:type="dxa"/>
          </w:tcPr>
          <w:p w14:paraId="45D9E873" w14:textId="3A4FB440" w:rsidR="00273F30" w:rsidRPr="00316837" w:rsidRDefault="00273F30" w:rsidP="00E16180">
            <w:pPr>
              <w:spacing w:before="120" w:after="120"/>
              <w:jc w:val="left"/>
              <w:rPr>
                <w:rFonts w:eastAsia="Calibri"/>
                <w:bCs/>
                <w:sz w:val="18"/>
                <w:szCs w:val="18"/>
              </w:rPr>
            </w:pPr>
            <w:r w:rsidRPr="00316837">
              <w:rPr>
                <w:rFonts w:eastAsia="Calibri"/>
                <w:bCs/>
                <w:sz w:val="18"/>
                <w:szCs w:val="18"/>
              </w:rPr>
              <w:t xml:space="preserve">AUC(-DIE) to monitor the evolution and operation of the single and integrated continental electricity market (AfSEM) </w:t>
            </w:r>
          </w:p>
        </w:tc>
      </w:tr>
      <w:tr w:rsidR="00793223" w:rsidRPr="00316837" w14:paraId="58993985" w14:textId="77777777" w:rsidTr="00E16180">
        <w:tc>
          <w:tcPr>
            <w:tcW w:w="2785" w:type="dxa"/>
          </w:tcPr>
          <w:p w14:paraId="0F8C189B" w14:textId="77777777" w:rsidR="00793223" w:rsidRPr="00316837" w:rsidRDefault="00793223" w:rsidP="00E16180">
            <w:pPr>
              <w:spacing w:before="120" w:after="120"/>
              <w:jc w:val="left"/>
              <w:rPr>
                <w:rFonts w:eastAsia="Calibri"/>
                <w:bCs/>
                <w:sz w:val="18"/>
                <w:szCs w:val="18"/>
              </w:rPr>
            </w:pPr>
            <w:r w:rsidRPr="00316837">
              <w:rPr>
                <w:rFonts w:eastAsia="Calibri"/>
                <w:bCs/>
                <w:sz w:val="18"/>
                <w:szCs w:val="18"/>
              </w:rPr>
              <w:t xml:space="preserve">Market compatibility for trading </w:t>
            </w:r>
          </w:p>
        </w:tc>
        <w:tc>
          <w:tcPr>
            <w:tcW w:w="2520" w:type="dxa"/>
          </w:tcPr>
          <w:p w14:paraId="0C98A484" w14:textId="77777777" w:rsidR="00793223" w:rsidRPr="00316837" w:rsidRDefault="00793223" w:rsidP="00E16180">
            <w:pPr>
              <w:spacing w:before="120" w:after="120"/>
              <w:jc w:val="left"/>
              <w:rPr>
                <w:rFonts w:eastAsia="Calibri"/>
                <w:bCs/>
                <w:sz w:val="18"/>
                <w:szCs w:val="18"/>
              </w:rPr>
            </w:pPr>
            <w:r w:rsidRPr="00316837">
              <w:rPr>
                <w:rFonts w:eastAsia="Calibri"/>
                <w:bCs/>
                <w:sz w:val="18"/>
                <w:szCs w:val="18"/>
              </w:rPr>
              <w:t xml:space="preserve">The national TSOs to enable national market participants to trade electricity in the regional electricity markets </w:t>
            </w:r>
          </w:p>
          <w:p w14:paraId="56EC03E4" w14:textId="5A29961F" w:rsidR="00793223" w:rsidRPr="00316837" w:rsidRDefault="00793223" w:rsidP="00E16180">
            <w:pPr>
              <w:spacing w:before="120" w:after="120"/>
              <w:jc w:val="left"/>
              <w:rPr>
                <w:rFonts w:eastAsia="Calibri"/>
                <w:bCs/>
                <w:sz w:val="18"/>
                <w:szCs w:val="18"/>
              </w:rPr>
            </w:pPr>
            <w:r w:rsidRPr="00316837">
              <w:rPr>
                <w:rFonts w:eastAsia="Calibri"/>
                <w:bCs/>
                <w:sz w:val="18"/>
                <w:szCs w:val="18"/>
              </w:rPr>
              <w:t>National market participants to build business capacity related to trading in the regional electricity market</w:t>
            </w:r>
            <w:r w:rsidR="001D4932" w:rsidRPr="00316837">
              <w:rPr>
                <w:rFonts w:eastAsia="Calibri"/>
                <w:bCs/>
                <w:sz w:val="18"/>
                <w:szCs w:val="18"/>
              </w:rPr>
              <w:t xml:space="preserve"> </w:t>
            </w:r>
          </w:p>
        </w:tc>
        <w:tc>
          <w:tcPr>
            <w:tcW w:w="2430" w:type="dxa"/>
          </w:tcPr>
          <w:p w14:paraId="375E148D" w14:textId="77777777" w:rsidR="00793223" w:rsidRPr="00316837" w:rsidRDefault="00793223" w:rsidP="00E16180">
            <w:pPr>
              <w:spacing w:before="120" w:after="120"/>
              <w:jc w:val="left"/>
              <w:rPr>
                <w:rFonts w:eastAsia="Calibri"/>
                <w:bCs/>
                <w:sz w:val="18"/>
                <w:szCs w:val="18"/>
              </w:rPr>
            </w:pPr>
            <w:r w:rsidRPr="00316837">
              <w:rPr>
                <w:rFonts w:eastAsia="Calibri"/>
                <w:bCs/>
                <w:sz w:val="18"/>
                <w:szCs w:val="18"/>
              </w:rPr>
              <w:t xml:space="preserve">Power Pools to procure market trading platforms for trading in separate market timeframes at the regional level </w:t>
            </w:r>
          </w:p>
        </w:tc>
        <w:tc>
          <w:tcPr>
            <w:tcW w:w="2160" w:type="dxa"/>
          </w:tcPr>
          <w:p w14:paraId="2F472D15" w14:textId="77777777" w:rsidR="00793223" w:rsidRPr="00316837" w:rsidRDefault="00793223" w:rsidP="00E16180">
            <w:pPr>
              <w:spacing w:before="120" w:after="120"/>
              <w:jc w:val="left"/>
              <w:rPr>
                <w:rFonts w:eastAsia="Calibri"/>
                <w:bCs/>
                <w:sz w:val="18"/>
                <w:szCs w:val="18"/>
              </w:rPr>
            </w:pPr>
            <w:r w:rsidRPr="00316837">
              <w:rPr>
                <w:rFonts w:eastAsia="Calibri"/>
                <w:bCs/>
                <w:sz w:val="18"/>
                <w:szCs w:val="18"/>
              </w:rPr>
              <w:t xml:space="preserve">Power Pools to align trading with the same products in separate market timeframes at the inter-Pool level </w:t>
            </w:r>
          </w:p>
        </w:tc>
      </w:tr>
      <w:tr w:rsidR="00412E7F" w:rsidRPr="00316837" w14:paraId="0F04B463" w14:textId="77777777" w:rsidTr="00412E7F">
        <w:tc>
          <w:tcPr>
            <w:tcW w:w="2785" w:type="dxa"/>
          </w:tcPr>
          <w:p w14:paraId="6790962D" w14:textId="77777777" w:rsidR="00412E7F" w:rsidRPr="00316837" w:rsidRDefault="00412E7F" w:rsidP="00E16180">
            <w:pPr>
              <w:spacing w:before="120" w:after="120"/>
              <w:jc w:val="left"/>
              <w:rPr>
                <w:rFonts w:eastAsia="Calibri"/>
                <w:bCs/>
                <w:sz w:val="18"/>
                <w:szCs w:val="18"/>
              </w:rPr>
            </w:pPr>
            <w:r w:rsidRPr="00316837">
              <w:rPr>
                <w:rFonts w:eastAsia="Calibri"/>
                <w:bCs/>
                <w:sz w:val="18"/>
                <w:szCs w:val="18"/>
              </w:rPr>
              <w:t xml:space="preserve">Synchronising procedures </w:t>
            </w:r>
          </w:p>
        </w:tc>
        <w:tc>
          <w:tcPr>
            <w:tcW w:w="2520" w:type="dxa"/>
          </w:tcPr>
          <w:p w14:paraId="30DE3D4D" w14:textId="4894C887" w:rsidR="00412E7F" w:rsidRPr="00316837" w:rsidRDefault="00412E7F" w:rsidP="00E16180">
            <w:pPr>
              <w:spacing w:before="120" w:after="120"/>
              <w:jc w:val="left"/>
              <w:rPr>
                <w:rFonts w:eastAsia="Calibri"/>
                <w:bCs/>
                <w:sz w:val="18"/>
                <w:szCs w:val="18"/>
              </w:rPr>
            </w:pPr>
            <w:r w:rsidRPr="00316837">
              <w:rPr>
                <w:rFonts w:eastAsia="Calibri"/>
                <w:bCs/>
                <w:sz w:val="18"/>
                <w:szCs w:val="18"/>
              </w:rPr>
              <w:t xml:space="preserve">The national TSOs to participate in the development of interconnections and together with market participants to synchronise at the regional level </w:t>
            </w:r>
          </w:p>
        </w:tc>
        <w:tc>
          <w:tcPr>
            <w:tcW w:w="2430" w:type="dxa"/>
          </w:tcPr>
          <w:p w14:paraId="58E27D9A" w14:textId="0870F7B6" w:rsidR="00412E7F" w:rsidRPr="00316837" w:rsidRDefault="00412E7F" w:rsidP="00E16180">
            <w:pPr>
              <w:spacing w:before="120" w:after="120"/>
              <w:jc w:val="left"/>
              <w:rPr>
                <w:rFonts w:eastAsia="Calibri"/>
                <w:bCs/>
                <w:sz w:val="18"/>
                <w:szCs w:val="18"/>
              </w:rPr>
            </w:pPr>
            <w:r w:rsidRPr="00316837">
              <w:rPr>
                <w:rFonts w:eastAsia="Calibri"/>
                <w:bCs/>
                <w:sz w:val="18"/>
                <w:szCs w:val="18"/>
              </w:rPr>
              <w:t>Power Pools to develop interconnections and implement the synchronisation of the power systems at the regional level</w:t>
            </w:r>
            <w:r w:rsidR="001D4932" w:rsidRPr="00316837">
              <w:rPr>
                <w:rFonts w:eastAsia="Calibri"/>
                <w:bCs/>
                <w:sz w:val="18"/>
                <w:szCs w:val="18"/>
              </w:rPr>
              <w:t xml:space="preserve"> </w:t>
            </w:r>
          </w:p>
        </w:tc>
        <w:tc>
          <w:tcPr>
            <w:tcW w:w="2160" w:type="dxa"/>
          </w:tcPr>
          <w:p w14:paraId="03F9537E" w14:textId="34B96F2C" w:rsidR="00412E7F" w:rsidRPr="00316837" w:rsidRDefault="00412E7F" w:rsidP="00E16180">
            <w:pPr>
              <w:spacing w:before="120" w:after="120"/>
              <w:jc w:val="left"/>
              <w:rPr>
                <w:rFonts w:eastAsia="Calibri"/>
                <w:bCs/>
                <w:sz w:val="18"/>
                <w:szCs w:val="18"/>
              </w:rPr>
            </w:pPr>
            <w:r w:rsidRPr="00316837">
              <w:rPr>
                <w:rFonts w:eastAsia="Calibri"/>
                <w:bCs/>
                <w:sz w:val="18"/>
                <w:szCs w:val="18"/>
              </w:rPr>
              <w:t xml:space="preserve">Power Pools to work towards their mutual synchronisation at the inter-Power Pool level, i.e. the continental level </w:t>
            </w:r>
          </w:p>
        </w:tc>
      </w:tr>
      <w:tr w:rsidR="005A33E8" w:rsidRPr="00316837" w14:paraId="38DE0EED" w14:textId="77777777" w:rsidTr="005A33E8">
        <w:tc>
          <w:tcPr>
            <w:tcW w:w="2785" w:type="dxa"/>
          </w:tcPr>
          <w:p w14:paraId="22157EF4" w14:textId="70DBA96D" w:rsidR="005A33E8" w:rsidRPr="00316837" w:rsidRDefault="005A33E8" w:rsidP="00E16180">
            <w:pPr>
              <w:spacing w:before="120" w:after="120"/>
              <w:jc w:val="left"/>
              <w:rPr>
                <w:rFonts w:eastAsia="Calibri"/>
                <w:bCs/>
                <w:sz w:val="18"/>
                <w:szCs w:val="18"/>
              </w:rPr>
            </w:pPr>
            <w:r w:rsidRPr="00316837">
              <w:rPr>
                <w:rFonts w:eastAsia="Calibri"/>
                <w:bCs/>
                <w:sz w:val="18"/>
                <w:szCs w:val="18"/>
              </w:rPr>
              <w:t>Operational data</w:t>
            </w:r>
            <w:r w:rsidR="001D4932" w:rsidRPr="00316837">
              <w:rPr>
                <w:rFonts w:eastAsia="Calibri"/>
                <w:bCs/>
                <w:sz w:val="18"/>
                <w:szCs w:val="18"/>
              </w:rPr>
              <w:t xml:space="preserve"> </w:t>
            </w:r>
          </w:p>
        </w:tc>
        <w:tc>
          <w:tcPr>
            <w:tcW w:w="2520" w:type="dxa"/>
          </w:tcPr>
          <w:p w14:paraId="2DB41C1A" w14:textId="10B11DEE" w:rsidR="005A33E8" w:rsidRPr="00316837" w:rsidRDefault="005A33E8" w:rsidP="00E16180">
            <w:pPr>
              <w:spacing w:before="120" w:after="120"/>
              <w:jc w:val="left"/>
              <w:rPr>
                <w:rFonts w:eastAsia="Calibri"/>
                <w:bCs/>
                <w:sz w:val="18"/>
                <w:szCs w:val="18"/>
              </w:rPr>
            </w:pPr>
            <w:r w:rsidRPr="00316837">
              <w:rPr>
                <w:rFonts w:eastAsia="Calibri"/>
                <w:bCs/>
                <w:sz w:val="18"/>
                <w:szCs w:val="18"/>
              </w:rPr>
              <w:t xml:space="preserve">The national TSOs to share minimum operational data with each other and the relevant Control Area Operators and the RSMOs </w:t>
            </w:r>
          </w:p>
        </w:tc>
        <w:tc>
          <w:tcPr>
            <w:tcW w:w="2430" w:type="dxa"/>
          </w:tcPr>
          <w:p w14:paraId="71A6D388" w14:textId="35FFB029" w:rsidR="005A33E8" w:rsidRPr="00316837" w:rsidRDefault="005A33E8" w:rsidP="00E16180">
            <w:pPr>
              <w:spacing w:before="120" w:after="120"/>
              <w:jc w:val="left"/>
              <w:rPr>
                <w:rFonts w:eastAsia="Calibri"/>
                <w:bCs/>
                <w:sz w:val="18"/>
                <w:szCs w:val="18"/>
              </w:rPr>
            </w:pPr>
            <w:r w:rsidRPr="00316837">
              <w:rPr>
                <w:rFonts w:eastAsia="Calibri"/>
                <w:bCs/>
                <w:sz w:val="18"/>
                <w:szCs w:val="18"/>
              </w:rPr>
              <w:t>Power Pools to enable sharing of the minimum operational data between adjacent and non-adjacent system operators, by using developed means of communicating these data</w:t>
            </w:r>
            <w:r w:rsidR="001D4932" w:rsidRPr="00316837">
              <w:rPr>
                <w:rFonts w:eastAsia="Calibri"/>
                <w:bCs/>
                <w:sz w:val="18"/>
                <w:szCs w:val="18"/>
              </w:rPr>
              <w:t xml:space="preserve"> </w:t>
            </w:r>
          </w:p>
        </w:tc>
        <w:tc>
          <w:tcPr>
            <w:tcW w:w="2160" w:type="dxa"/>
          </w:tcPr>
          <w:p w14:paraId="280DEA31" w14:textId="2D15EE96" w:rsidR="005A33E8" w:rsidRPr="00316837" w:rsidRDefault="005A33E8" w:rsidP="00E16180">
            <w:pPr>
              <w:spacing w:before="120" w:after="120"/>
              <w:jc w:val="left"/>
              <w:rPr>
                <w:rFonts w:eastAsia="Calibri"/>
                <w:bCs/>
                <w:sz w:val="18"/>
                <w:szCs w:val="18"/>
              </w:rPr>
            </w:pPr>
            <w:r w:rsidRPr="00316837">
              <w:rPr>
                <w:rFonts w:eastAsia="Calibri"/>
                <w:bCs/>
                <w:sz w:val="18"/>
                <w:szCs w:val="18"/>
              </w:rPr>
              <w:t>Power Pools to share mutually the minimum operational datasets after the synchronisation at the inter-Power Pool level, i.e. the continental level</w:t>
            </w:r>
            <w:r w:rsidR="001D4932" w:rsidRPr="00316837">
              <w:rPr>
                <w:rFonts w:eastAsia="Calibri"/>
                <w:bCs/>
                <w:sz w:val="18"/>
                <w:szCs w:val="18"/>
              </w:rPr>
              <w:t xml:space="preserve"> </w:t>
            </w:r>
          </w:p>
        </w:tc>
      </w:tr>
      <w:tr w:rsidR="00F831B1" w:rsidRPr="00316837" w14:paraId="0183A37F" w14:textId="77777777" w:rsidTr="00F831B1">
        <w:tc>
          <w:tcPr>
            <w:tcW w:w="2785" w:type="dxa"/>
          </w:tcPr>
          <w:p w14:paraId="47F3901A" w14:textId="77777777" w:rsidR="00F831B1" w:rsidRPr="00316837" w:rsidRDefault="00F831B1" w:rsidP="00E16180">
            <w:pPr>
              <w:spacing w:before="120" w:after="120"/>
              <w:jc w:val="left"/>
              <w:rPr>
                <w:rFonts w:eastAsia="Calibri"/>
                <w:bCs/>
                <w:sz w:val="18"/>
                <w:szCs w:val="18"/>
              </w:rPr>
            </w:pPr>
            <w:r w:rsidRPr="00316837">
              <w:rPr>
                <w:rFonts w:eastAsia="Calibri"/>
                <w:bCs/>
                <w:sz w:val="18"/>
                <w:szCs w:val="18"/>
              </w:rPr>
              <w:t xml:space="preserve">Transmission capacity allocation </w:t>
            </w:r>
          </w:p>
        </w:tc>
        <w:tc>
          <w:tcPr>
            <w:tcW w:w="2520" w:type="dxa"/>
          </w:tcPr>
          <w:p w14:paraId="65EC167A" w14:textId="42A063CF" w:rsidR="00F831B1" w:rsidRPr="00316837" w:rsidRDefault="00F831B1" w:rsidP="00E16180">
            <w:pPr>
              <w:spacing w:before="120" w:after="120"/>
              <w:jc w:val="left"/>
              <w:rPr>
                <w:rFonts w:eastAsia="Calibri"/>
                <w:bCs/>
                <w:sz w:val="18"/>
                <w:szCs w:val="18"/>
              </w:rPr>
            </w:pPr>
            <w:r w:rsidRPr="00316837">
              <w:rPr>
                <w:rFonts w:eastAsia="Calibri"/>
                <w:bCs/>
                <w:sz w:val="18"/>
                <w:szCs w:val="18"/>
              </w:rPr>
              <w:t xml:space="preserve">The national TSOs to enable participation of market participants in regional </w:t>
            </w:r>
            <w:r w:rsidRPr="00316837">
              <w:rPr>
                <w:rFonts w:eastAsia="Calibri"/>
                <w:bCs/>
                <w:sz w:val="18"/>
                <w:szCs w:val="18"/>
              </w:rPr>
              <w:lastRenderedPageBreak/>
              <w:t xml:space="preserve">allocation of cross-border transmission capacity and allocate </w:t>
            </w:r>
            <w:r w:rsidR="00BD4E67" w:rsidRPr="00316837">
              <w:rPr>
                <w:rFonts w:eastAsia="Calibri"/>
                <w:bCs/>
                <w:sz w:val="18"/>
                <w:szCs w:val="18"/>
              </w:rPr>
              <w:t xml:space="preserve">to </w:t>
            </w:r>
            <w:r w:rsidRPr="00316837">
              <w:rPr>
                <w:rFonts w:eastAsia="Calibri"/>
                <w:bCs/>
                <w:sz w:val="18"/>
                <w:szCs w:val="18"/>
              </w:rPr>
              <w:t xml:space="preserve">them the capacity for bilateral transactions </w:t>
            </w:r>
          </w:p>
        </w:tc>
        <w:tc>
          <w:tcPr>
            <w:tcW w:w="2430" w:type="dxa"/>
          </w:tcPr>
          <w:p w14:paraId="2D2728C7" w14:textId="3D6EB43A" w:rsidR="00F831B1" w:rsidRPr="00316837" w:rsidRDefault="00F831B1" w:rsidP="00E16180">
            <w:pPr>
              <w:spacing w:before="120" w:after="120"/>
              <w:jc w:val="left"/>
              <w:rPr>
                <w:rFonts w:eastAsia="Calibri"/>
                <w:bCs/>
                <w:sz w:val="18"/>
                <w:szCs w:val="18"/>
              </w:rPr>
            </w:pPr>
            <w:r w:rsidRPr="00316837">
              <w:rPr>
                <w:rFonts w:eastAsia="Calibri"/>
                <w:bCs/>
                <w:sz w:val="18"/>
                <w:szCs w:val="18"/>
              </w:rPr>
              <w:lastRenderedPageBreak/>
              <w:t xml:space="preserve">Power Pools to allocate the cross-border transmission capacity at the regional </w:t>
            </w:r>
            <w:r w:rsidRPr="00316837">
              <w:rPr>
                <w:rFonts w:eastAsia="Calibri"/>
                <w:bCs/>
                <w:sz w:val="18"/>
                <w:szCs w:val="18"/>
              </w:rPr>
              <w:lastRenderedPageBreak/>
              <w:t>level in accordance with the developed rules</w:t>
            </w:r>
            <w:r w:rsidR="001D4932" w:rsidRPr="00316837">
              <w:rPr>
                <w:rFonts w:eastAsia="Calibri"/>
                <w:bCs/>
                <w:sz w:val="18"/>
                <w:szCs w:val="18"/>
              </w:rPr>
              <w:t xml:space="preserve"> </w:t>
            </w:r>
          </w:p>
        </w:tc>
        <w:tc>
          <w:tcPr>
            <w:tcW w:w="2160" w:type="dxa"/>
          </w:tcPr>
          <w:p w14:paraId="525427B1" w14:textId="4F438F61" w:rsidR="00F831B1" w:rsidRPr="00316837" w:rsidRDefault="00F831B1" w:rsidP="00E16180">
            <w:pPr>
              <w:spacing w:before="120" w:after="120"/>
              <w:jc w:val="left"/>
              <w:rPr>
                <w:rFonts w:eastAsia="Calibri"/>
                <w:bCs/>
                <w:sz w:val="18"/>
                <w:szCs w:val="18"/>
              </w:rPr>
            </w:pPr>
            <w:r w:rsidRPr="00316837">
              <w:rPr>
                <w:rFonts w:eastAsia="Calibri"/>
                <w:bCs/>
                <w:sz w:val="18"/>
                <w:szCs w:val="18"/>
              </w:rPr>
              <w:lastRenderedPageBreak/>
              <w:t xml:space="preserve">Power Pools to allocate cross-border transmission capacity </w:t>
            </w:r>
            <w:r w:rsidRPr="00316837">
              <w:rPr>
                <w:rFonts w:eastAsia="Calibri"/>
                <w:bCs/>
                <w:sz w:val="18"/>
                <w:szCs w:val="18"/>
              </w:rPr>
              <w:lastRenderedPageBreak/>
              <w:t xml:space="preserve">for transactions at the continental level (inter-Power Pool) </w:t>
            </w:r>
          </w:p>
        </w:tc>
      </w:tr>
      <w:tr w:rsidR="00273F30" w:rsidRPr="00316837" w14:paraId="5644182D" w14:textId="77777777" w:rsidTr="00E16180">
        <w:trPr>
          <w:trHeight w:val="1343"/>
        </w:trPr>
        <w:tc>
          <w:tcPr>
            <w:tcW w:w="2785" w:type="dxa"/>
          </w:tcPr>
          <w:p w14:paraId="7CF2F1A8" w14:textId="5B04F6B3" w:rsidR="00273F30" w:rsidRPr="00316837" w:rsidRDefault="00273F30" w:rsidP="00E16180">
            <w:pPr>
              <w:spacing w:before="120" w:after="120"/>
              <w:jc w:val="left"/>
              <w:rPr>
                <w:rFonts w:eastAsia="Calibri"/>
                <w:bCs/>
                <w:sz w:val="18"/>
                <w:szCs w:val="18"/>
              </w:rPr>
            </w:pPr>
            <w:r w:rsidRPr="00316837">
              <w:rPr>
                <w:rFonts w:eastAsia="Calibri"/>
                <w:bCs/>
                <w:sz w:val="18"/>
                <w:szCs w:val="18"/>
              </w:rPr>
              <w:lastRenderedPageBreak/>
              <w:t>Ancillary services adequacy</w:t>
            </w:r>
            <w:r w:rsidR="001D4932" w:rsidRPr="00316837">
              <w:rPr>
                <w:rFonts w:eastAsia="Calibri"/>
                <w:bCs/>
                <w:sz w:val="18"/>
                <w:szCs w:val="18"/>
              </w:rPr>
              <w:t xml:space="preserve"> </w:t>
            </w:r>
          </w:p>
        </w:tc>
        <w:tc>
          <w:tcPr>
            <w:tcW w:w="2520" w:type="dxa"/>
          </w:tcPr>
          <w:p w14:paraId="0F2DAA94" w14:textId="7C2ABD13"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The national TSOs to work with the Control Area Operators to ensure </w:t>
            </w:r>
            <w:r w:rsidR="00BD4E67" w:rsidRPr="00316837">
              <w:rPr>
                <w:rFonts w:eastAsia="Calibri"/>
                <w:bCs/>
                <w:sz w:val="18"/>
                <w:szCs w:val="18"/>
              </w:rPr>
              <w:t xml:space="preserve">availability of </w:t>
            </w:r>
            <w:r w:rsidRPr="00316837">
              <w:rPr>
                <w:rFonts w:eastAsia="Calibri"/>
                <w:bCs/>
                <w:sz w:val="18"/>
                <w:szCs w:val="18"/>
              </w:rPr>
              <w:t>adequate operating reserves and other ancillary services, as per the regional Grid Code</w:t>
            </w:r>
            <w:r w:rsidR="001D4932" w:rsidRPr="00316837">
              <w:rPr>
                <w:rFonts w:eastAsia="Calibri"/>
                <w:bCs/>
                <w:sz w:val="18"/>
                <w:szCs w:val="18"/>
              </w:rPr>
              <w:t xml:space="preserve"> </w:t>
            </w:r>
          </w:p>
        </w:tc>
        <w:tc>
          <w:tcPr>
            <w:tcW w:w="2430" w:type="dxa"/>
          </w:tcPr>
          <w:p w14:paraId="616EE95F" w14:textId="12097FE5" w:rsidR="00273F30" w:rsidRPr="00316837" w:rsidRDefault="00273F30" w:rsidP="00273F30">
            <w:pPr>
              <w:spacing w:before="120" w:after="120"/>
              <w:jc w:val="left"/>
              <w:rPr>
                <w:rFonts w:eastAsia="Calibri"/>
                <w:bCs/>
                <w:sz w:val="18"/>
                <w:szCs w:val="18"/>
              </w:rPr>
            </w:pPr>
            <w:r w:rsidRPr="00316837">
              <w:rPr>
                <w:rFonts w:eastAsia="Calibri"/>
                <w:bCs/>
                <w:sz w:val="18"/>
                <w:szCs w:val="18"/>
              </w:rPr>
              <w:t>The RSMOs to work with the Control Area Operators to ensure that adequate ancillary services to restore any imbalance from unexpected generation loss or transmission outage, as per the regional Grid Code</w:t>
            </w:r>
            <w:r w:rsidR="001D4932" w:rsidRPr="00316837">
              <w:rPr>
                <w:rFonts w:eastAsia="Calibri"/>
                <w:bCs/>
                <w:sz w:val="18"/>
                <w:szCs w:val="18"/>
              </w:rPr>
              <w:t xml:space="preserve"> </w:t>
            </w:r>
          </w:p>
          <w:p w14:paraId="65F59CA5" w14:textId="031661C1"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Develop the Ancillary Services Market for cross-border trading </w:t>
            </w:r>
          </w:p>
        </w:tc>
        <w:tc>
          <w:tcPr>
            <w:tcW w:w="2160" w:type="dxa"/>
          </w:tcPr>
          <w:p w14:paraId="1A875E94" w14:textId="217A9113" w:rsidR="00273F30" w:rsidRPr="00316837" w:rsidRDefault="00273F30" w:rsidP="00E16180">
            <w:pPr>
              <w:spacing w:before="120" w:after="120"/>
              <w:jc w:val="left"/>
              <w:rPr>
                <w:rFonts w:eastAsia="Calibri"/>
                <w:bCs/>
                <w:sz w:val="18"/>
                <w:szCs w:val="18"/>
              </w:rPr>
            </w:pPr>
            <w:r w:rsidRPr="00316837">
              <w:rPr>
                <w:rFonts w:eastAsia="Calibri"/>
                <w:bCs/>
                <w:sz w:val="18"/>
                <w:szCs w:val="18"/>
              </w:rPr>
              <w:t xml:space="preserve">AUC(-DIE) to work with Power Pools to monitor the evolution and operation of the ancillary services market under AfSEM </w:t>
            </w:r>
          </w:p>
        </w:tc>
      </w:tr>
      <w:tr w:rsidR="00273F30" w:rsidRPr="00316837" w14:paraId="5B0AAEAE" w14:textId="77777777" w:rsidTr="00273F30">
        <w:trPr>
          <w:trHeight w:val="518"/>
        </w:trPr>
        <w:tc>
          <w:tcPr>
            <w:tcW w:w="2785" w:type="dxa"/>
          </w:tcPr>
          <w:p w14:paraId="0FB40576" w14:textId="687924DD" w:rsidR="00273F30" w:rsidRPr="00316837" w:rsidRDefault="00273F30" w:rsidP="00E16180">
            <w:pPr>
              <w:spacing w:before="120" w:after="120"/>
              <w:jc w:val="left"/>
              <w:rPr>
                <w:rFonts w:eastAsia="Calibri"/>
                <w:bCs/>
                <w:sz w:val="18"/>
                <w:szCs w:val="18"/>
              </w:rPr>
            </w:pPr>
            <w:r w:rsidRPr="00316837">
              <w:rPr>
                <w:rFonts w:eastAsia="Calibri"/>
                <w:bCs/>
                <w:sz w:val="18"/>
                <w:szCs w:val="18"/>
              </w:rPr>
              <w:t>Dispatch, System Operations, and ICT</w:t>
            </w:r>
            <w:r w:rsidR="001D4932" w:rsidRPr="00316837">
              <w:rPr>
                <w:rFonts w:eastAsia="Calibri"/>
                <w:bCs/>
                <w:sz w:val="18"/>
                <w:szCs w:val="18"/>
              </w:rPr>
              <w:t xml:space="preserve"> </w:t>
            </w:r>
          </w:p>
        </w:tc>
        <w:tc>
          <w:tcPr>
            <w:tcW w:w="2520" w:type="dxa"/>
          </w:tcPr>
          <w:p w14:paraId="084245EE" w14:textId="1B292C90"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The national TSOs to ensure that dispatch centres upgrade and possess system control capabilities, that takes into account cyber security issues </w:t>
            </w:r>
          </w:p>
        </w:tc>
        <w:tc>
          <w:tcPr>
            <w:tcW w:w="2430" w:type="dxa"/>
          </w:tcPr>
          <w:p w14:paraId="77DEF8D0" w14:textId="5B976AEC"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All Power Pools to develop the RSMOs from their Information and Coordination Centres, that take into account, cyber security issues </w:t>
            </w:r>
          </w:p>
          <w:p w14:paraId="71816891" w14:textId="083DAE9C"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All the Control Area Operators to upgrade their systems taking into account cyber security issues </w:t>
            </w:r>
          </w:p>
        </w:tc>
        <w:tc>
          <w:tcPr>
            <w:tcW w:w="2160" w:type="dxa"/>
          </w:tcPr>
          <w:p w14:paraId="0C9569DB" w14:textId="77777777" w:rsidR="00273F30" w:rsidRPr="00316837" w:rsidRDefault="00273F30" w:rsidP="00E16180">
            <w:pPr>
              <w:spacing w:before="120" w:after="120"/>
              <w:jc w:val="left"/>
              <w:rPr>
                <w:rFonts w:eastAsia="Calibri"/>
                <w:bCs/>
                <w:sz w:val="18"/>
                <w:szCs w:val="18"/>
              </w:rPr>
            </w:pPr>
          </w:p>
        </w:tc>
      </w:tr>
    </w:tbl>
    <w:p w14:paraId="261CB60B" w14:textId="28089EAD" w:rsidR="00744D32" w:rsidRPr="00316837" w:rsidRDefault="00744D32" w:rsidP="00744D32">
      <w:pPr>
        <w:pStyle w:val="Heading3"/>
        <w:rPr>
          <w:rFonts w:eastAsia="Calibri"/>
        </w:rPr>
      </w:pPr>
      <w:bookmarkStart w:id="221" w:name="_Toc77260332"/>
      <w:r w:rsidRPr="00316837">
        <w:rPr>
          <w:rFonts w:eastAsia="Calibri"/>
        </w:rPr>
        <w:t>Long-Term (2031-2040)</w:t>
      </w:r>
      <w:bookmarkEnd w:id="221"/>
    </w:p>
    <w:p w14:paraId="6C68E4AB" w14:textId="0072136C" w:rsidR="00273F30" w:rsidRPr="00681DAA" w:rsidRDefault="00273F30" w:rsidP="00273F30">
      <w:pPr>
        <w:rPr>
          <w:rFonts w:eastAsia="Calibri"/>
          <w:szCs w:val="20"/>
        </w:rPr>
      </w:pPr>
      <w:r w:rsidRPr="00316837">
        <w:rPr>
          <w:rFonts w:eastAsia="Calibri"/>
        </w:rPr>
        <w:t xml:space="preserve">The long-term Action Plan identifies the key activities required at the national, regional and continental </w:t>
      </w:r>
      <w:r w:rsidRPr="00316837">
        <w:rPr>
          <w:rFonts w:eastAsia="Calibri"/>
          <w:szCs w:val="20"/>
        </w:rPr>
        <w:t xml:space="preserve">levels, to achieve the Technical and Operational Readiness for cross-border electricity trading (see </w:t>
      </w:r>
      <w:r w:rsidRPr="00681DAA">
        <w:rPr>
          <w:rFonts w:eastAsia="Calibri"/>
          <w:szCs w:val="20"/>
        </w:rPr>
        <w:fldChar w:fldCharType="begin"/>
      </w:r>
      <w:r w:rsidRPr="00316837">
        <w:rPr>
          <w:rFonts w:eastAsia="Calibri"/>
          <w:szCs w:val="20"/>
        </w:rPr>
        <w:instrText xml:space="preserve"> REF _Ref76982349 \h  \* MERGEFORMAT </w:instrText>
      </w:r>
      <w:r w:rsidRPr="00681DAA">
        <w:rPr>
          <w:rFonts w:eastAsia="Calibri"/>
          <w:szCs w:val="20"/>
        </w:rPr>
      </w:r>
      <w:r w:rsidRPr="00681DAA">
        <w:rPr>
          <w:rFonts w:eastAsia="Calibri"/>
          <w:szCs w:val="20"/>
        </w:rPr>
        <w:fldChar w:fldCharType="separate"/>
      </w:r>
      <w:r w:rsidR="00C94CE5" w:rsidRPr="00681DAA">
        <w:rPr>
          <w:szCs w:val="20"/>
        </w:rPr>
        <w:t>Table 7</w:t>
      </w:r>
      <w:r w:rsidR="00C94CE5" w:rsidRPr="00681DAA">
        <w:rPr>
          <w:szCs w:val="20"/>
        </w:rPr>
        <w:noBreakHyphen/>
        <w:t>4</w:t>
      </w:r>
      <w:r w:rsidRPr="00681DAA">
        <w:rPr>
          <w:rFonts w:eastAsia="Calibri"/>
          <w:szCs w:val="20"/>
        </w:rPr>
        <w:fldChar w:fldCharType="end"/>
      </w:r>
      <w:r w:rsidRPr="00654753">
        <w:rPr>
          <w:rFonts w:eastAsia="Calibri"/>
          <w:szCs w:val="20"/>
        </w:rPr>
        <w:t xml:space="preserve">). </w:t>
      </w:r>
    </w:p>
    <w:p w14:paraId="0F1955C2" w14:textId="186FC150" w:rsidR="00273F30" w:rsidRPr="00681DAA" w:rsidRDefault="00273F30" w:rsidP="00273F30">
      <w:pPr>
        <w:rPr>
          <w:sz w:val="18"/>
          <w:szCs w:val="18"/>
        </w:rPr>
      </w:pPr>
      <w:bookmarkStart w:id="222" w:name="_Ref76982349"/>
      <w:bookmarkStart w:id="223" w:name="_Toc77260261"/>
      <w:r w:rsidRPr="00316837">
        <w:rPr>
          <w:sz w:val="18"/>
          <w:szCs w:val="18"/>
        </w:rPr>
        <w:t xml:space="preserve">Table </w:t>
      </w:r>
      <w:r w:rsidRPr="00681DAA">
        <w:rPr>
          <w:sz w:val="18"/>
          <w:szCs w:val="18"/>
        </w:rPr>
        <w:fldChar w:fldCharType="begin"/>
      </w:r>
      <w:r w:rsidRPr="00316837">
        <w:rPr>
          <w:sz w:val="18"/>
          <w:szCs w:val="18"/>
        </w:rPr>
        <w:instrText xml:space="preserve"> STYLEREF 1 \s </w:instrText>
      </w:r>
      <w:r w:rsidRPr="00681DAA">
        <w:rPr>
          <w:sz w:val="18"/>
          <w:szCs w:val="18"/>
        </w:rPr>
        <w:fldChar w:fldCharType="separate"/>
      </w:r>
      <w:r w:rsidRPr="00681DAA">
        <w:rPr>
          <w:sz w:val="18"/>
          <w:szCs w:val="18"/>
        </w:rPr>
        <w:t>7</w:t>
      </w:r>
      <w:r w:rsidRPr="00681DAA">
        <w:rPr>
          <w:sz w:val="18"/>
          <w:szCs w:val="18"/>
        </w:rPr>
        <w:fldChar w:fldCharType="end"/>
      </w:r>
      <w:r w:rsidRPr="00654753">
        <w:rPr>
          <w:sz w:val="18"/>
          <w:szCs w:val="18"/>
        </w:rPr>
        <w:noBreakHyphen/>
      </w:r>
      <w:r w:rsidRPr="00681DAA">
        <w:rPr>
          <w:sz w:val="18"/>
          <w:szCs w:val="18"/>
        </w:rPr>
        <w:fldChar w:fldCharType="begin"/>
      </w:r>
      <w:r w:rsidRPr="00316837">
        <w:rPr>
          <w:sz w:val="18"/>
          <w:szCs w:val="18"/>
        </w:rPr>
        <w:instrText xml:space="preserve"> SEQ Table \* ARABIC \s 1 </w:instrText>
      </w:r>
      <w:r w:rsidRPr="00681DAA">
        <w:rPr>
          <w:sz w:val="18"/>
          <w:szCs w:val="18"/>
        </w:rPr>
        <w:fldChar w:fldCharType="separate"/>
      </w:r>
      <w:r w:rsidR="00C94CE5" w:rsidRPr="00681DAA">
        <w:rPr>
          <w:sz w:val="18"/>
          <w:szCs w:val="18"/>
        </w:rPr>
        <w:t>4</w:t>
      </w:r>
      <w:r w:rsidRPr="00681DAA">
        <w:rPr>
          <w:sz w:val="18"/>
          <w:szCs w:val="18"/>
        </w:rPr>
        <w:fldChar w:fldCharType="end"/>
      </w:r>
      <w:bookmarkEnd w:id="222"/>
      <w:r w:rsidRPr="00654753">
        <w:rPr>
          <w:sz w:val="18"/>
          <w:szCs w:val="18"/>
        </w:rPr>
        <w:t>: The Long-Term Action Plan</w:t>
      </w:r>
      <w:bookmarkEnd w:id="223"/>
      <w:r w:rsidRPr="00654753">
        <w:rPr>
          <w:sz w:val="18"/>
          <w:szCs w:val="18"/>
        </w:rPr>
        <w:t xml:space="preserve"> </w:t>
      </w:r>
    </w:p>
    <w:tbl>
      <w:tblPr>
        <w:tblStyle w:val="TableGrid"/>
        <w:tblW w:w="9895" w:type="dxa"/>
        <w:tblLook w:val="04A0" w:firstRow="1" w:lastRow="0" w:firstColumn="1" w:lastColumn="0" w:noHBand="0" w:noVBand="1"/>
      </w:tblPr>
      <w:tblGrid>
        <w:gridCol w:w="2785"/>
        <w:gridCol w:w="2520"/>
        <w:gridCol w:w="2430"/>
        <w:gridCol w:w="2160"/>
      </w:tblGrid>
      <w:tr w:rsidR="00273F30" w:rsidRPr="0069087F" w14:paraId="759CF061" w14:textId="77777777" w:rsidTr="00E16180">
        <w:tc>
          <w:tcPr>
            <w:tcW w:w="2785" w:type="dxa"/>
            <w:vMerge w:val="restart"/>
            <w:shd w:val="clear" w:color="auto" w:fill="F2F2F2" w:themeFill="background1" w:themeFillShade="F2"/>
          </w:tcPr>
          <w:p w14:paraId="59FB9AAA" w14:textId="0A882B73" w:rsidR="00273F30" w:rsidRPr="006273BD" w:rsidRDefault="00273F30" w:rsidP="00E16180">
            <w:pPr>
              <w:spacing w:before="120" w:after="120"/>
              <w:jc w:val="left"/>
              <w:rPr>
                <w:rFonts w:eastAsia="Calibri"/>
                <w:b/>
                <w:sz w:val="18"/>
                <w:szCs w:val="18"/>
              </w:rPr>
            </w:pPr>
            <w:r w:rsidRPr="006273BD">
              <w:rPr>
                <w:rFonts w:eastAsia="Calibri"/>
                <w:b/>
                <w:sz w:val="18"/>
                <w:szCs w:val="18"/>
              </w:rPr>
              <w:t>Activity</w:t>
            </w:r>
            <w:r w:rsidR="001D4932" w:rsidRPr="006273BD">
              <w:rPr>
                <w:rFonts w:eastAsia="Calibri"/>
                <w:b/>
                <w:sz w:val="18"/>
                <w:szCs w:val="18"/>
              </w:rPr>
              <w:t xml:space="preserve"> </w:t>
            </w:r>
          </w:p>
        </w:tc>
        <w:tc>
          <w:tcPr>
            <w:tcW w:w="7110" w:type="dxa"/>
            <w:gridSpan w:val="3"/>
            <w:shd w:val="clear" w:color="auto" w:fill="F2F2F2" w:themeFill="background1" w:themeFillShade="F2"/>
          </w:tcPr>
          <w:p w14:paraId="24694586" w14:textId="24F7833E" w:rsidR="00273F30" w:rsidRPr="006273BD" w:rsidRDefault="00273F30" w:rsidP="00E16180">
            <w:pPr>
              <w:spacing w:before="120" w:after="120"/>
              <w:jc w:val="center"/>
              <w:rPr>
                <w:rFonts w:eastAsia="Calibri"/>
                <w:b/>
                <w:sz w:val="18"/>
                <w:szCs w:val="18"/>
              </w:rPr>
            </w:pPr>
            <w:r w:rsidRPr="006273BD">
              <w:rPr>
                <w:rFonts w:eastAsia="Calibri"/>
                <w:b/>
                <w:sz w:val="18"/>
                <w:szCs w:val="18"/>
              </w:rPr>
              <w:t>National, Regional and Continental Levels</w:t>
            </w:r>
            <w:r w:rsidR="001D4932" w:rsidRPr="006273BD">
              <w:rPr>
                <w:rFonts w:eastAsia="Calibri"/>
                <w:b/>
                <w:sz w:val="18"/>
                <w:szCs w:val="18"/>
              </w:rPr>
              <w:t xml:space="preserve"> </w:t>
            </w:r>
          </w:p>
        </w:tc>
      </w:tr>
      <w:tr w:rsidR="00273F30" w:rsidRPr="0069087F" w14:paraId="5C0F6408" w14:textId="77777777" w:rsidTr="00E16180">
        <w:tc>
          <w:tcPr>
            <w:tcW w:w="2785" w:type="dxa"/>
            <w:vMerge/>
            <w:shd w:val="clear" w:color="auto" w:fill="F2F2F2" w:themeFill="background1" w:themeFillShade="F2"/>
          </w:tcPr>
          <w:p w14:paraId="20BEBD1D" w14:textId="77777777" w:rsidR="00273F30" w:rsidRPr="006273BD" w:rsidRDefault="00273F30" w:rsidP="00E16180">
            <w:pPr>
              <w:spacing w:before="120" w:after="120"/>
              <w:jc w:val="left"/>
              <w:rPr>
                <w:rFonts w:eastAsia="Calibri"/>
                <w:b/>
                <w:sz w:val="18"/>
                <w:szCs w:val="18"/>
              </w:rPr>
            </w:pPr>
          </w:p>
        </w:tc>
        <w:tc>
          <w:tcPr>
            <w:tcW w:w="2520" w:type="dxa"/>
            <w:shd w:val="clear" w:color="auto" w:fill="F2F2F2" w:themeFill="background1" w:themeFillShade="F2"/>
          </w:tcPr>
          <w:p w14:paraId="5069CF63" w14:textId="4672984C" w:rsidR="00273F30" w:rsidRPr="006273BD" w:rsidRDefault="00273F30" w:rsidP="00E16180">
            <w:pPr>
              <w:spacing w:before="120" w:after="120"/>
              <w:jc w:val="left"/>
              <w:rPr>
                <w:rFonts w:eastAsia="Calibri"/>
                <w:b/>
                <w:sz w:val="18"/>
                <w:szCs w:val="18"/>
              </w:rPr>
            </w:pPr>
            <w:r w:rsidRPr="006273BD">
              <w:rPr>
                <w:rFonts w:eastAsia="Calibri"/>
                <w:b/>
                <w:sz w:val="18"/>
                <w:szCs w:val="18"/>
              </w:rPr>
              <w:t>National</w:t>
            </w:r>
            <w:r w:rsidR="001D4932" w:rsidRPr="006273BD">
              <w:rPr>
                <w:rFonts w:eastAsia="Calibri"/>
                <w:b/>
                <w:sz w:val="18"/>
                <w:szCs w:val="18"/>
              </w:rPr>
              <w:t xml:space="preserve"> </w:t>
            </w:r>
          </w:p>
        </w:tc>
        <w:tc>
          <w:tcPr>
            <w:tcW w:w="2430" w:type="dxa"/>
            <w:shd w:val="clear" w:color="auto" w:fill="F2F2F2" w:themeFill="background1" w:themeFillShade="F2"/>
          </w:tcPr>
          <w:p w14:paraId="0645D83E" w14:textId="35496CFC" w:rsidR="00273F30" w:rsidRPr="006273BD" w:rsidRDefault="00273F30" w:rsidP="00E16180">
            <w:pPr>
              <w:spacing w:before="120" w:after="120"/>
              <w:jc w:val="left"/>
              <w:rPr>
                <w:rFonts w:eastAsia="Calibri"/>
                <w:b/>
                <w:sz w:val="18"/>
                <w:szCs w:val="18"/>
              </w:rPr>
            </w:pPr>
            <w:r w:rsidRPr="006273BD">
              <w:rPr>
                <w:rFonts w:eastAsia="Calibri"/>
                <w:b/>
                <w:sz w:val="18"/>
                <w:szCs w:val="18"/>
              </w:rPr>
              <w:t>Regional</w:t>
            </w:r>
            <w:r w:rsidR="001D4932" w:rsidRPr="006273BD">
              <w:rPr>
                <w:rFonts w:eastAsia="Calibri"/>
                <w:b/>
                <w:sz w:val="18"/>
                <w:szCs w:val="18"/>
              </w:rPr>
              <w:t xml:space="preserve"> </w:t>
            </w:r>
          </w:p>
        </w:tc>
        <w:tc>
          <w:tcPr>
            <w:tcW w:w="2160" w:type="dxa"/>
            <w:shd w:val="clear" w:color="auto" w:fill="F2F2F2" w:themeFill="background1" w:themeFillShade="F2"/>
          </w:tcPr>
          <w:p w14:paraId="40857CBE" w14:textId="5CE6BD10" w:rsidR="00273F30" w:rsidRPr="006273BD" w:rsidRDefault="00273F30" w:rsidP="00E16180">
            <w:pPr>
              <w:spacing w:before="120" w:after="120"/>
              <w:jc w:val="left"/>
              <w:rPr>
                <w:rFonts w:eastAsia="Calibri"/>
                <w:b/>
                <w:sz w:val="18"/>
                <w:szCs w:val="18"/>
              </w:rPr>
            </w:pPr>
            <w:r w:rsidRPr="006273BD">
              <w:rPr>
                <w:rFonts w:eastAsia="Calibri"/>
                <w:b/>
                <w:sz w:val="18"/>
                <w:szCs w:val="18"/>
              </w:rPr>
              <w:t>Continental</w:t>
            </w:r>
            <w:r w:rsidR="001D4932" w:rsidRPr="006273BD">
              <w:rPr>
                <w:rFonts w:eastAsia="Calibri"/>
                <w:b/>
                <w:sz w:val="18"/>
                <w:szCs w:val="18"/>
              </w:rPr>
              <w:t xml:space="preserve"> </w:t>
            </w:r>
          </w:p>
        </w:tc>
      </w:tr>
      <w:tr w:rsidR="00273F30" w:rsidRPr="00316837" w14:paraId="7C071C25" w14:textId="77777777" w:rsidTr="00E16180">
        <w:trPr>
          <w:trHeight w:val="1343"/>
        </w:trPr>
        <w:tc>
          <w:tcPr>
            <w:tcW w:w="2785" w:type="dxa"/>
          </w:tcPr>
          <w:p w14:paraId="557D6D08" w14:textId="4741406C" w:rsidR="00273F30" w:rsidRPr="00316837" w:rsidRDefault="00273F30" w:rsidP="00E16180">
            <w:pPr>
              <w:spacing w:before="120" w:after="120"/>
              <w:jc w:val="left"/>
              <w:rPr>
                <w:rFonts w:eastAsia="Calibri"/>
                <w:bCs/>
                <w:sz w:val="18"/>
                <w:szCs w:val="18"/>
              </w:rPr>
            </w:pPr>
            <w:r w:rsidRPr="00316837">
              <w:rPr>
                <w:rFonts w:eastAsia="Calibri"/>
                <w:bCs/>
                <w:sz w:val="18"/>
                <w:szCs w:val="18"/>
              </w:rPr>
              <w:t>Generation and transmission system adequacy</w:t>
            </w:r>
          </w:p>
        </w:tc>
        <w:tc>
          <w:tcPr>
            <w:tcW w:w="2520" w:type="dxa"/>
          </w:tcPr>
          <w:p w14:paraId="47CCBBD9" w14:textId="52D6405D" w:rsidR="00273F30" w:rsidRPr="00316837" w:rsidRDefault="00273F30" w:rsidP="00E16180">
            <w:pPr>
              <w:spacing w:before="120" w:after="120"/>
              <w:jc w:val="left"/>
              <w:rPr>
                <w:rFonts w:eastAsia="Calibri"/>
                <w:bCs/>
                <w:sz w:val="18"/>
                <w:szCs w:val="18"/>
              </w:rPr>
            </w:pPr>
            <w:r w:rsidRPr="00316837">
              <w:rPr>
                <w:rFonts w:eastAsia="Calibri"/>
                <w:bCs/>
                <w:sz w:val="18"/>
                <w:szCs w:val="18"/>
              </w:rPr>
              <w:t xml:space="preserve">The national TSOs and national regulatory authorities to collaborate with Power Pools and the regional regulatory authorities/associations, to implement the long-term projects identified in the Regional and Continental Master Plans </w:t>
            </w:r>
          </w:p>
        </w:tc>
        <w:tc>
          <w:tcPr>
            <w:tcW w:w="2430" w:type="dxa"/>
          </w:tcPr>
          <w:p w14:paraId="144F5BE9" w14:textId="740B6E6F" w:rsidR="00273F30" w:rsidRPr="00316837" w:rsidRDefault="00273F30" w:rsidP="00E16180">
            <w:pPr>
              <w:spacing w:before="120" w:after="120"/>
              <w:jc w:val="left"/>
              <w:rPr>
                <w:rFonts w:eastAsia="Calibri"/>
                <w:bCs/>
                <w:sz w:val="18"/>
                <w:szCs w:val="18"/>
              </w:rPr>
            </w:pPr>
            <w:r w:rsidRPr="00316837">
              <w:rPr>
                <w:rFonts w:eastAsia="Calibri"/>
                <w:bCs/>
                <w:sz w:val="18"/>
                <w:szCs w:val="18"/>
              </w:rPr>
              <w:t xml:space="preserve">RECs, Power Pools, and the regional regulatory authorities to collaborate with AUDA-NEPAD to implement the long-term priority projects identified in the Continental Master Plan </w:t>
            </w:r>
          </w:p>
        </w:tc>
        <w:tc>
          <w:tcPr>
            <w:tcW w:w="2160" w:type="dxa"/>
          </w:tcPr>
          <w:p w14:paraId="4385B896" w14:textId="18875EC2" w:rsidR="00273F30" w:rsidRPr="00316837" w:rsidRDefault="00273F30" w:rsidP="00E16180">
            <w:pPr>
              <w:spacing w:before="120" w:after="120"/>
              <w:jc w:val="left"/>
              <w:rPr>
                <w:rFonts w:eastAsia="Calibri"/>
                <w:bCs/>
                <w:sz w:val="18"/>
                <w:szCs w:val="18"/>
              </w:rPr>
            </w:pPr>
            <w:r w:rsidRPr="00316837">
              <w:rPr>
                <w:rFonts w:eastAsia="Calibri"/>
                <w:bCs/>
                <w:sz w:val="18"/>
                <w:szCs w:val="18"/>
              </w:rPr>
              <w:t xml:space="preserve">AUDA-NEPAD to work with Power Pools, the regional regulatory authorities/associations and RECs, to implement the long-term priority generation and transmission projects, identified in the Continental Master Plan </w:t>
            </w:r>
          </w:p>
        </w:tc>
      </w:tr>
      <w:tr w:rsidR="00273F30" w:rsidRPr="00316837" w14:paraId="0427E207" w14:textId="77777777" w:rsidTr="00E16180">
        <w:trPr>
          <w:trHeight w:val="1343"/>
        </w:trPr>
        <w:tc>
          <w:tcPr>
            <w:tcW w:w="2785" w:type="dxa"/>
          </w:tcPr>
          <w:p w14:paraId="272A5EF4" w14:textId="7A644532" w:rsidR="00273F30" w:rsidRPr="00316837" w:rsidRDefault="00273F30" w:rsidP="00E16180">
            <w:pPr>
              <w:spacing w:before="120" w:after="120"/>
              <w:jc w:val="left"/>
              <w:rPr>
                <w:rFonts w:eastAsia="Calibri"/>
                <w:bCs/>
                <w:sz w:val="18"/>
                <w:szCs w:val="18"/>
              </w:rPr>
            </w:pPr>
            <w:r w:rsidRPr="00316837">
              <w:rPr>
                <w:rFonts w:eastAsia="Calibri"/>
                <w:bCs/>
                <w:sz w:val="18"/>
                <w:szCs w:val="18"/>
              </w:rPr>
              <w:t xml:space="preserve">Transmission system capacity readiness </w:t>
            </w:r>
          </w:p>
        </w:tc>
        <w:tc>
          <w:tcPr>
            <w:tcW w:w="2520" w:type="dxa"/>
          </w:tcPr>
          <w:p w14:paraId="19D8C44B" w14:textId="1465AA74"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Continue to implement projects to ensure that the interconnectors meet the </w:t>
            </w:r>
            <w:r w:rsidR="00B6101C" w:rsidRPr="00316837">
              <w:rPr>
                <w:rFonts w:eastAsia="Calibri"/>
                <w:bCs/>
                <w:sz w:val="18"/>
                <w:szCs w:val="18"/>
              </w:rPr>
              <w:t>(</w:t>
            </w:r>
            <w:r w:rsidRPr="00316837">
              <w:rPr>
                <w:rFonts w:eastAsia="Calibri"/>
                <w:bCs/>
                <w:sz w:val="18"/>
                <w:szCs w:val="18"/>
              </w:rPr>
              <w:t>N-1</w:t>
            </w:r>
            <w:r w:rsidR="00B6101C" w:rsidRPr="00316837">
              <w:rPr>
                <w:rFonts w:eastAsia="Calibri"/>
                <w:bCs/>
                <w:sz w:val="18"/>
                <w:szCs w:val="18"/>
              </w:rPr>
              <w:t>)</w:t>
            </w:r>
            <w:r w:rsidRPr="00316837">
              <w:rPr>
                <w:rFonts w:eastAsia="Calibri"/>
                <w:bCs/>
                <w:sz w:val="18"/>
                <w:szCs w:val="18"/>
              </w:rPr>
              <w:t xml:space="preserve"> criteria </w:t>
            </w:r>
          </w:p>
          <w:p w14:paraId="2BEF1E21" w14:textId="52FB9582"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Continue to implement the Quality of Service requirements as per the </w:t>
            </w:r>
            <w:r w:rsidRPr="00316837">
              <w:rPr>
                <w:rFonts w:eastAsia="Calibri"/>
                <w:bCs/>
                <w:sz w:val="18"/>
                <w:szCs w:val="18"/>
              </w:rPr>
              <w:lastRenderedPageBreak/>
              <w:t xml:space="preserve">national Grid Code as aligned with the regional one </w:t>
            </w:r>
          </w:p>
          <w:p w14:paraId="1F898EFC" w14:textId="1AEFED86" w:rsidR="00273F30" w:rsidRPr="00316837" w:rsidRDefault="00273F30" w:rsidP="00273F30">
            <w:pPr>
              <w:spacing w:before="120" w:after="120"/>
              <w:jc w:val="left"/>
              <w:rPr>
                <w:rFonts w:eastAsia="Calibri"/>
                <w:bCs/>
                <w:sz w:val="18"/>
                <w:szCs w:val="18"/>
              </w:rPr>
            </w:pPr>
            <w:r w:rsidRPr="00316837">
              <w:rPr>
                <w:rFonts w:eastAsia="Calibri"/>
                <w:bCs/>
                <w:sz w:val="18"/>
                <w:szCs w:val="18"/>
              </w:rPr>
              <w:t>Continue to implement the national TYTNDP, aligned with the regional one</w:t>
            </w:r>
            <w:r w:rsidR="001D4932" w:rsidRPr="00316837">
              <w:rPr>
                <w:rFonts w:eastAsia="Calibri"/>
                <w:bCs/>
                <w:sz w:val="18"/>
                <w:szCs w:val="18"/>
              </w:rPr>
              <w:t xml:space="preserve"> </w:t>
            </w:r>
          </w:p>
        </w:tc>
        <w:tc>
          <w:tcPr>
            <w:tcW w:w="2430" w:type="dxa"/>
          </w:tcPr>
          <w:p w14:paraId="5A38F6F7" w14:textId="0C68BC39" w:rsidR="00273F30" w:rsidRPr="00316837" w:rsidRDefault="00273F30" w:rsidP="00273F30">
            <w:pPr>
              <w:spacing w:before="120" w:after="120"/>
              <w:jc w:val="left"/>
              <w:rPr>
                <w:rFonts w:eastAsia="Calibri"/>
                <w:bCs/>
                <w:sz w:val="18"/>
                <w:szCs w:val="18"/>
              </w:rPr>
            </w:pPr>
            <w:r w:rsidRPr="00316837">
              <w:rPr>
                <w:rFonts w:eastAsia="Calibri"/>
                <w:bCs/>
                <w:sz w:val="18"/>
                <w:szCs w:val="18"/>
              </w:rPr>
              <w:lastRenderedPageBreak/>
              <w:t xml:space="preserve">Enforce the Quality of Service criteria and the harmonic limits of the interconnector, as per the regional Grid Code </w:t>
            </w:r>
          </w:p>
          <w:p w14:paraId="7B3F12F0" w14:textId="55999040"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Continue to implement the regional TYTNDP based on </w:t>
            </w:r>
            <w:r w:rsidRPr="00316837">
              <w:rPr>
                <w:rFonts w:eastAsia="Calibri"/>
                <w:bCs/>
                <w:sz w:val="18"/>
                <w:szCs w:val="18"/>
              </w:rPr>
              <w:lastRenderedPageBreak/>
              <w:t xml:space="preserve">the Continental Master Plan </w:t>
            </w:r>
          </w:p>
        </w:tc>
        <w:tc>
          <w:tcPr>
            <w:tcW w:w="2160" w:type="dxa"/>
          </w:tcPr>
          <w:p w14:paraId="3DC686A3" w14:textId="3591C074" w:rsidR="00273F30" w:rsidRPr="00316837" w:rsidRDefault="00273F30" w:rsidP="00E16180">
            <w:pPr>
              <w:spacing w:before="120" w:after="120"/>
              <w:jc w:val="left"/>
              <w:rPr>
                <w:rFonts w:eastAsia="Calibri"/>
                <w:bCs/>
                <w:sz w:val="18"/>
                <w:szCs w:val="18"/>
              </w:rPr>
            </w:pPr>
            <w:r w:rsidRPr="00316837">
              <w:rPr>
                <w:rFonts w:eastAsia="Calibri"/>
                <w:bCs/>
                <w:sz w:val="18"/>
                <w:szCs w:val="18"/>
              </w:rPr>
              <w:lastRenderedPageBreak/>
              <w:t xml:space="preserve">AUC(-DIE) to work with Power Pools to continue with the market surveillance, and to monitor the evolution and operation of ASEM </w:t>
            </w:r>
          </w:p>
        </w:tc>
      </w:tr>
      <w:tr w:rsidR="00273F30" w:rsidRPr="00316837" w14:paraId="0DA2FEF0" w14:textId="77777777" w:rsidTr="00E16180">
        <w:trPr>
          <w:trHeight w:val="1343"/>
        </w:trPr>
        <w:tc>
          <w:tcPr>
            <w:tcW w:w="2785" w:type="dxa"/>
          </w:tcPr>
          <w:p w14:paraId="0C719572" w14:textId="0177F7F0" w:rsidR="00273F30" w:rsidRPr="00316837" w:rsidRDefault="00273F30" w:rsidP="00E16180">
            <w:pPr>
              <w:spacing w:before="120" w:after="120"/>
              <w:jc w:val="left"/>
              <w:rPr>
                <w:rFonts w:eastAsia="Calibri"/>
                <w:bCs/>
                <w:sz w:val="18"/>
                <w:szCs w:val="18"/>
              </w:rPr>
            </w:pPr>
            <w:r w:rsidRPr="00316837">
              <w:rPr>
                <w:rFonts w:eastAsia="Calibri"/>
                <w:bCs/>
                <w:sz w:val="18"/>
                <w:szCs w:val="18"/>
              </w:rPr>
              <w:t>Generation system capacity readiness</w:t>
            </w:r>
            <w:r w:rsidR="001D4932" w:rsidRPr="00316837">
              <w:rPr>
                <w:rFonts w:eastAsia="Calibri"/>
                <w:bCs/>
                <w:sz w:val="18"/>
                <w:szCs w:val="18"/>
              </w:rPr>
              <w:t xml:space="preserve"> </w:t>
            </w:r>
          </w:p>
        </w:tc>
        <w:tc>
          <w:tcPr>
            <w:tcW w:w="2520" w:type="dxa"/>
          </w:tcPr>
          <w:p w14:paraId="7C7EFC52" w14:textId="77777777" w:rsidR="00273F30" w:rsidRPr="00316837" w:rsidRDefault="00273F30" w:rsidP="00273F30">
            <w:pPr>
              <w:spacing w:before="120" w:after="120"/>
              <w:jc w:val="left"/>
              <w:rPr>
                <w:rFonts w:eastAsia="Calibri"/>
                <w:bCs/>
                <w:sz w:val="18"/>
                <w:szCs w:val="18"/>
              </w:rPr>
            </w:pPr>
          </w:p>
        </w:tc>
        <w:tc>
          <w:tcPr>
            <w:tcW w:w="2430" w:type="dxa"/>
          </w:tcPr>
          <w:p w14:paraId="2EA2C1B0" w14:textId="36A30E35"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Update regional generation expansion plans for all Power Pools, as more firm arrangements are made and construction is completed for more generation facilities </w:t>
            </w:r>
          </w:p>
        </w:tc>
        <w:tc>
          <w:tcPr>
            <w:tcW w:w="2160" w:type="dxa"/>
          </w:tcPr>
          <w:p w14:paraId="34ED45FE" w14:textId="3193F66F" w:rsidR="00273F30" w:rsidRPr="00316837" w:rsidRDefault="00273F30" w:rsidP="00E16180">
            <w:pPr>
              <w:spacing w:before="120" w:after="120"/>
              <w:jc w:val="left"/>
              <w:rPr>
                <w:rFonts w:eastAsia="Calibri"/>
                <w:bCs/>
                <w:sz w:val="18"/>
                <w:szCs w:val="18"/>
              </w:rPr>
            </w:pPr>
            <w:r w:rsidRPr="00316837">
              <w:rPr>
                <w:rFonts w:eastAsia="Calibri"/>
                <w:bCs/>
                <w:sz w:val="18"/>
                <w:szCs w:val="18"/>
              </w:rPr>
              <w:t xml:space="preserve">AUDA-NEPAD to work with Power Pools to update generation expansion plans on a uniform basis </w:t>
            </w:r>
          </w:p>
        </w:tc>
      </w:tr>
      <w:tr w:rsidR="00793223" w:rsidRPr="00316837" w14:paraId="7502D5A1" w14:textId="77777777" w:rsidTr="00793223">
        <w:tc>
          <w:tcPr>
            <w:tcW w:w="2785" w:type="dxa"/>
          </w:tcPr>
          <w:p w14:paraId="0A151F79" w14:textId="77777777" w:rsidR="00793223" w:rsidRPr="00316837" w:rsidRDefault="00793223" w:rsidP="00E16180">
            <w:pPr>
              <w:spacing w:before="120" w:after="120"/>
              <w:jc w:val="left"/>
              <w:rPr>
                <w:rFonts w:eastAsia="Calibri"/>
                <w:bCs/>
                <w:sz w:val="18"/>
                <w:szCs w:val="18"/>
              </w:rPr>
            </w:pPr>
            <w:r w:rsidRPr="00316837">
              <w:rPr>
                <w:rFonts w:eastAsia="Calibri"/>
                <w:bCs/>
                <w:sz w:val="18"/>
                <w:szCs w:val="18"/>
              </w:rPr>
              <w:t xml:space="preserve">Market compatibility for trading </w:t>
            </w:r>
          </w:p>
        </w:tc>
        <w:tc>
          <w:tcPr>
            <w:tcW w:w="2520" w:type="dxa"/>
          </w:tcPr>
          <w:p w14:paraId="67651163" w14:textId="5080DAC6" w:rsidR="00793223" w:rsidRPr="00316837" w:rsidRDefault="00793223" w:rsidP="00E16180">
            <w:pPr>
              <w:spacing w:before="120" w:after="120"/>
              <w:jc w:val="left"/>
              <w:rPr>
                <w:rFonts w:eastAsia="Calibri"/>
                <w:bCs/>
                <w:sz w:val="18"/>
                <w:szCs w:val="18"/>
              </w:rPr>
            </w:pPr>
            <w:r w:rsidRPr="00316837">
              <w:rPr>
                <w:rFonts w:eastAsia="Calibri"/>
                <w:bCs/>
                <w:sz w:val="18"/>
                <w:szCs w:val="18"/>
              </w:rPr>
              <w:t xml:space="preserve">The national TSOs to develop the national electricity markets in parallel to the regional ones </w:t>
            </w:r>
          </w:p>
          <w:p w14:paraId="2B58F827" w14:textId="19A0805F" w:rsidR="00793223" w:rsidRPr="00316837" w:rsidRDefault="00793223" w:rsidP="00E16180">
            <w:pPr>
              <w:spacing w:before="120" w:after="120"/>
              <w:jc w:val="left"/>
              <w:rPr>
                <w:rFonts w:eastAsia="Calibri"/>
                <w:bCs/>
                <w:sz w:val="18"/>
                <w:szCs w:val="18"/>
              </w:rPr>
            </w:pPr>
            <w:r w:rsidRPr="00316837">
              <w:rPr>
                <w:rFonts w:eastAsia="Calibri"/>
                <w:bCs/>
                <w:sz w:val="18"/>
                <w:szCs w:val="18"/>
              </w:rPr>
              <w:t xml:space="preserve">National market participants to restructure their organisation with the aim to perform market activities in the national and regional electricity markets </w:t>
            </w:r>
          </w:p>
        </w:tc>
        <w:tc>
          <w:tcPr>
            <w:tcW w:w="2430" w:type="dxa"/>
          </w:tcPr>
          <w:p w14:paraId="0F34CD4F" w14:textId="512568F9" w:rsidR="00793223" w:rsidRPr="00316837" w:rsidRDefault="00793223" w:rsidP="00E16180">
            <w:pPr>
              <w:spacing w:before="120" w:after="120"/>
              <w:jc w:val="left"/>
              <w:rPr>
                <w:rFonts w:eastAsia="Calibri"/>
                <w:bCs/>
                <w:sz w:val="18"/>
                <w:szCs w:val="18"/>
              </w:rPr>
            </w:pPr>
            <w:r w:rsidRPr="00316837">
              <w:rPr>
                <w:rFonts w:eastAsia="Calibri"/>
                <w:bCs/>
                <w:sz w:val="18"/>
                <w:szCs w:val="18"/>
              </w:rPr>
              <w:t xml:space="preserve">Power Pools to advance market trading platforms by including relevant financial products beside physical ones for trading in separate market timeframes at the regional level </w:t>
            </w:r>
          </w:p>
        </w:tc>
        <w:tc>
          <w:tcPr>
            <w:tcW w:w="2160" w:type="dxa"/>
          </w:tcPr>
          <w:p w14:paraId="77B4FAB4" w14:textId="0FE8EEBD" w:rsidR="00793223" w:rsidRPr="00316837" w:rsidRDefault="00793223" w:rsidP="00E16180">
            <w:pPr>
              <w:spacing w:before="120" w:after="120"/>
              <w:jc w:val="left"/>
              <w:rPr>
                <w:rFonts w:eastAsia="Calibri"/>
                <w:bCs/>
                <w:sz w:val="18"/>
                <w:szCs w:val="18"/>
              </w:rPr>
            </w:pPr>
            <w:r w:rsidRPr="00316837">
              <w:rPr>
                <w:rFonts w:eastAsia="Calibri"/>
                <w:bCs/>
                <w:sz w:val="18"/>
                <w:szCs w:val="18"/>
              </w:rPr>
              <w:t xml:space="preserve">Power Pools to align all products – physical and financial – for trading in separate market timeframes at the inter-Pool level </w:t>
            </w:r>
          </w:p>
        </w:tc>
      </w:tr>
      <w:tr w:rsidR="00B65F09" w:rsidRPr="00316837" w14:paraId="60FE9F1C" w14:textId="77777777" w:rsidTr="00B65F09">
        <w:tc>
          <w:tcPr>
            <w:tcW w:w="2785" w:type="dxa"/>
          </w:tcPr>
          <w:p w14:paraId="2E706FA9" w14:textId="77777777" w:rsidR="00B65F09" w:rsidRPr="00316837" w:rsidRDefault="00B65F09" w:rsidP="00E16180">
            <w:pPr>
              <w:spacing w:before="120" w:after="120"/>
              <w:jc w:val="left"/>
              <w:rPr>
                <w:rFonts w:eastAsia="Calibri"/>
                <w:bCs/>
                <w:sz w:val="18"/>
                <w:szCs w:val="18"/>
              </w:rPr>
            </w:pPr>
            <w:r w:rsidRPr="00316837">
              <w:rPr>
                <w:rFonts w:eastAsia="Calibri"/>
                <w:bCs/>
                <w:sz w:val="18"/>
                <w:szCs w:val="18"/>
              </w:rPr>
              <w:t xml:space="preserve">Synchronising procedures </w:t>
            </w:r>
          </w:p>
        </w:tc>
        <w:tc>
          <w:tcPr>
            <w:tcW w:w="2520" w:type="dxa"/>
          </w:tcPr>
          <w:p w14:paraId="2A78638A" w14:textId="261FFC35" w:rsidR="00B65F09" w:rsidRPr="00316837" w:rsidRDefault="00B65F09" w:rsidP="00E16180">
            <w:pPr>
              <w:spacing w:before="120" w:after="120"/>
              <w:jc w:val="left"/>
              <w:rPr>
                <w:rFonts w:eastAsia="Calibri"/>
                <w:bCs/>
                <w:sz w:val="18"/>
                <w:szCs w:val="18"/>
              </w:rPr>
            </w:pPr>
            <w:r w:rsidRPr="00316837">
              <w:rPr>
                <w:rFonts w:eastAsia="Calibri"/>
                <w:bCs/>
                <w:sz w:val="18"/>
                <w:szCs w:val="18"/>
              </w:rPr>
              <w:t xml:space="preserve">The national TSOs to </w:t>
            </w:r>
            <w:r w:rsidR="006863D6" w:rsidRPr="00316837">
              <w:rPr>
                <w:rFonts w:eastAsia="Calibri"/>
                <w:bCs/>
                <w:sz w:val="18"/>
                <w:szCs w:val="18"/>
              </w:rPr>
              <w:t>continue with</w:t>
            </w:r>
            <w:r w:rsidRPr="00316837">
              <w:rPr>
                <w:rFonts w:eastAsia="Calibri"/>
                <w:bCs/>
                <w:sz w:val="18"/>
                <w:szCs w:val="18"/>
              </w:rPr>
              <w:t xml:space="preserve"> the development of interconnections and together with market participants to </w:t>
            </w:r>
            <w:r w:rsidR="006863D6" w:rsidRPr="00316837">
              <w:rPr>
                <w:rFonts w:eastAsia="Calibri"/>
                <w:bCs/>
                <w:sz w:val="18"/>
                <w:szCs w:val="18"/>
              </w:rPr>
              <w:t xml:space="preserve">maintain </w:t>
            </w:r>
            <w:r w:rsidRPr="00316837">
              <w:rPr>
                <w:rFonts w:eastAsia="Calibri"/>
                <w:bCs/>
                <w:sz w:val="18"/>
                <w:szCs w:val="18"/>
              </w:rPr>
              <w:t>synchronise</w:t>
            </w:r>
            <w:r w:rsidR="006863D6" w:rsidRPr="00316837">
              <w:rPr>
                <w:rFonts w:eastAsia="Calibri"/>
                <w:bCs/>
                <w:sz w:val="18"/>
                <w:szCs w:val="18"/>
              </w:rPr>
              <w:t>d operation</w:t>
            </w:r>
            <w:r w:rsidR="005A33E8" w:rsidRPr="00316837">
              <w:rPr>
                <w:rFonts w:eastAsia="Calibri"/>
                <w:bCs/>
                <w:sz w:val="18"/>
                <w:szCs w:val="18"/>
              </w:rPr>
              <w:t xml:space="preserve"> </w:t>
            </w:r>
          </w:p>
        </w:tc>
        <w:tc>
          <w:tcPr>
            <w:tcW w:w="2430" w:type="dxa"/>
          </w:tcPr>
          <w:p w14:paraId="678F6100" w14:textId="726F65E3" w:rsidR="00B65F09" w:rsidRPr="00316837" w:rsidRDefault="00B65F09" w:rsidP="00E16180">
            <w:pPr>
              <w:spacing w:before="120" w:after="120"/>
              <w:jc w:val="left"/>
              <w:rPr>
                <w:rFonts w:eastAsia="Calibri"/>
                <w:bCs/>
                <w:sz w:val="18"/>
                <w:szCs w:val="18"/>
              </w:rPr>
            </w:pPr>
            <w:r w:rsidRPr="00316837">
              <w:rPr>
                <w:rFonts w:eastAsia="Calibri"/>
                <w:bCs/>
                <w:sz w:val="18"/>
                <w:szCs w:val="18"/>
              </w:rPr>
              <w:t xml:space="preserve">Power Pools to develop interconnections </w:t>
            </w:r>
            <w:r w:rsidR="006863D6" w:rsidRPr="00316837">
              <w:rPr>
                <w:rFonts w:eastAsia="Calibri"/>
                <w:bCs/>
                <w:sz w:val="18"/>
                <w:szCs w:val="18"/>
              </w:rPr>
              <w:t xml:space="preserve">with each other, where relevant, </w:t>
            </w:r>
            <w:r w:rsidRPr="00316837">
              <w:rPr>
                <w:rFonts w:eastAsia="Calibri"/>
                <w:bCs/>
                <w:sz w:val="18"/>
                <w:szCs w:val="18"/>
              </w:rPr>
              <w:t xml:space="preserve">and </w:t>
            </w:r>
            <w:r w:rsidR="006863D6" w:rsidRPr="00316837">
              <w:rPr>
                <w:rFonts w:eastAsia="Calibri"/>
                <w:bCs/>
                <w:sz w:val="18"/>
                <w:szCs w:val="18"/>
              </w:rPr>
              <w:t>extend</w:t>
            </w:r>
            <w:r w:rsidRPr="00316837">
              <w:rPr>
                <w:rFonts w:eastAsia="Calibri"/>
                <w:bCs/>
                <w:sz w:val="18"/>
                <w:szCs w:val="18"/>
              </w:rPr>
              <w:t xml:space="preserve"> the synchronisation of the power systems at the regional level</w:t>
            </w:r>
            <w:r w:rsidR="001D4932" w:rsidRPr="00316837">
              <w:rPr>
                <w:rFonts w:eastAsia="Calibri"/>
                <w:bCs/>
                <w:sz w:val="18"/>
                <w:szCs w:val="18"/>
              </w:rPr>
              <w:t xml:space="preserve"> </w:t>
            </w:r>
          </w:p>
        </w:tc>
        <w:tc>
          <w:tcPr>
            <w:tcW w:w="2160" w:type="dxa"/>
          </w:tcPr>
          <w:p w14:paraId="02891BDD" w14:textId="325D7B06" w:rsidR="00B65F09" w:rsidRPr="00316837" w:rsidRDefault="00B65F09" w:rsidP="00E16180">
            <w:pPr>
              <w:spacing w:before="120" w:after="120"/>
              <w:jc w:val="left"/>
              <w:rPr>
                <w:rFonts w:eastAsia="Calibri"/>
                <w:bCs/>
                <w:sz w:val="18"/>
                <w:szCs w:val="18"/>
              </w:rPr>
            </w:pPr>
            <w:r w:rsidRPr="00316837">
              <w:rPr>
                <w:rFonts w:eastAsia="Calibri"/>
                <w:bCs/>
                <w:sz w:val="18"/>
                <w:szCs w:val="18"/>
              </w:rPr>
              <w:t>Power Pools to mutual</w:t>
            </w:r>
            <w:r w:rsidR="006863D6" w:rsidRPr="00316837">
              <w:rPr>
                <w:rFonts w:eastAsia="Calibri"/>
                <w:bCs/>
                <w:sz w:val="18"/>
                <w:szCs w:val="18"/>
              </w:rPr>
              <w:t>ly</w:t>
            </w:r>
            <w:r w:rsidRPr="00316837">
              <w:rPr>
                <w:rFonts w:eastAsia="Calibri"/>
                <w:bCs/>
                <w:sz w:val="18"/>
                <w:szCs w:val="18"/>
              </w:rPr>
              <w:t xml:space="preserve"> synchronis</w:t>
            </w:r>
            <w:r w:rsidR="006863D6" w:rsidRPr="00316837">
              <w:rPr>
                <w:rFonts w:eastAsia="Calibri"/>
                <w:bCs/>
                <w:sz w:val="18"/>
                <w:szCs w:val="18"/>
              </w:rPr>
              <w:t>e, where relevant,</w:t>
            </w:r>
            <w:r w:rsidRPr="00316837">
              <w:rPr>
                <w:rFonts w:eastAsia="Calibri"/>
                <w:bCs/>
                <w:sz w:val="18"/>
                <w:szCs w:val="18"/>
              </w:rPr>
              <w:t xml:space="preserve"> at the inter-Power Pool level, i.e. the continental level </w:t>
            </w:r>
          </w:p>
        </w:tc>
      </w:tr>
      <w:tr w:rsidR="005A33E8" w:rsidRPr="00316837" w14:paraId="6378A35C" w14:textId="77777777" w:rsidTr="005A33E8">
        <w:tc>
          <w:tcPr>
            <w:tcW w:w="2785" w:type="dxa"/>
          </w:tcPr>
          <w:p w14:paraId="67FBCF84" w14:textId="36A49C0B" w:rsidR="005A33E8" w:rsidRPr="00316837" w:rsidRDefault="005A33E8" w:rsidP="00E16180">
            <w:pPr>
              <w:spacing w:before="120" w:after="120"/>
              <w:jc w:val="left"/>
              <w:rPr>
                <w:rFonts w:eastAsia="Calibri"/>
                <w:bCs/>
                <w:sz w:val="18"/>
                <w:szCs w:val="18"/>
              </w:rPr>
            </w:pPr>
            <w:r w:rsidRPr="00316837">
              <w:rPr>
                <w:rFonts w:eastAsia="Calibri"/>
                <w:bCs/>
                <w:sz w:val="18"/>
                <w:szCs w:val="18"/>
              </w:rPr>
              <w:t>Operational data</w:t>
            </w:r>
            <w:r w:rsidR="001D4932" w:rsidRPr="00316837">
              <w:rPr>
                <w:rFonts w:eastAsia="Calibri"/>
                <w:bCs/>
                <w:sz w:val="18"/>
                <w:szCs w:val="18"/>
              </w:rPr>
              <w:t xml:space="preserve"> </w:t>
            </w:r>
          </w:p>
        </w:tc>
        <w:tc>
          <w:tcPr>
            <w:tcW w:w="2520" w:type="dxa"/>
          </w:tcPr>
          <w:p w14:paraId="4254F53C" w14:textId="17471E7C" w:rsidR="005A33E8" w:rsidRPr="00316837" w:rsidRDefault="005A33E8" w:rsidP="00E16180">
            <w:pPr>
              <w:spacing w:before="120" w:after="120"/>
              <w:jc w:val="left"/>
              <w:rPr>
                <w:rFonts w:eastAsia="Calibri"/>
                <w:bCs/>
                <w:sz w:val="18"/>
                <w:szCs w:val="18"/>
              </w:rPr>
            </w:pPr>
            <w:r w:rsidRPr="00316837">
              <w:rPr>
                <w:rFonts w:eastAsia="Calibri"/>
                <w:bCs/>
                <w:sz w:val="18"/>
                <w:szCs w:val="18"/>
              </w:rPr>
              <w:t xml:space="preserve">The national TSOs to share enlarged operational data with each other and the relevant Control Area Operators and the RSMOs </w:t>
            </w:r>
          </w:p>
        </w:tc>
        <w:tc>
          <w:tcPr>
            <w:tcW w:w="2430" w:type="dxa"/>
          </w:tcPr>
          <w:p w14:paraId="5050E96B" w14:textId="64032AA2" w:rsidR="005A33E8" w:rsidRPr="00316837" w:rsidRDefault="005A33E8" w:rsidP="00E16180">
            <w:pPr>
              <w:spacing w:before="120" w:after="120"/>
              <w:jc w:val="left"/>
              <w:rPr>
                <w:rFonts w:eastAsia="Calibri"/>
                <w:bCs/>
                <w:sz w:val="18"/>
                <w:szCs w:val="18"/>
              </w:rPr>
            </w:pPr>
            <w:r w:rsidRPr="00316837">
              <w:rPr>
                <w:rFonts w:eastAsia="Calibri"/>
                <w:bCs/>
                <w:sz w:val="18"/>
                <w:szCs w:val="18"/>
              </w:rPr>
              <w:t>Power Pools to enable sharing of the enlarged set of operational data, and develop advanced means of communicating these data</w:t>
            </w:r>
            <w:r w:rsidR="001D4932" w:rsidRPr="00316837">
              <w:rPr>
                <w:rFonts w:eastAsia="Calibri"/>
                <w:bCs/>
                <w:sz w:val="18"/>
                <w:szCs w:val="18"/>
              </w:rPr>
              <w:t xml:space="preserve"> </w:t>
            </w:r>
          </w:p>
        </w:tc>
        <w:tc>
          <w:tcPr>
            <w:tcW w:w="2160" w:type="dxa"/>
          </w:tcPr>
          <w:p w14:paraId="4B1799EB" w14:textId="6887847B" w:rsidR="005A33E8" w:rsidRPr="00316837" w:rsidRDefault="005A33E8" w:rsidP="00E16180">
            <w:pPr>
              <w:spacing w:before="120" w:after="120"/>
              <w:jc w:val="left"/>
              <w:rPr>
                <w:rFonts w:eastAsia="Calibri"/>
                <w:bCs/>
                <w:sz w:val="18"/>
                <w:szCs w:val="18"/>
              </w:rPr>
            </w:pPr>
            <w:r w:rsidRPr="00316837">
              <w:rPr>
                <w:rFonts w:eastAsia="Calibri"/>
                <w:bCs/>
                <w:sz w:val="18"/>
                <w:szCs w:val="18"/>
              </w:rPr>
              <w:t>Power Pools to share mutually the enlarged operational datasets after the synchronisation at the inter-Power Pool level, i.e. the continental level</w:t>
            </w:r>
            <w:r w:rsidR="001D4932" w:rsidRPr="00316837">
              <w:rPr>
                <w:rFonts w:eastAsia="Calibri"/>
                <w:bCs/>
                <w:sz w:val="18"/>
                <w:szCs w:val="18"/>
              </w:rPr>
              <w:t xml:space="preserve"> </w:t>
            </w:r>
          </w:p>
        </w:tc>
      </w:tr>
      <w:tr w:rsidR="00F831B1" w:rsidRPr="00316837" w14:paraId="149949CB" w14:textId="77777777" w:rsidTr="00F831B1">
        <w:tc>
          <w:tcPr>
            <w:tcW w:w="2785" w:type="dxa"/>
          </w:tcPr>
          <w:p w14:paraId="63D737AD" w14:textId="77777777" w:rsidR="00F831B1" w:rsidRPr="00316837" w:rsidRDefault="00F831B1" w:rsidP="00E16180">
            <w:pPr>
              <w:spacing w:before="120" w:after="120"/>
              <w:jc w:val="left"/>
              <w:rPr>
                <w:rFonts w:eastAsia="Calibri"/>
                <w:bCs/>
                <w:sz w:val="18"/>
                <w:szCs w:val="18"/>
              </w:rPr>
            </w:pPr>
            <w:r w:rsidRPr="00316837">
              <w:rPr>
                <w:rFonts w:eastAsia="Calibri"/>
                <w:bCs/>
                <w:sz w:val="18"/>
                <w:szCs w:val="18"/>
              </w:rPr>
              <w:t xml:space="preserve">Transmission capacity allocation </w:t>
            </w:r>
          </w:p>
        </w:tc>
        <w:tc>
          <w:tcPr>
            <w:tcW w:w="2520" w:type="dxa"/>
          </w:tcPr>
          <w:p w14:paraId="527FDB76" w14:textId="10FAB15C" w:rsidR="00F831B1" w:rsidRPr="00316837" w:rsidRDefault="00F831B1" w:rsidP="00E16180">
            <w:pPr>
              <w:spacing w:before="120" w:after="120"/>
              <w:jc w:val="left"/>
              <w:rPr>
                <w:rFonts w:eastAsia="Calibri"/>
                <w:bCs/>
                <w:sz w:val="18"/>
                <w:szCs w:val="18"/>
              </w:rPr>
            </w:pPr>
            <w:r w:rsidRPr="00316837">
              <w:rPr>
                <w:rFonts w:eastAsia="Calibri"/>
                <w:bCs/>
                <w:sz w:val="18"/>
                <w:szCs w:val="18"/>
              </w:rPr>
              <w:t xml:space="preserve">The national TSOs to enable participation of market participants in regional allocation of cross-border transmission capacity and allocate the capacity for bilateral transactions fully in line with market-based approaches </w:t>
            </w:r>
          </w:p>
        </w:tc>
        <w:tc>
          <w:tcPr>
            <w:tcW w:w="2430" w:type="dxa"/>
          </w:tcPr>
          <w:p w14:paraId="0E132220" w14:textId="5DDF81A9" w:rsidR="00F831B1" w:rsidRPr="00316837" w:rsidRDefault="00F831B1" w:rsidP="00E16180">
            <w:pPr>
              <w:spacing w:before="120" w:after="120"/>
              <w:jc w:val="left"/>
              <w:rPr>
                <w:rFonts w:eastAsia="Calibri"/>
                <w:bCs/>
                <w:sz w:val="18"/>
                <w:szCs w:val="18"/>
              </w:rPr>
            </w:pPr>
            <w:r w:rsidRPr="00316837">
              <w:rPr>
                <w:rFonts w:eastAsia="Calibri"/>
                <w:bCs/>
                <w:sz w:val="18"/>
                <w:szCs w:val="18"/>
              </w:rPr>
              <w:t xml:space="preserve">Power Pools to allocate the cross-border transmission capacity at the regional level fully in line with market-based approaches </w:t>
            </w:r>
          </w:p>
        </w:tc>
        <w:tc>
          <w:tcPr>
            <w:tcW w:w="2160" w:type="dxa"/>
          </w:tcPr>
          <w:p w14:paraId="0F10DA74" w14:textId="31F257A6" w:rsidR="00F831B1" w:rsidRPr="00316837" w:rsidRDefault="00F831B1" w:rsidP="00E16180">
            <w:pPr>
              <w:spacing w:before="120" w:after="120"/>
              <w:jc w:val="left"/>
              <w:rPr>
                <w:rFonts w:eastAsia="Calibri"/>
                <w:bCs/>
                <w:sz w:val="18"/>
                <w:szCs w:val="18"/>
              </w:rPr>
            </w:pPr>
            <w:r w:rsidRPr="00316837">
              <w:rPr>
                <w:rFonts w:eastAsia="Calibri"/>
                <w:bCs/>
                <w:sz w:val="18"/>
                <w:szCs w:val="18"/>
              </w:rPr>
              <w:t>Power Pools to allocate cross-border transmission capacity for transactions at the continental level (inter-Power Pool) fully in line with market-based approaches</w:t>
            </w:r>
            <w:r w:rsidR="001D4932" w:rsidRPr="00316837">
              <w:rPr>
                <w:rFonts w:eastAsia="Calibri"/>
                <w:bCs/>
                <w:sz w:val="18"/>
                <w:szCs w:val="18"/>
              </w:rPr>
              <w:t xml:space="preserve"> </w:t>
            </w:r>
          </w:p>
        </w:tc>
      </w:tr>
      <w:tr w:rsidR="00273F30" w:rsidRPr="00316837" w14:paraId="2646A94A" w14:textId="77777777" w:rsidTr="001D4932">
        <w:trPr>
          <w:trHeight w:val="788"/>
        </w:trPr>
        <w:tc>
          <w:tcPr>
            <w:tcW w:w="2785" w:type="dxa"/>
          </w:tcPr>
          <w:p w14:paraId="5B6BCEDE" w14:textId="39194389" w:rsidR="00273F30" w:rsidRPr="00316837" w:rsidRDefault="00273F30" w:rsidP="00E16180">
            <w:pPr>
              <w:spacing w:before="120" w:after="120"/>
              <w:jc w:val="left"/>
              <w:rPr>
                <w:rFonts w:eastAsia="Calibri"/>
                <w:bCs/>
                <w:sz w:val="18"/>
                <w:szCs w:val="18"/>
              </w:rPr>
            </w:pPr>
            <w:r w:rsidRPr="00316837">
              <w:rPr>
                <w:rFonts w:eastAsia="Calibri"/>
                <w:bCs/>
                <w:sz w:val="18"/>
                <w:szCs w:val="18"/>
              </w:rPr>
              <w:t>Ancillary services adequacy</w:t>
            </w:r>
            <w:r w:rsidR="001D4932" w:rsidRPr="00316837">
              <w:rPr>
                <w:rFonts w:eastAsia="Calibri"/>
                <w:bCs/>
                <w:sz w:val="18"/>
                <w:szCs w:val="18"/>
              </w:rPr>
              <w:t xml:space="preserve"> </w:t>
            </w:r>
          </w:p>
        </w:tc>
        <w:tc>
          <w:tcPr>
            <w:tcW w:w="2520" w:type="dxa"/>
          </w:tcPr>
          <w:p w14:paraId="633A85D3" w14:textId="1940BC82" w:rsidR="00273F30" w:rsidRPr="00316837" w:rsidRDefault="00273F30" w:rsidP="00273F30">
            <w:pPr>
              <w:spacing w:before="120" w:after="120"/>
              <w:jc w:val="left"/>
              <w:rPr>
                <w:rFonts w:eastAsia="Calibri"/>
                <w:bCs/>
                <w:sz w:val="18"/>
                <w:szCs w:val="18"/>
              </w:rPr>
            </w:pPr>
            <w:r w:rsidRPr="00316837">
              <w:rPr>
                <w:rFonts w:eastAsia="Calibri"/>
                <w:bCs/>
                <w:sz w:val="18"/>
                <w:szCs w:val="18"/>
              </w:rPr>
              <w:t>Implement Automatic Generation Control at the national level as a result of system complexity due to higher levels of penetration of variable RE integration</w:t>
            </w:r>
            <w:r w:rsidR="001D4932" w:rsidRPr="00316837">
              <w:rPr>
                <w:rFonts w:eastAsia="Calibri"/>
                <w:bCs/>
                <w:sz w:val="18"/>
                <w:szCs w:val="18"/>
              </w:rPr>
              <w:t xml:space="preserve"> </w:t>
            </w:r>
          </w:p>
          <w:p w14:paraId="51EC05F2" w14:textId="638C839E" w:rsidR="00273F30" w:rsidRPr="00316837" w:rsidRDefault="00273F30" w:rsidP="00273F30">
            <w:pPr>
              <w:spacing w:before="120" w:after="120"/>
              <w:jc w:val="left"/>
              <w:rPr>
                <w:rFonts w:eastAsia="Calibri"/>
                <w:bCs/>
                <w:sz w:val="18"/>
                <w:szCs w:val="18"/>
              </w:rPr>
            </w:pPr>
            <w:r w:rsidRPr="00316837">
              <w:rPr>
                <w:rFonts w:eastAsia="Calibri"/>
                <w:bCs/>
                <w:sz w:val="18"/>
                <w:szCs w:val="18"/>
              </w:rPr>
              <w:lastRenderedPageBreak/>
              <w:t>Implement and enhance the operation of the Ancillary Services Market</w:t>
            </w:r>
            <w:r w:rsidR="001D4932" w:rsidRPr="00316837">
              <w:rPr>
                <w:rFonts w:eastAsia="Calibri"/>
                <w:bCs/>
                <w:sz w:val="18"/>
                <w:szCs w:val="18"/>
              </w:rPr>
              <w:t xml:space="preserve"> </w:t>
            </w:r>
          </w:p>
        </w:tc>
        <w:tc>
          <w:tcPr>
            <w:tcW w:w="2430" w:type="dxa"/>
          </w:tcPr>
          <w:p w14:paraId="47EF115F" w14:textId="00986699" w:rsidR="00273F30" w:rsidRPr="00316837" w:rsidRDefault="00273F30" w:rsidP="00273F30">
            <w:pPr>
              <w:spacing w:before="120" w:after="120"/>
              <w:jc w:val="left"/>
              <w:rPr>
                <w:rFonts w:eastAsia="Calibri"/>
                <w:bCs/>
                <w:sz w:val="18"/>
                <w:szCs w:val="18"/>
              </w:rPr>
            </w:pPr>
            <w:r w:rsidRPr="00316837">
              <w:rPr>
                <w:rFonts w:eastAsia="Calibri"/>
                <w:bCs/>
                <w:sz w:val="18"/>
                <w:szCs w:val="18"/>
              </w:rPr>
              <w:lastRenderedPageBreak/>
              <w:t xml:space="preserve">Enforce implementation of Automatic Generation Control at the regional level, as a result of higher levels of penetration of variable RE integration </w:t>
            </w:r>
          </w:p>
          <w:p w14:paraId="66ACF2F2" w14:textId="20A22DAD" w:rsidR="00273F30" w:rsidRPr="00316837" w:rsidRDefault="00273F30" w:rsidP="00273F30">
            <w:pPr>
              <w:spacing w:before="120" w:after="120"/>
              <w:jc w:val="left"/>
              <w:rPr>
                <w:rFonts w:eastAsia="Calibri"/>
                <w:bCs/>
                <w:sz w:val="18"/>
                <w:szCs w:val="18"/>
              </w:rPr>
            </w:pPr>
            <w:r w:rsidRPr="00316837">
              <w:rPr>
                <w:rFonts w:eastAsia="Calibri"/>
                <w:bCs/>
                <w:sz w:val="18"/>
                <w:szCs w:val="18"/>
              </w:rPr>
              <w:lastRenderedPageBreak/>
              <w:t>Implement and enhance the operation of the Ancillary Services Market</w:t>
            </w:r>
            <w:r w:rsidR="001D4932" w:rsidRPr="00316837">
              <w:rPr>
                <w:rFonts w:eastAsia="Calibri"/>
                <w:bCs/>
                <w:sz w:val="18"/>
                <w:szCs w:val="18"/>
              </w:rPr>
              <w:t xml:space="preserve"> </w:t>
            </w:r>
          </w:p>
        </w:tc>
        <w:tc>
          <w:tcPr>
            <w:tcW w:w="2160" w:type="dxa"/>
          </w:tcPr>
          <w:p w14:paraId="13F12C8C" w14:textId="53A473B7" w:rsidR="00273F30" w:rsidRPr="00316837" w:rsidRDefault="00273F30" w:rsidP="00E16180">
            <w:pPr>
              <w:spacing w:before="120" w:after="120"/>
              <w:jc w:val="left"/>
              <w:rPr>
                <w:rFonts w:eastAsia="Calibri"/>
                <w:bCs/>
                <w:sz w:val="18"/>
                <w:szCs w:val="18"/>
              </w:rPr>
            </w:pPr>
            <w:r w:rsidRPr="00316837">
              <w:rPr>
                <w:rFonts w:eastAsia="Calibri"/>
                <w:bCs/>
                <w:sz w:val="18"/>
                <w:szCs w:val="18"/>
              </w:rPr>
              <w:lastRenderedPageBreak/>
              <w:t xml:space="preserve">AUC(-DIE) to continue to work with Power Pools to monitor the evolution of the market and operation of the </w:t>
            </w:r>
            <w:r w:rsidRPr="00316837">
              <w:rPr>
                <w:rFonts w:eastAsia="Calibri"/>
                <w:bCs/>
                <w:sz w:val="18"/>
                <w:szCs w:val="18"/>
              </w:rPr>
              <w:lastRenderedPageBreak/>
              <w:t xml:space="preserve">ancillary services market under AfSEM </w:t>
            </w:r>
          </w:p>
        </w:tc>
      </w:tr>
    </w:tbl>
    <w:p w14:paraId="59D9232D" w14:textId="16418375" w:rsidR="00483DE9" w:rsidRPr="00316837" w:rsidRDefault="00744D32" w:rsidP="00483DE9">
      <w:pPr>
        <w:pStyle w:val="Heading2"/>
        <w:rPr>
          <w:rFonts w:eastAsia="Calibri"/>
        </w:rPr>
      </w:pPr>
      <w:bookmarkStart w:id="224" w:name="_Toc77260333"/>
      <w:r w:rsidRPr="00316837">
        <w:rPr>
          <w:rFonts w:eastAsia="Calibri"/>
        </w:rPr>
        <w:lastRenderedPageBreak/>
        <w:t>Interconnection of Off-Grid Systems and Microgrids</w:t>
      </w:r>
      <w:bookmarkEnd w:id="224"/>
      <w:r w:rsidRPr="00316837">
        <w:rPr>
          <w:rFonts w:eastAsia="Calibri"/>
        </w:rPr>
        <w:t xml:space="preserve"> </w:t>
      </w:r>
    </w:p>
    <w:p w14:paraId="159AE3CA" w14:textId="222D6040" w:rsidR="006D5907" w:rsidRPr="00316837" w:rsidRDefault="006D5907" w:rsidP="006D5907">
      <w:pPr>
        <w:rPr>
          <w:rFonts w:eastAsia="Calibri"/>
          <w:szCs w:val="20"/>
        </w:rPr>
      </w:pPr>
      <w:r w:rsidRPr="00316837">
        <w:rPr>
          <w:rFonts w:eastAsia="Calibri"/>
        </w:rPr>
        <w:t xml:space="preserve">The ultimate pursuit is the development of a comprehensive regulatory framework in all African countries that facilitates and promotes the development of mini-grids that are able to operate grid-connected when the main </w:t>
      </w:r>
      <w:r w:rsidRPr="00316837">
        <w:rPr>
          <w:rFonts w:eastAsia="Calibri"/>
          <w:szCs w:val="20"/>
        </w:rPr>
        <w:t xml:space="preserve">grid encompasses the mini-grid. Specific activities </w:t>
      </w:r>
      <w:r w:rsidR="00273F30" w:rsidRPr="00316837">
        <w:rPr>
          <w:rFonts w:eastAsia="Calibri"/>
          <w:szCs w:val="20"/>
        </w:rPr>
        <w:t xml:space="preserve">are focused on </w:t>
      </w:r>
      <w:r w:rsidRPr="00316837">
        <w:rPr>
          <w:rFonts w:eastAsia="Calibri"/>
          <w:szCs w:val="20"/>
        </w:rPr>
        <w:t xml:space="preserve">the short-term </w:t>
      </w:r>
      <w:r w:rsidR="00273F30" w:rsidRPr="00316837">
        <w:rPr>
          <w:rFonts w:eastAsia="Calibri"/>
          <w:szCs w:val="20"/>
        </w:rPr>
        <w:t xml:space="preserve">(see </w:t>
      </w:r>
      <w:r w:rsidR="00B23E94" w:rsidRPr="00316837">
        <w:rPr>
          <w:rFonts w:eastAsia="Calibri"/>
          <w:szCs w:val="20"/>
        </w:rPr>
        <w:fldChar w:fldCharType="begin"/>
      </w:r>
      <w:r w:rsidR="00B23E94" w:rsidRPr="00316837">
        <w:rPr>
          <w:rFonts w:eastAsia="Calibri"/>
          <w:szCs w:val="20"/>
        </w:rPr>
        <w:instrText xml:space="preserve"> REF _Ref76984075 \h  \* MERGEFORMAT </w:instrText>
      </w:r>
      <w:r w:rsidR="00B23E94" w:rsidRPr="00316837">
        <w:rPr>
          <w:rFonts w:eastAsia="Calibri"/>
          <w:szCs w:val="20"/>
        </w:rPr>
      </w:r>
      <w:r w:rsidR="00B23E94" w:rsidRPr="00316837">
        <w:rPr>
          <w:rFonts w:eastAsia="Calibri"/>
          <w:szCs w:val="20"/>
        </w:rPr>
        <w:fldChar w:fldCharType="separate"/>
      </w:r>
      <w:r w:rsidR="00C94CE5" w:rsidRPr="00316837">
        <w:rPr>
          <w:szCs w:val="20"/>
        </w:rPr>
        <w:t>Table 7</w:t>
      </w:r>
      <w:r w:rsidR="00C94CE5" w:rsidRPr="00316837">
        <w:rPr>
          <w:szCs w:val="20"/>
        </w:rPr>
        <w:noBreakHyphen/>
        <w:t>5</w:t>
      </w:r>
      <w:r w:rsidR="00B23E94" w:rsidRPr="00316837">
        <w:rPr>
          <w:rFonts w:eastAsia="Calibri"/>
          <w:szCs w:val="20"/>
        </w:rPr>
        <w:fldChar w:fldCharType="end"/>
      </w:r>
      <w:r w:rsidR="00273F30" w:rsidRPr="00654753">
        <w:rPr>
          <w:rFonts w:eastAsia="Calibri"/>
          <w:szCs w:val="20"/>
        </w:rPr>
        <w:t xml:space="preserve">). </w:t>
      </w:r>
    </w:p>
    <w:p w14:paraId="101263D5" w14:textId="4EB49ED4" w:rsidR="00273F30" w:rsidRPr="00316837" w:rsidRDefault="00273F30" w:rsidP="00273F30">
      <w:pPr>
        <w:rPr>
          <w:sz w:val="18"/>
          <w:szCs w:val="18"/>
        </w:rPr>
      </w:pPr>
      <w:bookmarkStart w:id="225" w:name="_Ref76984075"/>
      <w:bookmarkStart w:id="226" w:name="_Toc77260262"/>
      <w:r w:rsidRPr="00316837">
        <w:rPr>
          <w:sz w:val="18"/>
          <w:szCs w:val="18"/>
        </w:rPr>
        <w:t xml:space="preserve">Table </w:t>
      </w:r>
      <w:r w:rsidRPr="00316837">
        <w:rPr>
          <w:sz w:val="18"/>
          <w:szCs w:val="18"/>
        </w:rPr>
        <w:fldChar w:fldCharType="begin"/>
      </w:r>
      <w:r w:rsidRPr="00316837">
        <w:rPr>
          <w:sz w:val="18"/>
          <w:szCs w:val="18"/>
        </w:rPr>
        <w:instrText xml:space="preserve"> STYLEREF 1 \s </w:instrText>
      </w:r>
      <w:r w:rsidRPr="00316837">
        <w:rPr>
          <w:sz w:val="18"/>
          <w:szCs w:val="18"/>
        </w:rPr>
        <w:fldChar w:fldCharType="separate"/>
      </w:r>
      <w:r w:rsidRPr="00316837">
        <w:rPr>
          <w:sz w:val="18"/>
          <w:szCs w:val="18"/>
        </w:rPr>
        <w:t>7</w:t>
      </w:r>
      <w:r w:rsidRPr="00316837">
        <w:rPr>
          <w:sz w:val="18"/>
          <w:szCs w:val="18"/>
        </w:rPr>
        <w:fldChar w:fldCharType="end"/>
      </w:r>
      <w:r w:rsidRPr="00654753">
        <w:rPr>
          <w:sz w:val="18"/>
          <w:szCs w:val="18"/>
        </w:rPr>
        <w:noBreakHyphen/>
      </w:r>
      <w:r w:rsidRPr="00316837">
        <w:rPr>
          <w:sz w:val="18"/>
          <w:szCs w:val="18"/>
        </w:rPr>
        <w:fldChar w:fldCharType="begin"/>
      </w:r>
      <w:r w:rsidRPr="00316837">
        <w:rPr>
          <w:sz w:val="18"/>
          <w:szCs w:val="18"/>
        </w:rPr>
        <w:instrText xml:space="preserve"> SEQ Table \* ARABIC \s 1 </w:instrText>
      </w:r>
      <w:r w:rsidRPr="00316837">
        <w:rPr>
          <w:sz w:val="18"/>
          <w:szCs w:val="18"/>
        </w:rPr>
        <w:fldChar w:fldCharType="separate"/>
      </w:r>
      <w:r w:rsidR="00C94CE5" w:rsidRPr="00316837">
        <w:rPr>
          <w:sz w:val="18"/>
          <w:szCs w:val="18"/>
        </w:rPr>
        <w:t>5</w:t>
      </w:r>
      <w:r w:rsidRPr="00316837">
        <w:rPr>
          <w:sz w:val="18"/>
          <w:szCs w:val="18"/>
        </w:rPr>
        <w:fldChar w:fldCharType="end"/>
      </w:r>
      <w:bookmarkEnd w:id="225"/>
      <w:r w:rsidRPr="00654753">
        <w:rPr>
          <w:sz w:val="18"/>
          <w:szCs w:val="18"/>
        </w:rPr>
        <w:t xml:space="preserve">: The Short-Term Action Plan (for the interconnection of off-grid systems and </w:t>
      </w:r>
      <w:r w:rsidRPr="00316837">
        <w:rPr>
          <w:sz w:val="18"/>
          <w:szCs w:val="18"/>
        </w:rPr>
        <w:t>microgrids)</w:t>
      </w:r>
      <w:bookmarkEnd w:id="226"/>
      <w:r w:rsidRPr="00316837">
        <w:rPr>
          <w:sz w:val="18"/>
          <w:szCs w:val="18"/>
        </w:rPr>
        <w:t xml:space="preserve"> </w:t>
      </w:r>
    </w:p>
    <w:tbl>
      <w:tblPr>
        <w:tblStyle w:val="TableGrid"/>
        <w:tblW w:w="9895" w:type="dxa"/>
        <w:tblLook w:val="04A0" w:firstRow="1" w:lastRow="0" w:firstColumn="1" w:lastColumn="0" w:noHBand="0" w:noVBand="1"/>
      </w:tblPr>
      <w:tblGrid>
        <w:gridCol w:w="2785"/>
        <w:gridCol w:w="2520"/>
        <w:gridCol w:w="2430"/>
        <w:gridCol w:w="2160"/>
      </w:tblGrid>
      <w:tr w:rsidR="00273F30" w:rsidRPr="0069087F" w14:paraId="5BA9F89E" w14:textId="77777777" w:rsidTr="00E16180">
        <w:tc>
          <w:tcPr>
            <w:tcW w:w="2785" w:type="dxa"/>
            <w:vMerge w:val="restart"/>
            <w:shd w:val="clear" w:color="auto" w:fill="F2F2F2" w:themeFill="background1" w:themeFillShade="F2"/>
          </w:tcPr>
          <w:p w14:paraId="2C8C91E3" w14:textId="08BF0132" w:rsidR="00273F30" w:rsidRPr="006273BD" w:rsidRDefault="00273F30" w:rsidP="00E16180">
            <w:pPr>
              <w:spacing w:before="120" w:after="120"/>
              <w:jc w:val="left"/>
              <w:rPr>
                <w:rFonts w:eastAsia="Calibri"/>
                <w:b/>
                <w:sz w:val="18"/>
                <w:szCs w:val="18"/>
              </w:rPr>
            </w:pPr>
            <w:r w:rsidRPr="006273BD">
              <w:rPr>
                <w:rFonts w:eastAsia="Calibri"/>
                <w:b/>
                <w:sz w:val="18"/>
                <w:szCs w:val="18"/>
              </w:rPr>
              <w:t>Activity</w:t>
            </w:r>
            <w:r w:rsidR="001D4932" w:rsidRPr="006273BD">
              <w:rPr>
                <w:rFonts w:eastAsia="Calibri"/>
                <w:b/>
                <w:sz w:val="18"/>
                <w:szCs w:val="18"/>
              </w:rPr>
              <w:t xml:space="preserve"> </w:t>
            </w:r>
          </w:p>
        </w:tc>
        <w:tc>
          <w:tcPr>
            <w:tcW w:w="7110" w:type="dxa"/>
            <w:gridSpan w:val="3"/>
            <w:shd w:val="clear" w:color="auto" w:fill="F2F2F2" w:themeFill="background1" w:themeFillShade="F2"/>
          </w:tcPr>
          <w:p w14:paraId="27C56B16" w14:textId="229D893F" w:rsidR="00273F30" w:rsidRPr="006273BD" w:rsidRDefault="00273F30" w:rsidP="00E16180">
            <w:pPr>
              <w:spacing w:before="120" w:after="120"/>
              <w:jc w:val="center"/>
              <w:rPr>
                <w:rFonts w:eastAsia="Calibri"/>
                <w:b/>
                <w:sz w:val="18"/>
                <w:szCs w:val="18"/>
              </w:rPr>
            </w:pPr>
            <w:r w:rsidRPr="006273BD">
              <w:rPr>
                <w:rFonts w:eastAsia="Calibri"/>
                <w:b/>
                <w:sz w:val="18"/>
                <w:szCs w:val="18"/>
              </w:rPr>
              <w:t>National, Regional and Continental Levels</w:t>
            </w:r>
            <w:r w:rsidR="001D4932" w:rsidRPr="006273BD">
              <w:rPr>
                <w:rFonts w:eastAsia="Calibri"/>
                <w:b/>
                <w:sz w:val="18"/>
                <w:szCs w:val="18"/>
              </w:rPr>
              <w:t xml:space="preserve"> </w:t>
            </w:r>
          </w:p>
        </w:tc>
      </w:tr>
      <w:tr w:rsidR="00273F30" w:rsidRPr="0069087F" w14:paraId="59F84072" w14:textId="77777777" w:rsidTr="00E16180">
        <w:tc>
          <w:tcPr>
            <w:tcW w:w="2785" w:type="dxa"/>
            <w:vMerge/>
            <w:shd w:val="clear" w:color="auto" w:fill="F2F2F2" w:themeFill="background1" w:themeFillShade="F2"/>
          </w:tcPr>
          <w:p w14:paraId="22B3A622" w14:textId="77777777" w:rsidR="00273F30" w:rsidRPr="006273BD" w:rsidRDefault="00273F30" w:rsidP="00E16180">
            <w:pPr>
              <w:spacing w:before="120" w:after="120"/>
              <w:jc w:val="left"/>
              <w:rPr>
                <w:rFonts w:eastAsia="Calibri"/>
                <w:b/>
                <w:sz w:val="18"/>
                <w:szCs w:val="18"/>
              </w:rPr>
            </w:pPr>
          </w:p>
        </w:tc>
        <w:tc>
          <w:tcPr>
            <w:tcW w:w="2520" w:type="dxa"/>
            <w:shd w:val="clear" w:color="auto" w:fill="F2F2F2" w:themeFill="background1" w:themeFillShade="F2"/>
          </w:tcPr>
          <w:p w14:paraId="60F92CEF" w14:textId="10A70491" w:rsidR="00273F30" w:rsidRPr="006273BD" w:rsidRDefault="00273F30" w:rsidP="00E16180">
            <w:pPr>
              <w:spacing w:before="120" w:after="120"/>
              <w:jc w:val="left"/>
              <w:rPr>
                <w:rFonts w:eastAsia="Calibri"/>
                <w:b/>
                <w:sz w:val="18"/>
                <w:szCs w:val="18"/>
              </w:rPr>
            </w:pPr>
            <w:r w:rsidRPr="006273BD">
              <w:rPr>
                <w:rFonts w:eastAsia="Calibri"/>
                <w:b/>
                <w:sz w:val="18"/>
                <w:szCs w:val="18"/>
              </w:rPr>
              <w:t>National</w:t>
            </w:r>
            <w:r w:rsidR="001D4932" w:rsidRPr="006273BD">
              <w:rPr>
                <w:rFonts w:eastAsia="Calibri"/>
                <w:b/>
                <w:sz w:val="18"/>
                <w:szCs w:val="18"/>
              </w:rPr>
              <w:t xml:space="preserve"> </w:t>
            </w:r>
          </w:p>
        </w:tc>
        <w:tc>
          <w:tcPr>
            <w:tcW w:w="2430" w:type="dxa"/>
            <w:shd w:val="clear" w:color="auto" w:fill="F2F2F2" w:themeFill="background1" w:themeFillShade="F2"/>
          </w:tcPr>
          <w:p w14:paraId="523DAAB5" w14:textId="7266D782" w:rsidR="00273F30" w:rsidRPr="006273BD" w:rsidRDefault="00273F30" w:rsidP="00E16180">
            <w:pPr>
              <w:spacing w:before="120" w:after="120"/>
              <w:jc w:val="left"/>
              <w:rPr>
                <w:rFonts w:eastAsia="Calibri"/>
                <w:b/>
                <w:sz w:val="18"/>
                <w:szCs w:val="18"/>
              </w:rPr>
            </w:pPr>
            <w:r w:rsidRPr="006273BD">
              <w:rPr>
                <w:rFonts w:eastAsia="Calibri"/>
                <w:b/>
                <w:sz w:val="18"/>
                <w:szCs w:val="18"/>
              </w:rPr>
              <w:t>Regional</w:t>
            </w:r>
            <w:r w:rsidR="001D4932" w:rsidRPr="006273BD">
              <w:rPr>
                <w:rFonts w:eastAsia="Calibri"/>
                <w:b/>
                <w:sz w:val="18"/>
                <w:szCs w:val="18"/>
              </w:rPr>
              <w:t xml:space="preserve"> </w:t>
            </w:r>
          </w:p>
        </w:tc>
        <w:tc>
          <w:tcPr>
            <w:tcW w:w="2160" w:type="dxa"/>
            <w:shd w:val="clear" w:color="auto" w:fill="F2F2F2" w:themeFill="background1" w:themeFillShade="F2"/>
          </w:tcPr>
          <w:p w14:paraId="22CAD273" w14:textId="6E669634" w:rsidR="00273F30" w:rsidRPr="006273BD" w:rsidRDefault="00273F30" w:rsidP="00E16180">
            <w:pPr>
              <w:spacing w:before="120" w:after="120"/>
              <w:jc w:val="left"/>
              <w:rPr>
                <w:rFonts w:eastAsia="Calibri"/>
                <w:b/>
                <w:sz w:val="18"/>
                <w:szCs w:val="18"/>
              </w:rPr>
            </w:pPr>
            <w:r w:rsidRPr="006273BD">
              <w:rPr>
                <w:rFonts w:eastAsia="Calibri"/>
                <w:b/>
                <w:sz w:val="18"/>
                <w:szCs w:val="18"/>
              </w:rPr>
              <w:t>Continental</w:t>
            </w:r>
            <w:r w:rsidR="001D4932" w:rsidRPr="006273BD">
              <w:rPr>
                <w:rFonts w:eastAsia="Calibri"/>
                <w:b/>
                <w:sz w:val="18"/>
                <w:szCs w:val="18"/>
              </w:rPr>
              <w:t xml:space="preserve"> </w:t>
            </w:r>
          </w:p>
        </w:tc>
      </w:tr>
      <w:tr w:rsidR="00273F30" w:rsidRPr="00316837" w14:paraId="03BBC947" w14:textId="77777777" w:rsidTr="00E16180">
        <w:trPr>
          <w:trHeight w:val="1343"/>
        </w:trPr>
        <w:tc>
          <w:tcPr>
            <w:tcW w:w="2785" w:type="dxa"/>
          </w:tcPr>
          <w:p w14:paraId="23CD37DF" w14:textId="1688BD1B" w:rsidR="00273F30" w:rsidRPr="00316837" w:rsidRDefault="00273F30" w:rsidP="00273F30">
            <w:pPr>
              <w:spacing w:before="120" w:after="120"/>
              <w:jc w:val="left"/>
              <w:rPr>
                <w:rFonts w:eastAsia="Calibri"/>
                <w:bCs/>
                <w:sz w:val="18"/>
                <w:szCs w:val="18"/>
              </w:rPr>
            </w:pPr>
            <w:r w:rsidRPr="00316837">
              <w:rPr>
                <w:rFonts w:eastAsia="Calibri"/>
                <w:bCs/>
                <w:sz w:val="18"/>
                <w:szCs w:val="18"/>
              </w:rPr>
              <w:t>Rural electrification standards and option</w:t>
            </w:r>
            <w:r w:rsidR="00A16D26" w:rsidRPr="00316837">
              <w:rPr>
                <w:rFonts w:eastAsia="Calibri"/>
                <w:bCs/>
                <w:sz w:val="18"/>
                <w:szCs w:val="18"/>
              </w:rPr>
              <w:t>s for interconnection</w:t>
            </w:r>
            <w:r w:rsidRPr="00316837">
              <w:rPr>
                <w:rFonts w:eastAsia="Calibri"/>
                <w:bCs/>
                <w:sz w:val="18"/>
                <w:szCs w:val="18"/>
              </w:rPr>
              <w:t xml:space="preserve"> when the main grid encompasses the mini-grid</w:t>
            </w:r>
            <w:r w:rsidR="001D4932" w:rsidRPr="00316837">
              <w:rPr>
                <w:rFonts w:eastAsia="Calibri"/>
                <w:bCs/>
                <w:sz w:val="18"/>
                <w:szCs w:val="18"/>
              </w:rPr>
              <w:t xml:space="preserve"> </w:t>
            </w:r>
          </w:p>
        </w:tc>
        <w:tc>
          <w:tcPr>
            <w:tcW w:w="2520" w:type="dxa"/>
          </w:tcPr>
          <w:p w14:paraId="3750CBBB" w14:textId="77777777"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The national regulatory authorities to update and adopt a regulatory framework outlining in detail: </w:t>
            </w:r>
          </w:p>
          <w:p w14:paraId="31A49AA7" w14:textId="77777777"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1 - the options a mini-grid operator has when the main grid encompasses the mini-grid, and </w:t>
            </w:r>
          </w:p>
          <w:p w14:paraId="12E5336A" w14:textId="3E7C0B16" w:rsidR="00273F30" w:rsidRPr="00316837" w:rsidRDefault="00273F30" w:rsidP="00273F30">
            <w:pPr>
              <w:spacing w:before="120" w:after="120"/>
              <w:jc w:val="left"/>
              <w:rPr>
                <w:rFonts w:eastAsia="Calibri"/>
                <w:bCs/>
                <w:sz w:val="18"/>
                <w:szCs w:val="18"/>
              </w:rPr>
            </w:pPr>
            <w:r w:rsidRPr="00316837">
              <w:rPr>
                <w:rFonts w:eastAsia="Calibri"/>
                <w:bCs/>
                <w:sz w:val="18"/>
                <w:szCs w:val="18"/>
              </w:rPr>
              <w:t>2 - the tariff setting methodology and tool for calculation in the cases that the mini-grid developer opts to continue operation under a scheme reflecting a micro-DSO</w:t>
            </w:r>
            <w:r w:rsidR="001D4932" w:rsidRPr="00316837">
              <w:rPr>
                <w:rFonts w:eastAsia="Calibri"/>
                <w:bCs/>
                <w:sz w:val="18"/>
                <w:szCs w:val="18"/>
              </w:rPr>
              <w:t xml:space="preserve"> </w:t>
            </w:r>
          </w:p>
        </w:tc>
        <w:tc>
          <w:tcPr>
            <w:tcW w:w="2430" w:type="dxa"/>
          </w:tcPr>
          <w:p w14:paraId="6F659F70" w14:textId="77777777" w:rsidR="00273F30" w:rsidRPr="00316837" w:rsidRDefault="00273F30" w:rsidP="00273F30">
            <w:pPr>
              <w:spacing w:before="120" w:after="120"/>
              <w:jc w:val="left"/>
              <w:rPr>
                <w:rFonts w:eastAsia="Calibri"/>
                <w:bCs/>
                <w:sz w:val="18"/>
                <w:szCs w:val="18"/>
              </w:rPr>
            </w:pPr>
            <w:r w:rsidRPr="00316837">
              <w:rPr>
                <w:rFonts w:eastAsia="Calibri"/>
                <w:bCs/>
                <w:sz w:val="18"/>
                <w:szCs w:val="18"/>
              </w:rPr>
              <w:t xml:space="preserve">Regional CREEEs to develop: </w:t>
            </w:r>
          </w:p>
          <w:p w14:paraId="28A28DFD" w14:textId="77777777" w:rsidR="00273F30" w:rsidRPr="00316837" w:rsidRDefault="00273F30" w:rsidP="00273F30">
            <w:pPr>
              <w:spacing w:before="120"/>
              <w:jc w:val="left"/>
              <w:rPr>
                <w:rFonts w:eastAsia="Calibri"/>
                <w:bCs/>
                <w:sz w:val="18"/>
                <w:szCs w:val="18"/>
              </w:rPr>
            </w:pPr>
            <w:r w:rsidRPr="00316837">
              <w:rPr>
                <w:rFonts w:eastAsia="Calibri"/>
                <w:bCs/>
                <w:sz w:val="18"/>
                <w:szCs w:val="18"/>
              </w:rPr>
              <w:t xml:space="preserve">1 - targeted guidelines for what happens when the main grid encompasses the mini-grid, and </w:t>
            </w:r>
          </w:p>
          <w:p w14:paraId="7DF23555" w14:textId="58AEA1A5" w:rsidR="00273F30" w:rsidRPr="00316837" w:rsidRDefault="00273F30" w:rsidP="00273F30">
            <w:pPr>
              <w:spacing w:before="120" w:after="120"/>
              <w:jc w:val="left"/>
              <w:rPr>
                <w:rFonts w:eastAsia="Calibri"/>
                <w:bCs/>
                <w:sz w:val="18"/>
                <w:szCs w:val="18"/>
              </w:rPr>
            </w:pPr>
            <w:r w:rsidRPr="00316837">
              <w:rPr>
                <w:rFonts w:eastAsia="Calibri"/>
                <w:bCs/>
                <w:sz w:val="18"/>
                <w:szCs w:val="18"/>
              </w:rPr>
              <w:t>2 - tariff setting guidelines in the cases when the mini-grid developer opts to continue operation under a scheme reflecting a micro-DSO</w:t>
            </w:r>
            <w:r w:rsidR="001D4932" w:rsidRPr="00316837">
              <w:rPr>
                <w:rFonts w:eastAsia="Calibri"/>
                <w:bCs/>
                <w:sz w:val="18"/>
                <w:szCs w:val="18"/>
              </w:rPr>
              <w:t xml:space="preserve"> </w:t>
            </w:r>
          </w:p>
        </w:tc>
        <w:tc>
          <w:tcPr>
            <w:tcW w:w="2160" w:type="dxa"/>
          </w:tcPr>
          <w:p w14:paraId="4FF4F730" w14:textId="709D2C05" w:rsidR="00273F30" w:rsidRPr="00316837" w:rsidRDefault="00273F30" w:rsidP="00273F30">
            <w:pPr>
              <w:spacing w:before="120" w:after="120"/>
              <w:jc w:val="left"/>
              <w:rPr>
                <w:rFonts w:eastAsia="Calibri"/>
                <w:bCs/>
                <w:sz w:val="18"/>
                <w:szCs w:val="18"/>
              </w:rPr>
            </w:pPr>
            <w:r w:rsidRPr="00316837">
              <w:rPr>
                <w:rFonts w:eastAsia="Calibri"/>
                <w:bCs/>
                <w:sz w:val="18"/>
                <w:szCs w:val="18"/>
              </w:rPr>
              <w:t>AFSEC to expand the Guide for Application of Standards for Rural Electrification in Africa to fully address the standardisation aspect of interconnecting mini-grids with the main grid</w:t>
            </w:r>
            <w:r w:rsidR="001D4932" w:rsidRPr="00316837">
              <w:rPr>
                <w:rFonts w:eastAsia="Calibri"/>
                <w:bCs/>
                <w:sz w:val="18"/>
                <w:szCs w:val="18"/>
              </w:rPr>
              <w:t xml:space="preserve"> </w:t>
            </w:r>
          </w:p>
        </w:tc>
      </w:tr>
    </w:tbl>
    <w:p w14:paraId="3F415E0B" w14:textId="77777777" w:rsidR="003B66A9" w:rsidRDefault="003B66A9" w:rsidP="006D5907">
      <w:pPr>
        <w:rPr>
          <w:rFonts w:eastAsia="Calibri"/>
        </w:rPr>
      </w:pPr>
    </w:p>
    <w:p w14:paraId="68A61932" w14:textId="198C87C5" w:rsidR="003B66A9" w:rsidRDefault="003B66A9" w:rsidP="006D5907">
      <w:pPr>
        <w:rPr>
          <w:rFonts w:eastAsia="Calibri"/>
        </w:rPr>
        <w:sectPr w:rsidR="003B66A9" w:rsidSect="00A3058D">
          <w:pgSz w:w="11907" w:h="16839" w:code="9"/>
          <w:pgMar w:top="510" w:right="1134" w:bottom="964" w:left="1134" w:header="720" w:footer="567" w:gutter="0"/>
          <w:cols w:space="720"/>
          <w:formProt w:val="0"/>
          <w:docGrid w:linePitch="286"/>
        </w:sectPr>
      </w:pPr>
    </w:p>
    <w:p w14:paraId="7577EEAC" w14:textId="20413E8F" w:rsidR="00273F30" w:rsidRDefault="0069087F" w:rsidP="006273BD">
      <w:pPr>
        <w:pStyle w:val="Heading1"/>
        <w:rPr>
          <w:rFonts w:eastAsia="Calibri"/>
        </w:rPr>
      </w:pPr>
      <w:bookmarkStart w:id="227" w:name="_Toc77260334"/>
      <w:r>
        <w:rPr>
          <w:rFonts w:eastAsia="Calibri"/>
        </w:rPr>
        <w:lastRenderedPageBreak/>
        <w:t>ANNEXES</w:t>
      </w:r>
      <w:bookmarkEnd w:id="227"/>
    </w:p>
    <w:p w14:paraId="0209AE3F" w14:textId="7A1479E2" w:rsidR="0069087F" w:rsidRDefault="00507C15" w:rsidP="006273BD">
      <w:pPr>
        <w:ind w:left="851" w:hanging="851"/>
        <w:rPr>
          <w:rFonts w:eastAsia="Calibri"/>
        </w:rPr>
      </w:pPr>
      <w:r w:rsidRPr="00507C15">
        <w:rPr>
          <w:rFonts w:eastAsia="Calibri"/>
        </w:rPr>
        <w:t>8.1</w:t>
      </w:r>
      <w:r w:rsidRPr="00507C15">
        <w:rPr>
          <w:rFonts w:eastAsia="Calibri"/>
        </w:rPr>
        <w:tab/>
        <w:t>DUTIES OF THE COORDINATION CENTRE AND SUB-COMMITTEES OF SAPP (OF IMPORTANCE FOR TECHNICAL AND OPERATIONAL READINESS)</w:t>
      </w:r>
      <w:r>
        <w:rPr>
          <w:rFonts w:eastAsia="Calibri"/>
        </w:rPr>
        <w:t xml:space="preserve"> </w:t>
      </w:r>
    </w:p>
    <w:p w14:paraId="04DE36D9" w14:textId="5CEE05EA" w:rsidR="00507C15" w:rsidRDefault="0017252A" w:rsidP="006273BD">
      <w:pPr>
        <w:ind w:left="851" w:hanging="851"/>
        <w:rPr>
          <w:rFonts w:eastAsia="Calibri"/>
        </w:rPr>
      </w:pPr>
      <w:r w:rsidRPr="0017252A">
        <w:rPr>
          <w:rFonts w:eastAsia="Calibri"/>
        </w:rPr>
        <w:t>8.2</w:t>
      </w:r>
      <w:r w:rsidRPr="0017252A">
        <w:rPr>
          <w:rFonts w:eastAsia="Calibri"/>
        </w:rPr>
        <w:tab/>
        <w:t>LEGAL AND REGULATORY BASIS FOR ELECTRICITY TRADING IN SOUTHERN AFRICA UNDER SAPP</w:t>
      </w:r>
    </w:p>
    <w:p w14:paraId="2FC29BCA" w14:textId="4764667E" w:rsidR="00507C15" w:rsidRDefault="0017252A" w:rsidP="006273BD">
      <w:pPr>
        <w:ind w:left="851" w:hanging="851"/>
        <w:rPr>
          <w:rFonts w:eastAsia="Calibri"/>
        </w:rPr>
      </w:pPr>
      <w:r>
        <w:rPr>
          <w:rFonts w:eastAsia="Calibri"/>
        </w:rPr>
        <w:t xml:space="preserve">8.3 </w:t>
      </w:r>
      <w:r>
        <w:rPr>
          <w:rFonts w:eastAsia="Calibri"/>
        </w:rPr>
        <w:tab/>
      </w:r>
      <w:r w:rsidRPr="0017252A">
        <w:rPr>
          <w:rFonts w:eastAsia="Calibri"/>
        </w:rPr>
        <w:t>LEGAL AND REGULATORY BASIS FOR ELECTRICITY TRADING IN WESTERN AFRICA UNDER WAPP</w:t>
      </w:r>
    </w:p>
    <w:p w14:paraId="1B352540" w14:textId="00935A1F" w:rsidR="00507C15" w:rsidRDefault="00343CFD" w:rsidP="006273BD">
      <w:pPr>
        <w:ind w:left="851" w:hanging="851"/>
        <w:rPr>
          <w:rFonts w:eastAsia="Calibri"/>
        </w:rPr>
      </w:pPr>
      <w:r w:rsidRPr="00343CFD">
        <w:rPr>
          <w:rFonts w:eastAsia="Calibri"/>
        </w:rPr>
        <w:t>8.4</w:t>
      </w:r>
      <w:r w:rsidRPr="00343CFD">
        <w:rPr>
          <w:rFonts w:eastAsia="Calibri"/>
        </w:rPr>
        <w:tab/>
        <w:t>LEGAL AND REGULATORY BASIS FOR ELECTRICITY TRADING IN EASTERN AFRICA UNDER EAPP</w:t>
      </w:r>
    </w:p>
    <w:p w14:paraId="07F75A2A" w14:textId="17140F3A" w:rsidR="0017252A" w:rsidRDefault="00343CFD" w:rsidP="006273BD">
      <w:pPr>
        <w:ind w:left="851" w:hanging="851"/>
        <w:rPr>
          <w:rFonts w:eastAsia="Calibri"/>
        </w:rPr>
      </w:pPr>
      <w:r w:rsidRPr="00343CFD">
        <w:rPr>
          <w:rFonts w:eastAsia="Calibri"/>
        </w:rPr>
        <w:t>8.5</w:t>
      </w:r>
      <w:r w:rsidRPr="00343CFD">
        <w:rPr>
          <w:rFonts w:eastAsia="Calibri"/>
        </w:rPr>
        <w:tab/>
        <w:t>LEGAL AND REGULATORY BASIS FOR ELECTRICITY TRADING IN CENTRAL AFRICA UNDER CAPP</w:t>
      </w:r>
    </w:p>
    <w:p w14:paraId="4A33CDE5" w14:textId="52677B12" w:rsidR="0017252A" w:rsidRDefault="00343CFD" w:rsidP="006273BD">
      <w:pPr>
        <w:ind w:left="851" w:hanging="851"/>
        <w:rPr>
          <w:rFonts w:eastAsia="Calibri"/>
        </w:rPr>
      </w:pPr>
      <w:r w:rsidRPr="00343CFD">
        <w:rPr>
          <w:rFonts w:eastAsia="Calibri"/>
        </w:rPr>
        <w:t>8.6</w:t>
      </w:r>
      <w:r w:rsidRPr="00343CFD">
        <w:rPr>
          <w:rFonts w:eastAsia="Calibri"/>
        </w:rPr>
        <w:tab/>
        <w:t>MAIN ACTIVITIES AND SUB-ACTIVITIES IN THE ACTION PLAN FOR THE CENTRAL AFRICA REGIONAL ENERGY POLICY STRATEGY UNDER CAPP</w:t>
      </w:r>
    </w:p>
    <w:p w14:paraId="5B2EFAA8" w14:textId="77777777" w:rsidR="00507C15" w:rsidRDefault="00507C15" w:rsidP="006D5907">
      <w:pPr>
        <w:rPr>
          <w:rFonts w:eastAsia="Calibri"/>
        </w:rPr>
      </w:pPr>
    </w:p>
    <w:p w14:paraId="7E711B55" w14:textId="77777777" w:rsidR="00507C15" w:rsidRDefault="00507C15" w:rsidP="006D5907">
      <w:pPr>
        <w:rPr>
          <w:rFonts w:eastAsia="Calibri"/>
        </w:rPr>
        <w:sectPr w:rsidR="00507C15" w:rsidSect="00A3058D">
          <w:pgSz w:w="11907" w:h="16839" w:code="9"/>
          <w:pgMar w:top="510" w:right="1134" w:bottom="964" w:left="1134" w:header="720" w:footer="567" w:gutter="0"/>
          <w:cols w:space="720"/>
          <w:formProt w:val="0"/>
          <w:docGrid w:linePitch="286"/>
        </w:sectPr>
      </w:pPr>
    </w:p>
    <w:p w14:paraId="34D01DA3" w14:textId="51EA7426" w:rsidR="0069087F" w:rsidRDefault="00507C15" w:rsidP="006273BD">
      <w:pPr>
        <w:pStyle w:val="Heading2"/>
        <w:rPr>
          <w:rFonts w:eastAsia="Calibri"/>
        </w:rPr>
      </w:pPr>
      <w:bookmarkStart w:id="228" w:name="_Ref77253334"/>
      <w:bookmarkStart w:id="229" w:name="_Hlk77253162"/>
      <w:bookmarkStart w:id="230" w:name="_Toc77260335"/>
      <w:r w:rsidRPr="00507C15">
        <w:rPr>
          <w:rFonts w:eastAsia="Calibri"/>
        </w:rPr>
        <w:lastRenderedPageBreak/>
        <w:t>Duties of the Coordination Centre and Sub-Committees of SAPP (of importance for technical and operational readiness)</w:t>
      </w:r>
      <w:bookmarkEnd w:id="228"/>
      <w:bookmarkEnd w:id="230"/>
      <w:r>
        <w:rPr>
          <w:rFonts w:eastAsia="Calibri"/>
        </w:rPr>
        <w:t xml:space="preserve"> </w:t>
      </w:r>
    </w:p>
    <w:tbl>
      <w:tblPr>
        <w:tblStyle w:val="TableGrid"/>
        <w:tblW w:w="5000" w:type="pct"/>
        <w:tblLook w:val="04A0" w:firstRow="1" w:lastRow="0" w:firstColumn="1" w:lastColumn="0" w:noHBand="0" w:noVBand="1"/>
      </w:tblPr>
      <w:tblGrid>
        <w:gridCol w:w="3838"/>
        <w:gridCol w:w="3839"/>
        <w:gridCol w:w="3839"/>
        <w:gridCol w:w="3839"/>
      </w:tblGrid>
      <w:tr w:rsidR="00507C15" w:rsidRPr="00A40D3F" w14:paraId="0FF37A52" w14:textId="77777777" w:rsidTr="00A40D3F">
        <w:tc>
          <w:tcPr>
            <w:tcW w:w="1250" w:type="pct"/>
            <w:shd w:val="clear" w:color="auto" w:fill="F2F2F2" w:themeFill="background1" w:themeFillShade="F2"/>
          </w:tcPr>
          <w:bookmarkEnd w:id="229"/>
          <w:p w14:paraId="307C8BBD" w14:textId="77777777" w:rsidR="00507C15" w:rsidRPr="00A40D3F" w:rsidRDefault="00507C15" w:rsidP="00A40D3F">
            <w:pPr>
              <w:spacing w:before="120" w:after="120"/>
              <w:jc w:val="left"/>
              <w:rPr>
                <w:b/>
                <w:bCs/>
                <w:sz w:val="18"/>
                <w:szCs w:val="18"/>
              </w:rPr>
            </w:pPr>
            <w:r w:rsidRPr="00A40D3F">
              <w:rPr>
                <w:b/>
                <w:bCs/>
                <w:sz w:val="18"/>
                <w:szCs w:val="18"/>
              </w:rPr>
              <w:t>Coordination Centre</w:t>
            </w:r>
          </w:p>
        </w:tc>
        <w:tc>
          <w:tcPr>
            <w:tcW w:w="1250" w:type="pct"/>
            <w:shd w:val="clear" w:color="auto" w:fill="F2F2F2" w:themeFill="background1" w:themeFillShade="F2"/>
          </w:tcPr>
          <w:p w14:paraId="35099BB1" w14:textId="77777777" w:rsidR="00507C15" w:rsidRPr="00A40D3F" w:rsidRDefault="00507C15" w:rsidP="00A40D3F">
            <w:pPr>
              <w:spacing w:before="120" w:after="120"/>
              <w:jc w:val="left"/>
              <w:rPr>
                <w:b/>
                <w:bCs/>
                <w:sz w:val="18"/>
                <w:szCs w:val="18"/>
              </w:rPr>
            </w:pPr>
            <w:r w:rsidRPr="00A40D3F">
              <w:rPr>
                <w:b/>
                <w:bCs/>
                <w:sz w:val="18"/>
                <w:szCs w:val="18"/>
              </w:rPr>
              <w:t>Operating Sub-Committee</w:t>
            </w:r>
          </w:p>
        </w:tc>
        <w:tc>
          <w:tcPr>
            <w:tcW w:w="1250" w:type="pct"/>
            <w:shd w:val="clear" w:color="auto" w:fill="F2F2F2" w:themeFill="background1" w:themeFillShade="F2"/>
          </w:tcPr>
          <w:p w14:paraId="4CA69A76" w14:textId="77777777" w:rsidR="00507C15" w:rsidRPr="00A40D3F" w:rsidRDefault="00507C15" w:rsidP="00A40D3F">
            <w:pPr>
              <w:spacing w:before="120" w:after="120"/>
              <w:jc w:val="left"/>
              <w:rPr>
                <w:b/>
                <w:bCs/>
                <w:sz w:val="18"/>
                <w:szCs w:val="18"/>
              </w:rPr>
            </w:pPr>
            <w:r w:rsidRPr="00A40D3F">
              <w:rPr>
                <w:b/>
                <w:bCs/>
                <w:sz w:val="18"/>
                <w:szCs w:val="18"/>
              </w:rPr>
              <w:t xml:space="preserve">Planning Sub-Committee </w:t>
            </w:r>
          </w:p>
        </w:tc>
        <w:tc>
          <w:tcPr>
            <w:tcW w:w="1250" w:type="pct"/>
            <w:shd w:val="clear" w:color="auto" w:fill="F2F2F2" w:themeFill="background1" w:themeFillShade="F2"/>
          </w:tcPr>
          <w:p w14:paraId="2E806D72" w14:textId="77777777" w:rsidR="00507C15" w:rsidRPr="00A40D3F" w:rsidRDefault="00507C15" w:rsidP="00A40D3F">
            <w:pPr>
              <w:spacing w:before="120" w:after="120"/>
              <w:jc w:val="left"/>
              <w:rPr>
                <w:b/>
                <w:bCs/>
                <w:sz w:val="18"/>
                <w:szCs w:val="18"/>
              </w:rPr>
            </w:pPr>
            <w:r w:rsidRPr="00A40D3F">
              <w:rPr>
                <w:b/>
                <w:bCs/>
                <w:sz w:val="18"/>
                <w:szCs w:val="18"/>
              </w:rPr>
              <w:t>Markets Sub-Committee</w:t>
            </w:r>
          </w:p>
        </w:tc>
      </w:tr>
      <w:tr w:rsidR="00507C15" w:rsidRPr="00316837" w14:paraId="779010B7" w14:textId="77777777" w:rsidTr="00A40D3F">
        <w:tc>
          <w:tcPr>
            <w:tcW w:w="1250" w:type="pct"/>
          </w:tcPr>
          <w:p w14:paraId="0AA84F58" w14:textId="77777777" w:rsidR="00507C15" w:rsidRPr="00316837" w:rsidRDefault="00507C15" w:rsidP="00A40D3F">
            <w:pPr>
              <w:spacing w:before="120" w:after="120"/>
              <w:jc w:val="left"/>
              <w:rPr>
                <w:sz w:val="18"/>
                <w:szCs w:val="18"/>
              </w:rPr>
            </w:pPr>
            <w:r w:rsidRPr="00316837">
              <w:rPr>
                <w:sz w:val="18"/>
                <w:szCs w:val="18"/>
              </w:rPr>
              <w:t xml:space="preserve">Monitor the operation of the Power Pool </w:t>
            </w:r>
          </w:p>
          <w:p w14:paraId="75F8953E" w14:textId="77777777" w:rsidR="00507C15" w:rsidRPr="00316837" w:rsidRDefault="00507C15" w:rsidP="00A40D3F">
            <w:pPr>
              <w:spacing w:before="120" w:after="120"/>
              <w:jc w:val="left"/>
              <w:rPr>
                <w:sz w:val="18"/>
                <w:szCs w:val="18"/>
              </w:rPr>
            </w:pPr>
            <w:r w:rsidRPr="00316837">
              <w:rPr>
                <w:sz w:val="18"/>
                <w:szCs w:val="18"/>
              </w:rPr>
              <w:t xml:space="preserve">Monitor transactions between operating members and between members and non-members </w:t>
            </w:r>
          </w:p>
          <w:p w14:paraId="5C826727" w14:textId="77777777" w:rsidR="00507C15" w:rsidRPr="00316837" w:rsidRDefault="00507C15" w:rsidP="00A40D3F">
            <w:pPr>
              <w:spacing w:before="120" w:after="120"/>
              <w:jc w:val="left"/>
              <w:rPr>
                <w:sz w:val="18"/>
                <w:szCs w:val="18"/>
              </w:rPr>
            </w:pPr>
            <w:r w:rsidRPr="00316837">
              <w:rPr>
                <w:sz w:val="18"/>
                <w:szCs w:val="18"/>
              </w:rPr>
              <w:t xml:space="preserve">Monitor the inadvertent power flows and the returns in kind between members </w:t>
            </w:r>
          </w:p>
          <w:p w14:paraId="11BC3849" w14:textId="77777777" w:rsidR="00507C15" w:rsidRPr="00316837" w:rsidRDefault="00507C15" w:rsidP="00A40D3F">
            <w:pPr>
              <w:spacing w:before="120" w:after="120"/>
              <w:jc w:val="left"/>
              <w:rPr>
                <w:sz w:val="18"/>
                <w:szCs w:val="18"/>
              </w:rPr>
            </w:pPr>
            <w:r w:rsidRPr="00316837">
              <w:rPr>
                <w:sz w:val="18"/>
                <w:szCs w:val="18"/>
              </w:rPr>
              <w:t xml:space="preserve">Provide routine daily reports, data and information relevant to the operation of the Power Pool to the Operating Sub-Committee and to the members </w:t>
            </w:r>
          </w:p>
          <w:p w14:paraId="7CC7F852" w14:textId="77777777" w:rsidR="00507C15" w:rsidRPr="00316837" w:rsidRDefault="00507C15" w:rsidP="00A40D3F">
            <w:pPr>
              <w:spacing w:before="120" w:after="120"/>
              <w:jc w:val="left"/>
              <w:rPr>
                <w:sz w:val="18"/>
                <w:szCs w:val="18"/>
              </w:rPr>
            </w:pPr>
            <w:r w:rsidRPr="00316837">
              <w:rPr>
                <w:sz w:val="18"/>
                <w:szCs w:val="18"/>
              </w:rPr>
              <w:t xml:space="preserve">Monitor and advise on the use of the Operating Guidelines </w:t>
            </w:r>
          </w:p>
          <w:p w14:paraId="1E8E5DA6" w14:textId="77777777" w:rsidR="00507C15" w:rsidRPr="00316837" w:rsidRDefault="00507C15" w:rsidP="00A40D3F">
            <w:pPr>
              <w:spacing w:before="120" w:after="120"/>
              <w:jc w:val="left"/>
              <w:rPr>
                <w:sz w:val="18"/>
                <w:szCs w:val="18"/>
              </w:rPr>
            </w:pPr>
            <w:r w:rsidRPr="00316837">
              <w:rPr>
                <w:sz w:val="18"/>
                <w:szCs w:val="18"/>
              </w:rPr>
              <w:t xml:space="preserve">Monitor and report on the control performance criteria, as specified in the Operating Guidelines, to all the operating members </w:t>
            </w:r>
          </w:p>
          <w:p w14:paraId="56AB6685" w14:textId="77777777" w:rsidR="00507C15" w:rsidRPr="00316837" w:rsidRDefault="00507C15" w:rsidP="00A40D3F">
            <w:pPr>
              <w:spacing w:before="120" w:after="120"/>
              <w:jc w:val="left"/>
              <w:rPr>
                <w:sz w:val="18"/>
                <w:szCs w:val="18"/>
              </w:rPr>
            </w:pPr>
            <w:r w:rsidRPr="00316837">
              <w:rPr>
                <w:sz w:val="18"/>
                <w:szCs w:val="18"/>
              </w:rPr>
              <w:t xml:space="preserve">Convene, following a disturbance affecting the parallel operation of the Power Pool, a post disturbance committee </w:t>
            </w:r>
          </w:p>
          <w:p w14:paraId="0888E585" w14:textId="77777777" w:rsidR="00507C15" w:rsidRPr="00316837" w:rsidRDefault="00507C15" w:rsidP="00A40D3F">
            <w:pPr>
              <w:spacing w:before="120" w:after="120"/>
              <w:jc w:val="left"/>
              <w:rPr>
                <w:sz w:val="18"/>
                <w:szCs w:val="18"/>
              </w:rPr>
            </w:pPr>
            <w:r w:rsidRPr="00316837">
              <w:rPr>
                <w:sz w:val="18"/>
                <w:szCs w:val="18"/>
              </w:rPr>
              <w:t xml:space="preserve">Provide information and give technical advice or support to members, in matters pertaining to parallel operation </w:t>
            </w:r>
          </w:p>
          <w:p w14:paraId="06D9D3B2" w14:textId="77777777" w:rsidR="00507C15" w:rsidRPr="00316837" w:rsidRDefault="00507C15" w:rsidP="00A40D3F">
            <w:pPr>
              <w:spacing w:before="120" w:after="120"/>
              <w:jc w:val="left"/>
              <w:rPr>
                <w:sz w:val="18"/>
                <w:szCs w:val="18"/>
              </w:rPr>
            </w:pPr>
            <w:r w:rsidRPr="00316837">
              <w:rPr>
                <w:sz w:val="18"/>
                <w:szCs w:val="18"/>
              </w:rPr>
              <w:t xml:space="preserve">Evaluate the impact of future projects on the operation of the Power Pool and advise the Operating Sub-Committee accordingly </w:t>
            </w:r>
          </w:p>
          <w:p w14:paraId="6D9B05DD" w14:textId="77777777" w:rsidR="00507C15" w:rsidRPr="00316837" w:rsidRDefault="00507C15" w:rsidP="00A40D3F">
            <w:pPr>
              <w:spacing w:before="120" w:after="120"/>
              <w:jc w:val="left"/>
              <w:rPr>
                <w:sz w:val="18"/>
                <w:szCs w:val="18"/>
              </w:rPr>
            </w:pPr>
            <w:r w:rsidRPr="00316837">
              <w:rPr>
                <w:sz w:val="18"/>
                <w:szCs w:val="18"/>
              </w:rPr>
              <w:t xml:space="preserve">Perform various operational planning studies to highlight possible operating problems </w:t>
            </w:r>
          </w:p>
          <w:p w14:paraId="6F3CE3F2" w14:textId="77777777" w:rsidR="00507C15" w:rsidRPr="00316837" w:rsidRDefault="00507C15" w:rsidP="00A40D3F">
            <w:pPr>
              <w:spacing w:before="120" w:after="120"/>
              <w:jc w:val="left"/>
              <w:rPr>
                <w:sz w:val="18"/>
                <w:szCs w:val="18"/>
              </w:rPr>
            </w:pPr>
            <w:r w:rsidRPr="00316837">
              <w:rPr>
                <w:sz w:val="18"/>
                <w:szCs w:val="18"/>
              </w:rPr>
              <w:lastRenderedPageBreak/>
              <w:t xml:space="preserve">Give advice on the short- and long-term operating problems </w:t>
            </w:r>
          </w:p>
          <w:p w14:paraId="0E01B414" w14:textId="77777777" w:rsidR="00507C15" w:rsidRPr="00316837" w:rsidRDefault="00507C15" w:rsidP="00A40D3F">
            <w:pPr>
              <w:spacing w:before="120" w:after="120"/>
              <w:jc w:val="left"/>
              <w:rPr>
                <w:sz w:val="18"/>
                <w:szCs w:val="18"/>
              </w:rPr>
            </w:pPr>
            <w:r w:rsidRPr="00316837">
              <w:rPr>
                <w:sz w:val="18"/>
                <w:szCs w:val="18"/>
              </w:rPr>
              <w:t xml:space="preserve">Perform studies to determine transfer limits on timelines and inform operating members accordingly - monitor adherence of operating members to these limits </w:t>
            </w:r>
          </w:p>
          <w:p w14:paraId="72660BCD" w14:textId="77777777" w:rsidR="00507C15" w:rsidRPr="00316837" w:rsidRDefault="00507C15" w:rsidP="00A40D3F">
            <w:pPr>
              <w:spacing w:before="120" w:after="120"/>
              <w:jc w:val="left"/>
              <w:rPr>
                <w:sz w:val="18"/>
                <w:szCs w:val="18"/>
              </w:rPr>
            </w:pPr>
            <w:r w:rsidRPr="00316837">
              <w:rPr>
                <w:sz w:val="18"/>
                <w:szCs w:val="18"/>
              </w:rPr>
              <w:t xml:space="preserve">Establish and update a database containing historical and other data to be used in planning and system operation studies </w:t>
            </w:r>
          </w:p>
          <w:p w14:paraId="4FDF9B94" w14:textId="77777777" w:rsidR="00507C15" w:rsidRPr="00316837" w:rsidRDefault="00507C15" w:rsidP="00A40D3F">
            <w:pPr>
              <w:spacing w:before="120" w:after="120"/>
              <w:jc w:val="left"/>
              <w:rPr>
                <w:sz w:val="18"/>
                <w:szCs w:val="18"/>
              </w:rPr>
            </w:pPr>
            <w:r w:rsidRPr="00316837">
              <w:rPr>
                <w:sz w:val="18"/>
                <w:szCs w:val="18"/>
              </w:rPr>
              <w:t xml:space="preserve">Monitor the availability of the communication links between the Control Centres of the operating members and between these Control Centres and the Coordination Centre </w:t>
            </w:r>
          </w:p>
          <w:p w14:paraId="50604A04" w14:textId="77777777" w:rsidR="00507C15" w:rsidRPr="00316837" w:rsidRDefault="00507C15" w:rsidP="00A40D3F">
            <w:pPr>
              <w:spacing w:before="120" w:after="120"/>
              <w:jc w:val="left"/>
              <w:rPr>
                <w:sz w:val="18"/>
                <w:szCs w:val="18"/>
              </w:rPr>
            </w:pPr>
            <w:r w:rsidRPr="00316837">
              <w:rPr>
                <w:sz w:val="18"/>
                <w:szCs w:val="18"/>
              </w:rPr>
              <w:t xml:space="preserve">Advise of the feasibility of wheeling transactions </w:t>
            </w:r>
          </w:p>
          <w:p w14:paraId="19045FB6" w14:textId="77777777" w:rsidR="00507C15" w:rsidRPr="00316837" w:rsidRDefault="00507C15" w:rsidP="00A40D3F">
            <w:pPr>
              <w:spacing w:before="120" w:after="120"/>
              <w:jc w:val="left"/>
              <w:rPr>
                <w:sz w:val="18"/>
                <w:szCs w:val="18"/>
              </w:rPr>
            </w:pPr>
            <w:r w:rsidRPr="00316837">
              <w:rPr>
                <w:sz w:val="18"/>
                <w:szCs w:val="18"/>
              </w:rPr>
              <w:t xml:space="preserve">Gather and act as the official custodian of data pertaining to transactions between operating members and between operating members and non-members </w:t>
            </w:r>
          </w:p>
          <w:p w14:paraId="57D87DF1" w14:textId="77777777" w:rsidR="00507C15" w:rsidRPr="00316837" w:rsidRDefault="00507C15" w:rsidP="00A40D3F">
            <w:pPr>
              <w:spacing w:before="120" w:after="120"/>
              <w:jc w:val="left"/>
              <w:rPr>
                <w:sz w:val="18"/>
                <w:szCs w:val="18"/>
              </w:rPr>
            </w:pPr>
            <w:r w:rsidRPr="00316837">
              <w:rPr>
                <w:sz w:val="18"/>
                <w:szCs w:val="18"/>
              </w:rPr>
              <w:t xml:space="preserve">Monitor the calculation and implementation of the various types of reserves </w:t>
            </w:r>
          </w:p>
          <w:p w14:paraId="27646291" w14:textId="77777777" w:rsidR="00507C15" w:rsidRPr="00316837" w:rsidRDefault="00507C15" w:rsidP="00A40D3F">
            <w:pPr>
              <w:spacing w:before="120" w:after="120"/>
              <w:jc w:val="left"/>
              <w:rPr>
                <w:sz w:val="18"/>
                <w:szCs w:val="18"/>
              </w:rPr>
            </w:pPr>
            <w:r w:rsidRPr="00316837">
              <w:rPr>
                <w:sz w:val="18"/>
                <w:szCs w:val="18"/>
              </w:rPr>
              <w:t xml:space="preserve">Carry out projects and assignments as directed by the Operating Sub-Committee </w:t>
            </w:r>
          </w:p>
          <w:p w14:paraId="51260A40" w14:textId="77777777" w:rsidR="00507C15" w:rsidRPr="00316837" w:rsidRDefault="00507C15" w:rsidP="00A40D3F">
            <w:pPr>
              <w:spacing w:before="120" w:after="120"/>
              <w:jc w:val="left"/>
              <w:rPr>
                <w:sz w:val="18"/>
                <w:szCs w:val="18"/>
              </w:rPr>
            </w:pPr>
            <w:r w:rsidRPr="00316837">
              <w:rPr>
                <w:sz w:val="18"/>
                <w:szCs w:val="18"/>
              </w:rPr>
              <w:t xml:space="preserve">Monitor the protection performance on all tie-line and the coordination of their protection </w:t>
            </w:r>
          </w:p>
          <w:p w14:paraId="3B640E38" w14:textId="77777777" w:rsidR="00507C15" w:rsidRPr="00316837" w:rsidRDefault="00507C15" w:rsidP="00A40D3F">
            <w:pPr>
              <w:spacing w:before="120" w:after="120"/>
              <w:jc w:val="left"/>
              <w:rPr>
                <w:sz w:val="18"/>
                <w:szCs w:val="18"/>
              </w:rPr>
            </w:pPr>
            <w:r w:rsidRPr="00316837">
              <w:rPr>
                <w:sz w:val="18"/>
                <w:szCs w:val="18"/>
              </w:rPr>
              <w:t xml:space="preserve">Monitor adherence to the Agreement by the operating members, </w:t>
            </w:r>
            <w:r w:rsidRPr="00316837">
              <w:rPr>
                <w:i/>
                <w:iCs/>
                <w:sz w:val="18"/>
                <w:szCs w:val="18"/>
              </w:rPr>
              <w:t>inter alia</w:t>
            </w:r>
            <w:r w:rsidRPr="00316837">
              <w:rPr>
                <w:sz w:val="18"/>
                <w:szCs w:val="18"/>
              </w:rPr>
              <w:t xml:space="preserve"> regarding accredited capacity obligation and calculate the penalties for insufficient accredited capacity and their re-allocation among members </w:t>
            </w:r>
          </w:p>
          <w:p w14:paraId="08825370" w14:textId="77777777" w:rsidR="00507C15" w:rsidRPr="00316837" w:rsidRDefault="00507C15" w:rsidP="00A40D3F">
            <w:pPr>
              <w:spacing w:before="120" w:after="120"/>
              <w:jc w:val="left"/>
              <w:rPr>
                <w:sz w:val="18"/>
                <w:szCs w:val="18"/>
              </w:rPr>
            </w:pPr>
            <w:r w:rsidRPr="00316837">
              <w:rPr>
                <w:sz w:val="18"/>
                <w:szCs w:val="18"/>
              </w:rPr>
              <w:t xml:space="preserve">Disseminate the generation and transmission maintenance schedules received from the </w:t>
            </w:r>
            <w:r w:rsidRPr="00316837">
              <w:rPr>
                <w:sz w:val="18"/>
                <w:szCs w:val="18"/>
              </w:rPr>
              <w:lastRenderedPageBreak/>
              <w:t xml:space="preserve">operating members and advise on the adjustments that are required to maintain at all times the contractual pool reserves and the agreed upon services </w:t>
            </w:r>
          </w:p>
          <w:p w14:paraId="0AC7A20B" w14:textId="77777777" w:rsidR="00507C15" w:rsidRPr="00316837" w:rsidRDefault="00507C15" w:rsidP="00A40D3F">
            <w:pPr>
              <w:spacing w:before="120" w:after="120"/>
              <w:jc w:val="left"/>
              <w:rPr>
                <w:sz w:val="18"/>
                <w:szCs w:val="18"/>
              </w:rPr>
            </w:pPr>
            <w:r w:rsidRPr="00316837">
              <w:rPr>
                <w:sz w:val="18"/>
                <w:szCs w:val="18"/>
              </w:rPr>
              <w:t xml:space="preserve">Coordinate the training of the members staff and if necessary, organise training seminars focusing on the operation of the interconnected system </w:t>
            </w:r>
          </w:p>
          <w:p w14:paraId="27A035DF" w14:textId="77777777" w:rsidR="00507C15" w:rsidRPr="00316837" w:rsidRDefault="00507C15" w:rsidP="00A40D3F">
            <w:pPr>
              <w:spacing w:before="120" w:after="120"/>
              <w:jc w:val="left"/>
              <w:rPr>
                <w:sz w:val="18"/>
                <w:szCs w:val="18"/>
              </w:rPr>
            </w:pPr>
            <w:r w:rsidRPr="00316837">
              <w:rPr>
                <w:sz w:val="18"/>
                <w:szCs w:val="18"/>
              </w:rPr>
              <w:t xml:space="preserve">Prepare and issue annually control performance summaries report for the benefit of the Operating Sub-Committee </w:t>
            </w:r>
          </w:p>
          <w:p w14:paraId="483F767E" w14:textId="77777777" w:rsidR="00507C15" w:rsidRPr="00316837" w:rsidRDefault="00507C15" w:rsidP="00A40D3F">
            <w:pPr>
              <w:spacing w:before="120" w:after="120"/>
              <w:jc w:val="left"/>
              <w:rPr>
                <w:sz w:val="18"/>
                <w:szCs w:val="18"/>
              </w:rPr>
            </w:pPr>
            <w:r w:rsidRPr="00316837">
              <w:rPr>
                <w:sz w:val="18"/>
                <w:szCs w:val="18"/>
              </w:rPr>
              <w:t xml:space="preserve">Facilitate trading in the Day-Ahead Market </w:t>
            </w:r>
          </w:p>
        </w:tc>
        <w:tc>
          <w:tcPr>
            <w:tcW w:w="1250" w:type="pct"/>
          </w:tcPr>
          <w:p w14:paraId="45B18861" w14:textId="77777777" w:rsidR="00507C15" w:rsidRPr="00316837" w:rsidRDefault="00507C15" w:rsidP="00A40D3F">
            <w:pPr>
              <w:spacing w:before="120" w:after="120"/>
              <w:jc w:val="left"/>
              <w:rPr>
                <w:sz w:val="18"/>
                <w:szCs w:val="18"/>
              </w:rPr>
            </w:pPr>
            <w:r w:rsidRPr="00316837">
              <w:rPr>
                <w:sz w:val="18"/>
                <w:szCs w:val="18"/>
              </w:rPr>
              <w:lastRenderedPageBreak/>
              <w:t xml:space="preserve">Establish and update the methods and standards to be used for testing generating units in order to determine their sent out capacity </w:t>
            </w:r>
          </w:p>
          <w:p w14:paraId="46C9CB74" w14:textId="77777777" w:rsidR="00507C15" w:rsidRPr="00316837" w:rsidRDefault="00507C15" w:rsidP="00A40D3F">
            <w:pPr>
              <w:spacing w:before="120" w:after="120"/>
              <w:jc w:val="left"/>
              <w:rPr>
                <w:sz w:val="18"/>
                <w:szCs w:val="18"/>
              </w:rPr>
            </w:pPr>
            <w:r w:rsidRPr="00316837">
              <w:rPr>
                <w:sz w:val="18"/>
                <w:szCs w:val="18"/>
              </w:rPr>
              <w:t xml:space="preserve">Conducting system operational studies </w:t>
            </w:r>
          </w:p>
          <w:p w14:paraId="468EEF4A" w14:textId="77777777" w:rsidR="00507C15" w:rsidRPr="00316837" w:rsidRDefault="00507C15" w:rsidP="00A40D3F">
            <w:pPr>
              <w:spacing w:before="120" w:after="120"/>
              <w:jc w:val="left"/>
              <w:rPr>
                <w:sz w:val="18"/>
                <w:szCs w:val="18"/>
              </w:rPr>
            </w:pPr>
            <w:r w:rsidRPr="00316837">
              <w:rPr>
                <w:sz w:val="18"/>
                <w:szCs w:val="18"/>
              </w:rPr>
              <w:t xml:space="preserve">Establish and update the methods and standards used to measure the technical performance (e.g. planned and forced outage rates, mean time to failure, etc.) of generating units and transmission facilities </w:t>
            </w:r>
          </w:p>
          <w:p w14:paraId="747ED507" w14:textId="77777777" w:rsidR="00507C15" w:rsidRPr="00316837" w:rsidRDefault="00507C15" w:rsidP="00A40D3F">
            <w:pPr>
              <w:spacing w:before="120" w:after="120"/>
              <w:jc w:val="left"/>
              <w:rPr>
                <w:sz w:val="18"/>
                <w:szCs w:val="18"/>
              </w:rPr>
            </w:pPr>
            <w:r w:rsidRPr="00316837">
              <w:rPr>
                <w:sz w:val="18"/>
                <w:szCs w:val="18"/>
              </w:rPr>
              <w:t xml:space="preserve">Establish and update the formula for determining the operating reserve obligations of the operating members and ensuring that these obligations are met </w:t>
            </w:r>
          </w:p>
          <w:p w14:paraId="40BF6401" w14:textId="77777777" w:rsidR="00507C15" w:rsidRPr="00316837" w:rsidRDefault="00507C15" w:rsidP="00A40D3F">
            <w:pPr>
              <w:spacing w:before="120" w:after="120"/>
              <w:jc w:val="left"/>
              <w:rPr>
                <w:sz w:val="18"/>
                <w:szCs w:val="18"/>
              </w:rPr>
            </w:pPr>
            <w:r w:rsidRPr="00316837">
              <w:rPr>
                <w:sz w:val="18"/>
                <w:szCs w:val="18"/>
              </w:rPr>
              <w:t xml:space="preserve">Monitor each member’s compliance to the declared system peak and accredited capacity obligations </w:t>
            </w:r>
          </w:p>
          <w:p w14:paraId="096C5AF3" w14:textId="77777777" w:rsidR="00507C15" w:rsidRPr="00316837" w:rsidRDefault="00507C15" w:rsidP="00A40D3F">
            <w:pPr>
              <w:spacing w:before="120" w:after="120"/>
              <w:jc w:val="left"/>
              <w:rPr>
                <w:sz w:val="18"/>
                <w:szCs w:val="18"/>
              </w:rPr>
            </w:pPr>
            <w:r w:rsidRPr="00316837">
              <w:rPr>
                <w:sz w:val="18"/>
                <w:szCs w:val="18"/>
              </w:rPr>
              <w:t xml:space="preserve">Update approved operating procedures for the SAPP interconnected power system </w:t>
            </w:r>
          </w:p>
          <w:p w14:paraId="1CE9D4ED" w14:textId="77777777" w:rsidR="00507C15" w:rsidRPr="00316837" w:rsidRDefault="00507C15" w:rsidP="00A40D3F">
            <w:pPr>
              <w:spacing w:before="120" w:after="120"/>
              <w:jc w:val="left"/>
              <w:rPr>
                <w:sz w:val="18"/>
                <w:szCs w:val="18"/>
              </w:rPr>
            </w:pPr>
            <w:r w:rsidRPr="00316837">
              <w:rPr>
                <w:sz w:val="18"/>
                <w:szCs w:val="18"/>
              </w:rPr>
              <w:t xml:space="preserve">Monitor system performance against set criteria </w:t>
            </w:r>
          </w:p>
          <w:p w14:paraId="519A47DC" w14:textId="77777777" w:rsidR="00507C15" w:rsidRPr="00316837" w:rsidRDefault="00507C15" w:rsidP="00A40D3F">
            <w:pPr>
              <w:spacing w:before="120" w:after="120"/>
              <w:jc w:val="left"/>
              <w:rPr>
                <w:sz w:val="18"/>
                <w:szCs w:val="18"/>
              </w:rPr>
            </w:pPr>
            <w:r w:rsidRPr="00316837">
              <w:rPr>
                <w:sz w:val="18"/>
                <w:szCs w:val="18"/>
              </w:rPr>
              <w:t xml:space="preserve">Ensure that generation and transmission maintenance schedules of operating members are coordinated </w:t>
            </w:r>
          </w:p>
          <w:p w14:paraId="26C3B2DE" w14:textId="77777777" w:rsidR="00507C15" w:rsidRPr="00316837" w:rsidRDefault="00507C15" w:rsidP="00A40D3F">
            <w:pPr>
              <w:spacing w:before="120" w:after="120"/>
              <w:jc w:val="left"/>
              <w:rPr>
                <w:sz w:val="18"/>
                <w:szCs w:val="18"/>
              </w:rPr>
            </w:pPr>
            <w:r w:rsidRPr="00316837">
              <w:rPr>
                <w:sz w:val="18"/>
                <w:szCs w:val="18"/>
              </w:rPr>
              <w:t xml:space="preserve">Ensure that each operating member is equipped with or contracts the necessary control gear and ancillary facilities for reliable </w:t>
            </w:r>
            <w:r w:rsidRPr="00316837">
              <w:rPr>
                <w:sz w:val="18"/>
                <w:szCs w:val="18"/>
              </w:rPr>
              <w:lastRenderedPageBreak/>
              <w:t xml:space="preserve">operation of the SAPP interconnected system </w:t>
            </w:r>
          </w:p>
          <w:p w14:paraId="3CB1B05C" w14:textId="77777777" w:rsidR="00507C15" w:rsidRPr="00316837" w:rsidRDefault="00507C15" w:rsidP="00A40D3F">
            <w:pPr>
              <w:spacing w:before="120" w:after="120"/>
              <w:jc w:val="left"/>
              <w:rPr>
                <w:sz w:val="18"/>
                <w:szCs w:val="18"/>
              </w:rPr>
            </w:pPr>
            <w:r w:rsidRPr="00316837">
              <w:rPr>
                <w:sz w:val="18"/>
                <w:szCs w:val="18"/>
              </w:rPr>
              <w:t xml:space="preserve">Recommend procurement of appropriate software and other tools, which will enhance the value of the Power Pool operations </w:t>
            </w:r>
          </w:p>
          <w:p w14:paraId="07C79EBB" w14:textId="77777777" w:rsidR="00507C15" w:rsidRPr="00316837" w:rsidRDefault="00507C15" w:rsidP="00A40D3F">
            <w:pPr>
              <w:spacing w:before="120" w:after="120"/>
              <w:jc w:val="left"/>
              <w:rPr>
                <w:sz w:val="18"/>
                <w:szCs w:val="18"/>
              </w:rPr>
            </w:pPr>
            <w:r w:rsidRPr="00316837">
              <w:rPr>
                <w:sz w:val="18"/>
                <w:szCs w:val="18"/>
              </w:rPr>
              <w:t xml:space="preserve">Determine applicable penalties for non-compliance to approved procedures and enforcing such penalties and upon failure to enforce refer the matter to the Management Committee </w:t>
            </w:r>
          </w:p>
        </w:tc>
        <w:tc>
          <w:tcPr>
            <w:tcW w:w="1250" w:type="pct"/>
          </w:tcPr>
          <w:p w14:paraId="10210F3A" w14:textId="77777777" w:rsidR="00507C15" w:rsidRPr="00316837" w:rsidRDefault="00507C15" w:rsidP="00A40D3F">
            <w:pPr>
              <w:spacing w:before="120" w:after="120"/>
              <w:jc w:val="left"/>
              <w:rPr>
                <w:rFonts w:cs="Arial"/>
                <w:sz w:val="18"/>
                <w:szCs w:val="18"/>
              </w:rPr>
            </w:pPr>
            <w:r w:rsidRPr="00316837">
              <w:rPr>
                <w:rFonts w:cs="Arial"/>
                <w:sz w:val="18"/>
                <w:szCs w:val="18"/>
              </w:rPr>
              <w:lastRenderedPageBreak/>
              <w:t xml:space="preserve">Establish and update common planning and reliability standards, which have an impact on SAPP </w:t>
            </w:r>
          </w:p>
          <w:p w14:paraId="5F51ECC0"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Based on individual member's plans, review, every 2 years, an overall integrated generation and transmission plan to highlight the benefits and opportunities for cost savings that can be derived by the members from the coordination of activities. The integrated generation and transmission plan shall: </w:t>
            </w:r>
          </w:p>
          <w:p w14:paraId="64F462EE"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Take into account the forecasted demand and energy consumption in each member's system, including DSM </w:t>
            </w:r>
          </w:p>
          <w:p w14:paraId="0E8434DB"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Indicate the anticipated sales and purchases by each member </w:t>
            </w:r>
          </w:p>
          <w:p w14:paraId="00EC7AB9"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Contain the characteristics, location and commissioning dates of new generating units and new transmission facilities, which are planned in each member's system, when such facilities have a significant impact on the interconnected system </w:t>
            </w:r>
          </w:p>
          <w:p w14:paraId="0B2CB16D"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Contain the characteristics, location and commissioning dates of new telecommunication, tele-control and supervisory facilities, which are planned in each member's system, when such </w:t>
            </w:r>
            <w:r w:rsidRPr="00316837">
              <w:rPr>
                <w:rFonts w:ascii="Arial" w:hAnsi="Arial" w:cs="Arial"/>
                <w:sz w:val="18"/>
                <w:szCs w:val="18"/>
                <w:lang w:val="en-GB"/>
              </w:rPr>
              <w:lastRenderedPageBreak/>
              <w:t xml:space="preserve">facilities have a significant impact on the operation of the interconnected system </w:t>
            </w:r>
          </w:p>
          <w:p w14:paraId="4C9F4823"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Identify and record new generation, transmission, telecommunication or tele-control facilities to be installed in the systems of members and endeavour to identify and record new generation, transmission, telecommunication or tele-control facilities to be installed in the systems of non-members </w:t>
            </w:r>
          </w:p>
          <w:p w14:paraId="159F4C22"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Be purely indicative and shall not create an obligation upon the members to comply </w:t>
            </w:r>
          </w:p>
          <w:p w14:paraId="1B38753E"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Evaluate software and other tools which will enhance the value of planning activities such as load forecasting, determination of planning or reliability standards, cost-benefit analysis or system studies, and submit proposals to the Management Committee </w:t>
            </w:r>
          </w:p>
          <w:p w14:paraId="5FF68A89"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Submit proposals to the Management Committee regarding new service schedules, revision as necessary of existing ones </w:t>
            </w:r>
          </w:p>
          <w:p w14:paraId="102DA0C2"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Specify the reliability standards that shall be used to determine the accredited capacity obligation of each operating member </w:t>
            </w:r>
          </w:p>
          <w:p w14:paraId="417CF709"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Specify compliance criteria, which will enable each operating member to comply with its accredited capacity obligation </w:t>
            </w:r>
          </w:p>
          <w:p w14:paraId="721DF5D3"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Assess the benefits attributable to each operating member resulting from the installation of protection relays, control equipment or any system study </w:t>
            </w:r>
          </w:p>
          <w:p w14:paraId="026C8C87"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Improve facility required for the satisfactory operation of the interconnected system - </w:t>
            </w:r>
            <w:r w:rsidRPr="00316837">
              <w:rPr>
                <w:rFonts w:cs="Arial"/>
                <w:sz w:val="18"/>
                <w:szCs w:val="18"/>
              </w:rPr>
              <w:lastRenderedPageBreak/>
              <w:t xml:space="preserve">recommend to the Management Committee regarding the financial contribution of each operating member to the costs of such improvements </w:t>
            </w:r>
          </w:p>
          <w:p w14:paraId="1957C7AD"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Determine the transfer capability limits between systems on an annual basis or as and when required to enable the Operating Sub-Committee to prepare detailed operating procedures </w:t>
            </w:r>
          </w:p>
          <w:p w14:paraId="5793E6E7"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Identify specific reliability problems and recommend the generation or transmission additions or changes required to eliminate them </w:t>
            </w:r>
          </w:p>
          <w:p w14:paraId="600E1F75"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Assess the capacities of transmission plant in the system of operating members for the purposes of calculating wheeling rates and review these on an annual basis </w:t>
            </w:r>
          </w:p>
        </w:tc>
        <w:tc>
          <w:tcPr>
            <w:tcW w:w="1250" w:type="pct"/>
          </w:tcPr>
          <w:p w14:paraId="18D9A8CB" w14:textId="77777777" w:rsidR="00507C15" w:rsidRPr="00316837" w:rsidRDefault="00507C15" w:rsidP="00A40D3F">
            <w:pPr>
              <w:spacing w:before="120" w:after="120"/>
              <w:jc w:val="left"/>
              <w:rPr>
                <w:rFonts w:cs="Arial"/>
                <w:sz w:val="18"/>
                <w:szCs w:val="18"/>
              </w:rPr>
            </w:pPr>
            <w:r w:rsidRPr="00316837">
              <w:rPr>
                <w:rFonts w:cs="Arial"/>
                <w:sz w:val="18"/>
                <w:szCs w:val="18"/>
              </w:rPr>
              <w:lastRenderedPageBreak/>
              <w:t xml:space="preserve">Develop continuously an appropriate electricity market for the SADC Region </w:t>
            </w:r>
          </w:p>
          <w:p w14:paraId="712D2CB0"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Design and recommend a suitable market structure for SAPP </w:t>
            </w:r>
          </w:p>
          <w:p w14:paraId="6D185DF0"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Determine criteria to authorise members to trade in electricity </w:t>
            </w:r>
          </w:p>
          <w:p w14:paraId="5AD89FB8"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Assume responsibility to admit and authorise members to trade, risk management, research and benchmarking </w:t>
            </w:r>
          </w:p>
          <w:p w14:paraId="43744676"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Present all findings and recommendations to the Management Committee and carry out any other functions and activities as assigned or approved by the Management Committee </w:t>
            </w:r>
          </w:p>
          <w:p w14:paraId="5EBFF6EE"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Assume responsibility for all market operations in SAPP </w:t>
            </w:r>
          </w:p>
          <w:p w14:paraId="0570EF0B" w14:textId="77777777" w:rsidR="00507C15" w:rsidRPr="00316837" w:rsidRDefault="00507C15" w:rsidP="00A40D3F">
            <w:pPr>
              <w:pBdr>
                <w:bottom w:val="single" w:sz="6" w:space="1" w:color="auto"/>
              </w:pBdr>
              <w:spacing w:before="120" w:after="120"/>
              <w:jc w:val="left"/>
              <w:rPr>
                <w:rFonts w:cs="Arial"/>
                <w:sz w:val="18"/>
                <w:szCs w:val="18"/>
              </w:rPr>
            </w:pPr>
          </w:p>
          <w:p w14:paraId="588F1FA8" w14:textId="77777777" w:rsidR="00507C15" w:rsidRPr="00316837" w:rsidRDefault="00507C15" w:rsidP="00A40D3F">
            <w:pPr>
              <w:spacing w:before="120" w:after="120"/>
              <w:jc w:val="left"/>
              <w:rPr>
                <w:rFonts w:cs="Arial"/>
                <w:sz w:val="18"/>
                <w:szCs w:val="18"/>
              </w:rPr>
            </w:pPr>
          </w:p>
          <w:p w14:paraId="05BE65BF" w14:textId="77777777" w:rsidR="00507C15" w:rsidRPr="00316837" w:rsidRDefault="00507C15" w:rsidP="00A40D3F">
            <w:pPr>
              <w:spacing w:before="120" w:after="120"/>
              <w:jc w:val="left"/>
              <w:rPr>
                <w:rFonts w:cs="Arial"/>
                <w:sz w:val="18"/>
                <w:szCs w:val="18"/>
              </w:rPr>
            </w:pPr>
            <w:r w:rsidRPr="00316837">
              <w:rPr>
                <w:rFonts w:cs="Arial"/>
                <w:sz w:val="18"/>
                <w:szCs w:val="18"/>
              </w:rPr>
              <w:t xml:space="preserve">Market Surveillance and Monitoring Team: </w:t>
            </w:r>
          </w:p>
          <w:p w14:paraId="74521192" w14:textId="77777777" w:rsidR="00507C15" w:rsidRPr="00316837" w:rsidRDefault="00507C15" w:rsidP="00A40D3F">
            <w:pPr>
              <w:pStyle w:val="ListParagraph"/>
              <w:numPr>
                <w:ilvl w:val="0"/>
                <w:numId w:val="46"/>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conduct investigations of possible breaches on laws and regulations governing the SAPP market operations, </w:t>
            </w:r>
          </w:p>
          <w:p w14:paraId="0B790F4B" w14:textId="77777777" w:rsidR="00507C15" w:rsidRPr="00316837" w:rsidRDefault="00507C15" w:rsidP="00A40D3F">
            <w:pPr>
              <w:pStyle w:val="ListParagraph"/>
              <w:numPr>
                <w:ilvl w:val="0"/>
                <w:numId w:val="46"/>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ensure that all participants within the market benefit from the same level of protection, regardless of type of participant, country, and size, </w:t>
            </w:r>
          </w:p>
          <w:p w14:paraId="3E4C7076" w14:textId="77777777" w:rsidR="00507C15" w:rsidRPr="00316837" w:rsidRDefault="00507C15" w:rsidP="00A40D3F">
            <w:pPr>
              <w:pStyle w:val="ListParagraph"/>
              <w:numPr>
                <w:ilvl w:val="0"/>
                <w:numId w:val="46"/>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continuously monitor the SAPP trades and price development, and ensure that </w:t>
            </w:r>
            <w:r w:rsidRPr="00316837">
              <w:rPr>
                <w:rFonts w:ascii="Arial" w:hAnsi="Arial" w:cs="Arial"/>
                <w:sz w:val="18"/>
                <w:szCs w:val="18"/>
                <w:lang w:val="en-GB"/>
              </w:rPr>
              <w:lastRenderedPageBreak/>
              <w:t xml:space="preserve">the members adhere to the rules as set in the SAPP Market Book of Rules and the Participation Agreement, </w:t>
            </w:r>
          </w:p>
          <w:p w14:paraId="15832BE5" w14:textId="77777777" w:rsidR="00507C15" w:rsidRPr="00316837" w:rsidRDefault="00507C15" w:rsidP="00A40D3F">
            <w:pPr>
              <w:pStyle w:val="ListParagraph"/>
              <w:numPr>
                <w:ilvl w:val="0"/>
                <w:numId w:val="46"/>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keep track, check, and report anomalies on bidding behaviour by participants in the SAPP trading market based on available information, </w:t>
            </w:r>
          </w:p>
          <w:p w14:paraId="6437BF8A" w14:textId="77777777" w:rsidR="00507C15" w:rsidRPr="00316837" w:rsidRDefault="00507C15" w:rsidP="00A40D3F">
            <w:pPr>
              <w:pStyle w:val="ListParagraph"/>
              <w:numPr>
                <w:ilvl w:val="0"/>
                <w:numId w:val="46"/>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collect information and monitor that the participants keep the markets trading rules for submission of information e.g. bilateral schedules, transmission capacities, etc., </w:t>
            </w:r>
          </w:p>
          <w:p w14:paraId="49BBF8AF" w14:textId="77777777" w:rsidR="00507C15" w:rsidRPr="00316837" w:rsidRDefault="00507C15" w:rsidP="00A40D3F">
            <w:pPr>
              <w:pStyle w:val="ListParagraph"/>
              <w:numPr>
                <w:ilvl w:val="0"/>
                <w:numId w:val="46"/>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monitor and ensure that participants do not get and misuse inside information that is not publicly available or publicly known in the market but can influence the prices in the market, </w:t>
            </w:r>
          </w:p>
          <w:p w14:paraId="4B402C76" w14:textId="77777777" w:rsidR="00507C15" w:rsidRPr="00316837" w:rsidRDefault="00507C15" w:rsidP="00A40D3F">
            <w:pPr>
              <w:pStyle w:val="ListParagraph"/>
              <w:numPr>
                <w:ilvl w:val="0"/>
                <w:numId w:val="46"/>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monitor that participants do not disclose information to persons not concerned before submission of such information to the market, </w:t>
            </w:r>
          </w:p>
          <w:p w14:paraId="77F6915E" w14:textId="77777777" w:rsidR="00507C15" w:rsidRPr="00316837" w:rsidRDefault="00507C15" w:rsidP="00A40D3F">
            <w:pPr>
              <w:pStyle w:val="ListParagraph"/>
              <w:numPr>
                <w:ilvl w:val="0"/>
                <w:numId w:val="46"/>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monitor that participants do not on purpose contribute to move prices beyond real market value, </w:t>
            </w:r>
          </w:p>
          <w:p w14:paraId="4933AF92" w14:textId="77777777" w:rsidR="00507C15" w:rsidRPr="00316837" w:rsidRDefault="00507C15" w:rsidP="00A40D3F">
            <w:pPr>
              <w:pStyle w:val="ListParagraph"/>
              <w:numPr>
                <w:ilvl w:val="0"/>
                <w:numId w:val="46"/>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ensure good market behaviour by monitoring and controlling of the key market components, </w:t>
            </w:r>
          </w:p>
          <w:p w14:paraId="5EE34795" w14:textId="77777777" w:rsidR="00507C15" w:rsidRPr="00316837" w:rsidRDefault="00507C15" w:rsidP="00A40D3F">
            <w:pPr>
              <w:pStyle w:val="ListParagraph"/>
              <w:numPr>
                <w:ilvl w:val="0"/>
                <w:numId w:val="46"/>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issue regular reports on market performance to the Management Committee, the Regional Electricity Regulatory Association, and the Markets Sub-Committee, and </w:t>
            </w:r>
          </w:p>
          <w:p w14:paraId="503E0D46" w14:textId="77777777" w:rsidR="00507C15" w:rsidRPr="00316837" w:rsidRDefault="00507C15" w:rsidP="00A40D3F">
            <w:pPr>
              <w:pStyle w:val="ListParagraph"/>
              <w:numPr>
                <w:ilvl w:val="0"/>
                <w:numId w:val="46"/>
              </w:numPr>
              <w:spacing w:before="120" w:line="288" w:lineRule="auto"/>
              <w:jc w:val="left"/>
              <w:rPr>
                <w:rFonts w:ascii="Arial" w:hAnsi="Arial" w:cs="Arial"/>
                <w:sz w:val="18"/>
                <w:szCs w:val="18"/>
                <w:lang w:val="en-GB"/>
              </w:rPr>
            </w:pPr>
            <w:r w:rsidRPr="00316837">
              <w:rPr>
                <w:rFonts w:ascii="Arial" w:hAnsi="Arial" w:cs="Arial"/>
                <w:sz w:val="18"/>
                <w:szCs w:val="18"/>
                <w:lang w:val="en-GB"/>
              </w:rPr>
              <w:lastRenderedPageBreak/>
              <w:t xml:space="preserve">any other task as assigned by SAPP from time to time. </w:t>
            </w:r>
          </w:p>
        </w:tc>
      </w:tr>
    </w:tbl>
    <w:p w14:paraId="6CDE37F6" w14:textId="77777777" w:rsidR="00507C15" w:rsidRPr="00316837" w:rsidRDefault="00507C15" w:rsidP="00507C15"/>
    <w:p w14:paraId="2415BF65" w14:textId="77777777" w:rsidR="00507C15" w:rsidRPr="00316837" w:rsidRDefault="00507C15" w:rsidP="00507C15">
      <w:pPr>
        <w:sectPr w:rsidR="00507C15" w:rsidRPr="00316837" w:rsidSect="00A3058D">
          <w:pgSz w:w="16839" w:h="11907" w:orient="landscape" w:code="9"/>
          <w:pgMar w:top="1134" w:right="964" w:bottom="1134" w:left="510" w:header="720" w:footer="567" w:gutter="0"/>
          <w:cols w:space="720"/>
          <w:formProt w:val="0"/>
          <w:docGrid w:linePitch="286"/>
        </w:sectPr>
      </w:pPr>
    </w:p>
    <w:p w14:paraId="0C989043" w14:textId="537A20B8" w:rsidR="00507C15" w:rsidRPr="00316837" w:rsidRDefault="00507C15" w:rsidP="006273BD">
      <w:pPr>
        <w:pStyle w:val="Heading2"/>
      </w:pPr>
      <w:bookmarkStart w:id="231" w:name="_Ref77253872"/>
      <w:bookmarkStart w:id="232" w:name="_Hlk77256025"/>
      <w:bookmarkStart w:id="233" w:name="_Toc77260336"/>
      <w:r w:rsidRPr="00C632F6">
        <w:lastRenderedPageBreak/>
        <w:t xml:space="preserve">Legal and regulatory basis for </w:t>
      </w:r>
      <w:r w:rsidRPr="00316837">
        <w:t>electricity trading in Southern Africa under SAPP</w:t>
      </w:r>
      <w:bookmarkEnd w:id="231"/>
      <w:bookmarkEnd w:id="233"/>
      <w:r w:rsidRPr="00316837">
        <w:t xml:space="preserve"> </w:t>
      </w:r>
    </w:p>
    <w:tbl>
      <w:tblPr>
        <w:tblStyle w:val="TableGrid"/>
        <w:tblW w:w="5000" w:type="pct"/>
        <w:tblLook w:val="04A0" w:firstRow="1" w:lastRow="0" w:firstColumn="1" w:lastColumn="0" w:noHBand="0" w:noVBand="1"/>
      </w:tblPr>
      <w:tblGrid>
        <w:gridCol w:w="595"/>
        <w:gridCol w:w="1668"/>
        <w:gridCol w:w="7366"/>
      </w:tblGrid>
      <w:tr w:rsidR="00507C15" w:rsidRPr="00A40D3F" w14:paraId="1B8821CA" w14:textId="77777777" w:rsidTr="00A40D3F">
        <w:tc>
          <w:tcPr>
            <w:tcW w:w="309" w:type="pct"/>
            <w:shd w:val="clear" w:color="auto" w:fill="F2F2F2" w:themeFill="background1" w:themeFillShade="F2"/>
          </w:tcPr>
          <w:bookmarkEnd w:id="232"/>
          <w:p w14:paraId="53E30B44"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No.</w:t>
            </w:r>
          </w:p>
        </w:tc>
        <w:tc>
          <w:tcPr>
            <w:tcW w:w="866" w:type="pct"/>
            <w:shd w:val="clear" w:color="auto" w:fill="F2F2F2" w:themeFill="background1" w:themeFillShade="F2"/>
          </w:tcPr>
          <w:p w14:paraId="483420FF"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Document</w:t>
            </w:r>
          </w:p>
        </w:tc>
        <w:tc>
          <w:tcPr>
            <w:tcW w:w="3825" w:type="pct"/>
            <w:shd w:val="clear" w:color="auto" w:fill="F2F2F2" w:themeFill="background1" w:themeFillShade="F2"/>
          </w:tcPr>
          <w:p w14:paraId="12E2A2B1"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 xml:space="preserve">Description </w:t>
            </w:r>
          </w:p>
        </w:tc>
      </w:tr>
      <w:tr w:rsidR="00507C15" w:rsidRPr="00316837" w14:paraId="2EBA0390" w14:textId="77777777" w:rsidTr="00A40D3F">
        <w:tc>
          <w:tcPr>
            <w:tcW w:w="309" w:type="pct"/>
          </w:tcPr>
          <w:p w14:paraId="508512C8"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1</w:t>
            </w:r>
          </w:p>
        </w:tc>
        <w:tc>
          <w:tcPr>
            <w:tcW w:w="866" w:type="pct"/>
          </w:tcPr>
          <w:p w14:paraId="1C2E58AD"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Inter-Governmental Memorandum of Understanding between the SADC Member States, 1995 and revised 2006 </w:t>
            </w:r>
          </w:p>
        </w:tc>
        <w:tc>
          <w:tcPr>
            <w:tcW w:w="3825" w:type="pct"/>
          </w:tcPr>
          <w:p w14:paraId="390CAC68"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Enables the establishment of a Power Pool in the SADC Region, i.e. establishes a framework under which the SADC Member States pronounced their intention to enhance regional power cooperation and trade through the development of SAPP. </w:t>
            </w:r>
          </w:p>
          <w:p w14:paraId="363ED72A"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signatories acknowledge that their national electricity utilities and other Electricity Supply Enterprises may participate as members of SAPP, subject to their own domestic laws and the terms and conditions stipulated by SAPP. </w:t>
            </w:r>
          </w:p>
          <w:p w14:paraId="23D147BE"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If a dispute cannot be settled amicably under this Memorandum, such dispute has to be referred to the SADC Tribunal for adjudication under Article 16 of the SADC Treaty. </w:t>
            </w:r>
          </w:p>
        </w:tc>
      </w:tr>
      <w:tr w:rsidR="00507C15" w:rsidRPr="00316837" w14:paraId="3F8C35E3" w14:textId="77777777" w:rsidTr="00A40D3F">
        <w:tc>
          <w:tcPr>
            <w:tcW w:w="309" w:type="pct"/>
          </w:tcPr>
          <w:p w14:paraId="3127865A"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2</w:t>
            </w:r>
          </w:p>
        </w:tc>
        <w:tc>
          <w:tcPr>
            <w:tcW w:w="866" w:type="pct"/>
          </w:tcPr>
          <w:p w14:paraId="5459F8C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Inter-Utility Memorandum of Understanding between the electricity utilities of the SADC Member States, 1995 and revised 2007 </w:t>
            </w:r>
          </w:p>
        </w:tc>
        <w:tc>
          <w:tcPr>
            <w:tcW w:w="3825" w:type="pct"/>
          </w:tcPr>
          <w:p w14:paraId="1AA981C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Introduces cooperation and coordination in the development of systems while maintaining reliability, autonomy and self-sufficiency to the degree desired as well as the development of an energy market. </w:t>
            </w:r>
          </w:p>
          <w:p w14:paraId="73E3509A"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Reiterates that non-SADC countries can become SAPP member states, subject to the outlined requirements, as well as approval of SADC. </w:t>
            </w:r>
          </w:p>
          <w:p w14:paraId="72982A7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Does not restrict any SAPP member from having interconnections or agreements with non-Members, provided that: </w:t>
            </w:r>
          </w:p>
          <w:p w14:paraId="52A10CB0"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the member(s) intending to have interconnections or agreements with non-Members shall notify SAPP of such intentions, </w:t>
            </w:r>
          </w:p>
          <w:p w14:paraId="07709B7A"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such interconnections or agreement(s) shall not create obligations upon a member that is not party to such agreement(s), and </w:t>
            </w:r>
          </w:p>
          <w:p w14:paraId="06093B24"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such interconnections or agreement(s) shall not impair a member from fulfilling its obligations as a SAPP member. </w:t>
            </w:r>
          </w:p>
          <w:p w14:paraId="2B2E80D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Establishes basic management and operating principles of a Power Pool. </w:t>
            </w:r>
          </w:p>
          <w:p w14:paraId="32106FE6"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Establishes the Coordination Centre, which is regulated by the SAPP Coordination Centre Constitution. </w:t>
            </w:r>
          </w:p>
          <w:p w14:paraId="3BA1973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Acknowledges that the SADC government ministers and officials will still be responsible for matters normally under their jurisdiction under national legislation that regulates relationships between member states and electricity utilities. </w:t>
            </w:r>
          </w:p>
          <w:p w14:paraId="41329F2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Permits SAPP, in its own discretion, to interact, consult and collaborate with other institutions and entities for the purpose of (i) information and knowledge sharing and (ii) research purposes. </w:t>
            </w:r>
          </w:p>
          <w:p w14:paraId="4E0F646B"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Sets out the dispute resolution mechanism agreed by the members, which consists of an agreed mediation and arbitration mechanism. Empowers the Coordination Centre to administer disputes. </w:t>
            </w:r>
          </w:p>
        </w:tc>
      </w:tr>
      <w:tr w:rsidR="00507C15" w:rsidRPr="00316837" w14:paraId="15425548" w14:textId="77777777" w:rsidTr="00A40D3F">
        <w:tc>
          <w:tcPr>
            <w:tcW w:w="309" w:type="pct"/>
          </w:tcPr>
          <w:p w14:paraId="00FC1737"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3</w:t>
            </w:r>
          </w:p>
        </w:tc>
        <w:tc>
          <w:tcPr>
            <w:tcW w:w="866" w:type="pct"/>
          </w:tcPr>
          <w:p w14:paraId="621352F9"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Agreement Between Operating Members, 1995 and revised 2008 </w:t>
            </w:r>
          </w:p>
        </w:tc>
        <w:tc>
          <w:tcPr>
            <w:tcW w:w="3825" w:type="pct"/>
          </w:tcPr>
          <w:p w14:paraId="1A630AEE"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Establishes the basic principles and rules under which the interconnected portion of SAPP will operate. </w:t>
            </w:r>
          </w:p>
          <w:p w14:paraId="64A6FDB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Sets the standards and obligations for all member utilities interconnecting to the SAPP grid. Establishes the specific rules of operation and pricing. </w:t>
            </w:r>
          </w:p>
          <w:p w14:paraId="755F2FBC"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Provides that an electricity utility may become an operating member of SAPP by signing the Agreement. </w:t>
            </w:r>
          </w:p>
          <w:p w14:paraId="5FB74797"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Defines that dispute resolution under the Agreement is in accordance with that under the SAPP Inter-Utility Memorandum of Understanding. Nots that the Coordination Centre is responsible for the administration of disputes. </w:t>
            </w:r>
          </w:p>
        </w:tc>
      </w:tr>
      <w:tr w:rsidR="00507C15" w:rsidRPr="00316837" w14:paraId="29BECE60" w14:textId="77777777" w:rsidTr="00A40D3F">
        <w:tc>
          <w:tcPr>
            <w:tcW w:w="309" w:type="pct"/>
          </w:tcPr>
          <w:p w14:paraId="2CCE747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lastRenderedPageBreak/>
              <w:t>4</w:t>
            </w:r>
          </w:p>
        </w:tc>
        <w:tc>
          <w:tcPr>
            <w:tcW w:w="866" w:type="pct"/>
          </w:tcPr>
          <w:p w14:paraId="0755B8E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Operating, Planning and Environmental Management Guidelines, 2013 </w:t>
            </w:r>
          </w:p>
        </w:tc>
        <w:tc>
          <w:tcPr>
            <w:tcW w:w="3825" w:type="pct"/>
          </w:tcPr>
          <w:p w14:paraId="7EA2D24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Complements the Agreement Between Operating Members. </w:t>
            </w:r>
          </w:p>
          <w:p w14:paraId="4768CFC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Ensures the coordinated operation between interconnected systems and to achieve high levels of system reliability and control at points of interconnection. </w:t>
            </w:r>
          </w:p>
          <w:p w14:paraId="1AF78F69"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Deals with, amongst others, system control, system security, emergency operations, operations planning, control areas, telecommunications and control personnel. </w:t>
            </w:r>
          </w:p>
          <w:p w14:paraId="264576A1"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Makes the SAPP pricing arrangement a key element in the operation of SAPP. Sets out the SAPP pricing arrangement in 13 detailed schedules which cover four broad types of transaction: </w:t>
            </w:r>
          </w:p>
          <w:p w14:paraId="51E4BCE7" w14:textId="77777777" w:rsidR="00507C15" w:rsidRPr="00316837" w:rsidRDefault="00507C15" w:rsidP="00A40D3F">
            <w:pPr>
              <w:numPr>
                <w:ilvl w:val="0"/>
                <w:numId w:val="45"/>
              </w:numPr>
              <w:spacing w:before="120" w:after="120"/>
              <w:jc w:val="left"/>
              <w:rPr>
                <w:rFonts w:eastAsia="Calibri"/>
                <w:sz w:val="18"/>
                <w:szCs w:val="18"/>
              </w:rPr>
            </w:pPr>
            <w:r w:rsidRPr="00316837">
              <w:rPr>
                <w:rFonts w:eastAsia="Calibri"/>
                <w:sz w:val="18"/>
                <w:szCs w:val="18"/>
              </w:rPr>
              <w:t xml:space="preserve">firm electricity contracts of varying duration, </w:t>
            </w:r>
          </w:p>
          <w:p w14:paraId="4F2FCF85" w14:textId="77777777" w:rsidR="00507C15" w:rsidRPr="00316837" w:rsidRDefault="00507C15" w:rsidP="00A40D3F">
            <w:pPr>
              <w:numPr>
                <w:ilvl w:val="0"/>
                <w:numId w:val="45"/>
              </w:numPr>
              <w:spacing w:before="120" w:after="120"/>
              <w:jc w:val="left"/>
              <w:rPr>
                <w:rFonts w:eastAsia="Calibri"/>
                <w:sz w:val="18"/>
                <w:szCs w:val="18"/>
              </w:rPr>
            </w:pPr>
            <w:r w:rsidRPr="00316837">
              <w:rPr>
                <w:rFonts w:eastAsia="Calibri"/>
                <w:sz w:val="18"/>
                <w:szCs w:val="18"/>
              </w:rPr>
              <w:t xml:space="preserve">non-firm electricity contracts of varying duration, </w:t>
            </w:r>
          </w:p>
          <w:p w14:paraId="783906D7" w14:textId="77777777" w:rsidR="00507C15" w:rsidRPr="00316837" w:rsidRDefault="00507C15" w:rsidP="00A40D3F">
            <w:pPr>
              <w:numPr>
                <w:ilvl w:val="0"/>
                <w:numId w:val="45"/>
              </w:numPr>
              <w:spacing w:before="120" w:after="120"/>
              <w:jc w:val="left"/>
              <w:rPr>
                <w:rFonts w:eastAsia="Calibri"/>
                <w:sz w:val="18"/>
                <w:szCs w:val="18"/>
              </w:rPr>
            </w:pPr>
            <w:r w:rsidRPr="00316837">
              <w:rPr>
                <w:rFonts w:eastAsia="Calibri"/>
                <w:sz w:val="18"/>
                <w:szCs w:val="18"/>
              </w:rPr>
              <w:t xml:space="preserve">mutual support contracts such as operating reserve, emergency energy, and control area services, and </w:t>
            </w:r>
          </w:p>
          <w:p w14:paraId="3EC86B07" w14:textId="77777777" w:rsidR="00507C15" w:rsidRPr="00316837" w:rsidRDefault="00507C15" w:rsidP="00A40D3F">
            <w:pPr>
              <w:numPr>
                <w:ilvl w:val="0"/>
                <w:numId w:val="45"/>
              </w:numPr>
              <w:spacing w:before="120" w:after="120"/>
              <w:jc w:val="left"/>
              <w:rPr>
                <w:rFonts w:eastAsia="Calibri"/>
                <w:sz w:val="18"/>
                <w:szCs w:val="18"/>
              </w:rPr>
            </w:pPr>
            <w:r w:rsidRPr="00316837">
              <w:rPr>
                <w:rFonts w:eastAsia="Calibri"/>
                <w:sz w:val="18"/>
                <w:szCs w:val="18"/>
              </w:rPr>
              <w:t xml:space="preserve">scheduled outage energy, energy banking, and wheeling. </w:t>
            </w:r>
          </w:p>
        </w:tc>
      </w:tr>
      <w:tr w:rsidR="00507C15" w:rsidRPr="00316837" w14:paraId="1F22D5FD" w14:textId="77777777" w:rsidTr="00A40D3F">
        <w:tc>
          <w:tcPr>
            <w:tcW w:w="309" w:type="pct"/>
          </w:tcPr>
          <w:p w14:paraId="180002C2"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5</w:t>
            </w:r>
          </w:p>
        </w:tc>
        <w:tc>
          <w:tcPr>
            <w:tcW w:w="866" w:type="pct"/>
          </w:tcPr>
          <w:p w14:paraId="537683B3"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SAPP Coordination Centre Constitution </w:t>
            </w:r>
          </w:p>
        </w:tc>
        <w:tc>
          <w:tcPr>
            <w:tcW w:w="3825" w:type="pct"/>
          </w:tcPr>
          <w:p w14:paraId="04A73EDA"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Not available </w:t>
            </w:r>
          </w:p>
        </w:tc>
      </w:tr>
      <w:tr w:rsidR="00507C15" w:rsidRPr="00316837" w14:paraId="70E3ACFB" w14:textId="77777777" w:rsidTr="00A40D3F">
        <w:tc>
          <w:tcPr>
            <w:tcW w:w="309" w:type="pct"/>
          </w:tcPr>
          <w:p w14:paraId="16780582"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6</w:t>
            </w:r>
          </w:p>
        </w:tc>
        <w:tc>
          <w:tcPr>
            <w:tcW w:w="866" w:type="pct"/>
          </w:tcPr>
          <w:p w14:paraId="1578015B"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Market Book of Rules</w:t>
            </w:r>
          </w:p>
        </w:tc>
        <w:tc>
          <w:tcPr>
            <w:tcW w:w="3825" w:type="pct"/>
          </w:tcPr>
          <w:p w14:paraId="37D8AB38"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Sets the rules for governing the SAPP Market Operations. </w:t>
            </w:r>
          </w:p>
          <w:p w14:paraId="0E2D4ECD"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Makes the agreement between all participants and the SAPP Market Operator. </w:t>
            </w:r>
          </w:p>
          <w:p w14:paraId="7B34BE93"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A living document that has been refined and improved over time to keep pace with market developments, but binding. The most recent revision was developed in conjunction with the expansion of the Market Trading Platform in 2016, having: </w:t>
            </w:r>
          </w:p>
          <w:p w14:paraId="317FFEC5"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DEFINITIONS, which contains the definitions for the different SAPP markets; </w:t>
            </w:r>
          </w:p>
          <w:p w14:paraId="165D9EAA"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GENERAL, which defines the qualifying requirements to trade and rules for transmission capacity management for all market timeframes as well as the timing of all markets; </w:t>
            </w:r>
          </w:p>
          <w:p w14:paraId="209CA418"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GENERAL TRADING RULES, which includes rules for bilateral contract management and the obligations on all key stakeholders; </w:t>
            </w:r>
          </w:p>
          <w:p w14:paraId="344FF95F"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FPM TRADING RULES, which contains the main trading rules for the Forward Physical Markets (Monthly and Weekly); </w:t>
            </w:r>
          </w:p>
          <w:p w14:paraId="7B1E8461"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DAM TRADING RULES, which contains the main trading rules for the Day-Ahead Market; </w:t>
            </w:r>
          </w:p>
          <w:p w14:paraId="5CC97965"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IDM TRADING RULES, which contains the main trading rules for the Intraday Market; </w:t>
            </w:r>
          </w:p>
          <w:p w14:paraId="3842F0C8"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SETTLEMENT CALCULATIONS, which covers the rules for settlement of all the SAPP markets including management of wheeling, transmission losses, outages and non-delivery and imbalances; </w:t>
            </w:r>
          </w:p>
          <w:p w14:paraId="7B1C015E"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FINANCIAL RULES, which includes currency management, pricing, security (collateral) management, invoicing and credit notes, fees as well as the financial timelines and auditing requirements; </w:t>
            </w:r>
          </w:p>
          <w:p w14:paraId="7C6D75BF" w14:textId="77777777" w:rsidR="00507C15" w:rsidRPr="00316837" w:rsidRDefault="00507C15" w:rsidP="00A40D3F">
            <w:pPr>
              <w:pStyle w:val="ListParagraph"/>
              <w:numPr>
                <w:ilvl w:val="0"/>
                <w:numId w:val="45"/>
              </w:numPr>
              <w:spacing w:before="120" w:line="288" w:lineRule="auto"/>
              <w:jc w:val="left"/>
              <w:rPr>
                <w:rFonts w:ascii="Arial" w:hAnsi="Arial" w:cs="Arial"/>
                <w:sz w:val="18"/>
                <w:szCs w:val="18"/>
                <w:lang w:val="en-GB"/>
              </w:rPr>
            </w:pPr>
            <w:r w:rsidRPr="00316837">
              <w:rPr>
                <w:rFonts w:ascii="Arial" w:hAnsi="Arial" w:cs="Arial"/>
                <w:sz w:val="18"/>
                <w:szCs w:val="18"/>
                <w:lang w:val="en-GB"/>
              </w:rPr>
              <w:t xml:space="preserve">AMENDMENTS, which contain the rules for amending the rules; and </w:t>
            </w:r>
          </w:p>
          <w:p w14:paraId="0E4B114F" w14:textId="77777777" w:rsidR="00507C15" w:rsidRPr="00316837" w:rsidRDefault="00507C15" w:rsidP="00A40D3F">
            <w:pPr>
              <w:pStyle w:val="ListParagraph"/>
              <w:numPr>
                <w:ilvl w:val="0"/>
                <w:numId w:val="45"/>
              </w:numPr>
              <w:spacing w:before="120" w:line="288" w:lineRule="auto"/>
              <w:jc w:val="left"/>
              <w:rPr>
                <w:rFonts w:eastAsia="Calibri"/>
                <w:sz w:val="18"/>
                <w:szCs w:val="18"/>
                <w:lang w:val="en-GB"/>
              </w:rPr>
            </w:pPr>
            <w:r w:rsidRPr="00316837">
              <w:rPr>
                <w:rFonts w:ascii="Arial" w:hAnsi="Arial" w:cs="Arial"/>
                <w:sz w:val="18"/>
                <w:szCs w:val="18"/>
                <w:lang w:val="en-GB"/>
              </w:rPr>
              <w:t>ADDENDA, which contains the detailed trading rules for all SAPP markets as well as the signatory page for each of the SAPP Market members.</w:t>
            </w:r>
            <w:r w:rsidRPr="00316837">
              <w:rPr>
                <w:rFonts w:eastAsia="Calibri"/>
                <w:sz w:val="18"/>
                <w:szCs w:val="18"/>
                <w:lang w:val="en-GB"/>
              </w:rPr>
              <w:t xml:space="preserve"> </w:t>
            </w:r>
          </w:p>
        </w:tc>
      </w:tr>
      <w:tr w:rsidR="00507C15" w:rsidRPr="00316837" w14:paraId="188CAACC" w14:textId="77777777" w:rsidTr="00A40D3F">
        <w:tc>
          <w:tcPr>
            <w:tcW w:w="309" w:type="pct"/>
          </w:tcPr>
          <w:p w14:paraId="69701C9B"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lastRenderedPageBreak/>
              <w:t>7</w:t>
            </w:r>
          </w:p>
        </w:tc>
        <w:tc>
          <w:tcPr>
            <w:tcW w:w="866" w:type="pct"/>
          </w:tcPr>
          <w:p w14:paraId="0D06573B"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Market Participation Agreement </w:t>
            </w:r>
          </w:p>
        </w:tc>
        <w:tc>
          <w:tcPr>
            <w:tcW w:w="3825" w:type="pct"/>
          </w:tcPr>
          <w:p w14:paraId="474D1BA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Sets the conditions for participation in the electricity market governed by the SAPP Market Operator. </w:t>
            </w:r>
          </w:p>
          <w:p w14:paraId="742A5F08"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Makes the agreement between each participant and the SAPP Market Operator. </w:t>
            </w:r>
          </w:p>
        </w:tc>
      </w:tr>
      <w:tr w:rsidR="00507C15" w:rsidRPr="00316837" w14:paraId="511B36D7" w14:textId="77777777" w:rsidTr="00A40D3F">
        <w:tc>
          <w:tcPr>
            <w:tcW w:w="309" w:type="pct"/>
          </w:tcPr>
          <w:p w14:paraId="6781155F"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8</w:t>
            </w:r>
          </w:p>
        </w:tc>
        <w:tc>
          <w:tcPr>
            <w:tcW w:w="866" w:type="pct"/>
          </w:tcPr>
          <w:p w14:paraId="5E1DBF5E"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Ancillary Services and Transmission Pricing System </w:t>
            </w:r>
          </w:p>
        </w:tc>
        <w:tc>
          <w:tcPr>
            <w:tcW w:w="3825" w:type="pct"/>
          </w:tcPr>
          <w:p w14:paraId="36435B88"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Not available </w:t>
            </w:r>
          </w:p>
        </w:tc>
      </w:tr>
      <w:tr w:rsidR="00507C15" w:rsidRPr="00316837" w14:paraId="6D21608F" w14:textId="77777777" w:rsidTr="00A40D3F">
        <w:tc>
          <w:tcPr>
            <w:tcW w:w="309" w:type="pct"/>
          </w:tcPr>
          <w:p w14:paraId="1C13A60E"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9</w:t>
            </w:r>
          </w:p>
        </w:tc>
        <w:tc>
          <w:tcPr>
            <w:tcW w:w="866" w:type="pct"/>
          </w:tcPr>
          <w:p w14:paraId="38D639A8"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Market Guidelines, 2014 </w:t>
            </w:r>
          </w:p>
        </w:tc>
        <w:tc>
          <w:tcPr>
            <w:tcW w:w="3825" w:type="pct"/>
          </w:tcPr>
          <w:p w14:paraId="0D6EC251"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Not available </w:t>
            </w:r>
          </w:p>
        </w:tc>
      </w:tr>
      <w:tr w:rsidR="00507C15" w:rsidRPr="00316837" w14:paraId="300A8A4D" w14:textId="77777777" w:rsidTr="00A40D3F">
        <w:tc>
          <w:tcPr>
            <w:tcW w:w="309" w:type="pct"/>
          </w:tcPr>
          <w:p w14:paraId="3482449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10</w:t>
            </w:r>
          </w:p>
        </w:tc>
        <w:tc>
          <w:tcPr>
            <w:tcW w:w="866" w:type="pct"/>
          </w:tcPr>
          <w:p w14:paraId="048D1079"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Transmission Capacity Allocation Criteria </w:t>
            </w:r>
          </w:p>
        </w:tc>
        <w:tc>
          <w:tcPr>
            <w:tcW w:w="3825" w:type="pct"/>
          </w:tcPr>
          <w:p w14:paraId="32BDA25D"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Not available </w:t>
            </w:r>
          </w:p>
        </w:tc>
      </w:tr>
      <w:tr w:rsidR="00507C15" w:rsidRPr="00316837" w14:paraId="02894EAB" w14:textId="77777777" w:rsidTr="00A40D3F">
        <w:tc>
          <w:tcPr>
            <w:tcW w:w="309" w:type="pct"/>
          </w:tcPr>
          <w:p w14:paraId="1F686E83"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11</w:t>
            </w:r>
          </w:p>
        </w:tc>
        <w:tc>
          <w:tcPr>
            <w:tcW w:w="866" w:type="pct"/>
          </w:tcPr>
          <w:p w14:paraId="0464567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Guidelines for Regulating Cross-border Electricity Trading in Southern Africa, proposed in 2006 and approved in 2010 </w:t>
            </w:r>
          </w:p>
        </w:tc>
        <w:tc>
          <w:tcPr>
            <w:tcW w:w="3825" w:type="pct"/>
          </w:tcPr>
          <w:p w14:paraId="18558931"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Provides an enabling framework for cross-border electricity trade and infrastructure. Applies to any cross-border transactions, of more than 20 MW of power, and where the relevant PPA or transmission wheeling agreement is longer than one year. Does not apply to trading on the day-ahead market of SAPP. </w:t>
            </w:r>
          </w:p>
          <w:p w14:paraId="247CE99B" w14:textId="77777777" w:rsidR="00507C15" w:rsidRPr="00316837" w:rsidRDefault="00507C15" w:rsidP="00A40D3F">
            <w:pPr>
              <w:spacing w:before="120" w:after="120"/>
              <w:jc w:val="left"/>
            </w:pPr>
            <w:r w:rsidRPr="00316837">
              <w:rPr>
                <w:rFonts w:eastAsia="Calibri"/>
                <w:sz w:val="18"/>
                <w:szCs w:val="18"/>
              </w:rPr>
              <w:t>Contains principles, rules and procedures that could be adopted for reviewing major, long-term imports and exports of electricity.</w:t>
            </w:r>
            <w:r w:rsidRPr="00316837">
              <w:t xml:space="preserve"> </w:t>
            </w:r>
          </w:p>
          <w:p w14:paraId="671A99C0" w14:textId="77777777" w:rsidR="00507C15" w:rsidRPr="00316837" w:rsidRDefault="00507C15" w:rsidP="00A40D3F">
            <w:pPr>
              <w:spacing w:before="120" w:after="120"/>
              <w:jc w:val="left"/>
              <w:rPr>
                <w:rFonts w:eastAsia="Calibri"/>
                <w:sz w:val="18"/>
                <w:szCs w:val="18"/>
              </w:rPr>
            </w:pPr>
            <w:r w:rsidRPr="00316837">
              <w:t>D</w:t>
            </w:r>
            <w:r w:rsidRPr="00316837">
              <w:rPr>
                <w:rFonts w:eastAsia="Calibri"/>
                <w:sz w:val="18"/>
                <w:szCs w:val="18"/>
              </w:rPr>
              <w:t xml:space="preserve">oes not have a formal legal status over the decisions of individual national regulatory authoritiess, and there are no mandatory obligations on SAPP member states to implement the document. To be given legal effect, the national regulatory authorities need to implement the document in their own countries. </w:t>
            </w:r>
          </w:p>
        </w:tc>
      </w:tr>
    </w:tbl>
    <w:p w14:paraId="6403DB29" w14:textId="66FD22F0" w:rsidR="003B66A9" w:rsidRDefault="003B66A9" w:rsidP="006D5907">
      <w:pPr>
        <w:rPr>
          <w:rFonts w:eastAsia="Calibri"/>
        </w:rPr>
      </w:pPr>
    </w:p>
    <w:p w14:paraId="0C4AEA01" w14:textId="77777777" w:rsidR="00507C15" w:rsidRDefault="00507C15" w:rsidP="006D5907">
      <w:pPr>
        <w:rPr>
          <w:rFonts w:eastAsia="Calibri"/>
        </w:rPr>
        <w:sectPr w:rsidR="00507C15" w:rsidSect="00A3058D">
          <w:pgSz w:w="11907" w:h="16839" w:code="9"/>
          <w:pgMar w:top="510" w:right="1134" w:bottom="964" w:left="1134" w:header="720" w:footer="567" w:gutter="0"/>
          <w:cols w:space="720"/>
          <w:formProt w:val="0"/>
          <w:docGrid w:linePitch="286"/>
        </w:sectPr>
      </w:pPr>
    </w:p>
    <w:p w14:paraId="36EBBEDD" w14:textId="46745B99" w:rsidR="00507C15" w:rsidRPr="00316837" w:rsidRDefault="00507C15" w:rsidP="006273BD">
      <w:pPr>
        <w:pStyle w:val="Heading2"/>
      </w:pPr>
      <w:bookmarkStart w:id="234" w:name="_Ref77254555"/>
      <w:bookmarkStart w:id="235" w:name="_Toc77260337"/>
      <w:r w:rsidRPr="00C632F6">
        <w:lastRenderedPageBreak/>
        <w:t>Legal and regulatory basis for electricity trading in Western Africa under WAPP</w:t>
      </w:r>
      <w:bookmarkEnd w:id="234"/>
      <w:bookmarkEnd w:id="235"/>
      <w:r w:rsidRPr="00316837">
        <w:t xml:space="preserve"> </w:t>
      </w:r>
    </w:p>
    <w:tbl>
      <w:tblPr>
        <w:tblStyle w:val="TableGrid"/>
        <w:tblW w:w="5000" w:type="pct"/>
        <w:tblLook w:val="04A0" w:firstRow="1" w:lastRow="0" w:firstColumn="1" w:lastColumn="0" w:noHBand="0" w:noVBand="1"/>
      </w:tblPr>
      <w:tblGrid>
        <w:gridCol w:w="595"/>
        <w:gridCol w:w="1668"/>
        <w:gridCol w:w="7366"/>
      </w:tblGrid>
      <w:tr w:rsidR="00507C15" w:rsidRPr="00A40D3F" w14:paraId="5A1A1D19" w14:textId="77777777" w:rsidTr="00A40D3F">
        <w:tc>
          <w:tcPr>
            <w:tcW w:w="309" w:type="pct"/>
            <w:shd w:val="clear" w:color="auto" w:fill="F2F2F2" w:themeFill="background1" w:themeFillShade="F2"/>
          </w:tcPr>
          <w:p w14:paraId="0D05EA7F"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No.</w:t>
            </w:r>
          </w:p>
        </w:tc>
        <w:tc>
          <w:tcPr>
            <w:tcW w:w="866" w:type="pct"/>
            <w:shd w:val="clear" w:color="auto" w:fill="F2F2F2" w:themeFill="background1" w:themeFillShade="F2"/>
          </w:tcPr>
          <w:p w14:paraId="3701C52E"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Document</w:t>
            </w:r>
          </w:p>
        </w:tc>
        <w:tc>
          <w:tcPr>
            <w:tcW w:w="3825" w:type="pct"/>
            <w:shd w:val="clear" w:color="auto" w:fill="F2F2F2" w:themeFill="background1" w:themeFillShade="F2"/>
          </w:tcPr>
          <w:p w14:paraId="59F654A5"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 xml:space="preserve">Description </w:t>
            </w:r>
          </w:p>
        </w:tc>
      </w:tr>
      <w:tr w:rsidR="00507C15" w:rsidRPr="00316837" w14:paraId="08C3CE5B" w14:textId="77777777" w:rsidTr="00A40D3F">
        <w:tc>
          <w:tcPr>
            <w:tcW w:w="309" w:type="pct"/>
          </w:tcPr>
          <w:p w14:paraId="36DB3C26"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1</w:t>
            </w:r>
          </w:p>
        </w:tc>
        <w:tc>
          <w:tcPr>
            <w:tcW w:w="866" w:type="pct"/>
          </w:tcPr>
          <w:p w14:paraId="139F3F2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Articles of Agreement for WAPP Organisation and Functions, 2006 </w:t>
            </w:r>
          </w:p>
        </w:tc>
        <w:tc>
          <w:tcPr>
            <w:tcW w:w="3825" w:type="pct"/>
          </w:tcPr>
          <w:p w14:paraId="5F4630E7"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Institutes a management structure for WAPP, its organisation and functions, in order to establish a good framework of cooperation between its Members. </w:t>
            </w:r>
          </w:p>
          <w:p w14:paraId="22CEEC2E"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Defines provisions for membership, removal and re-instatement. </w:t>
            </w:r>
          </w:p>
          <w:p w14:paraId="77476784"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Defines provisions for finance. </w:t>
            </w:r>
          </w:p>
          <w:p w14:paraId="095B25BF"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Defines dispute resolution procedure. </w:t>
            </w:r>
          </w:p>
        </w:tc>
      </w:tr>
      <w:tr w:rsidR="00507C15" w:rsidRPr="00316837" w14:paraId="1B321BC0" w14:textId="77777777" w:rsidTr="00A40D3F">
        <w:tc>
          <w:tcPr>
            <w:tcW w:w="309" w:type="pct"/>
          </w:tcPr>
          <w:p w14:paraId="5AD034DA"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2</w:t>
            </w:r>
          </w:p>
        </w:tc>
        <w:tc>
          <w:tcPr>
            <w:tcW w:w="866" w:type="pct"/>
          </w:tcPr>
          <w:p w14:paraId="00886717"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Directive C/DIR.1/06/13 on the Organization of the Regional Electricity Market in West Africa, 2013 </w:t>
            </w:r>
          </w:p>
        </w:tc>
        <w:tc>
          <w:tcPr>
            <w:tcW w:w="3825" w:type="pct"/>
          </w:tcPr>
          <w:p w14:paraId="0BE7934F"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General principles governing the regional electricity market within the framework of the ECOWAS Energy Protocol are defined for ECOWAS to integrate national electricity systems into the integrated regional electricity market to enable the populations of the Western Africa Region have access to quality energy at a lower cost. </w:t>
            </w:r>
          </w:p>
          <w:p w14:paraId="4E0AE8C9"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Directive provides the legal basis for the fundamental principles supporting the development of the regional electricity market: </w:t>
            </w:r>
          </w:p>
          <w:p w14:paraId="1391370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Evolution of the market in 3 Phases as specified in the Market Design and Roadmap; </w:t>
            </w:r>
          </w:p>
          <w:p w14:paraId="44F80A90"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Functional and financial separation of generation, transmission and distribution functions; </w:t>
            </w:r>
          </w:p>
          <w:p w14:paraId="7ABA110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Adoption of an ECOWAS Regional Electricity Regulatory Agency (ERERA) approved regional transmission tariffs methodology; </w:t>
            </w:r>
          </w:p>
          <w:p w14:paraId="4F2CF84A"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Legalisation of ERERA regulation on transmission open access; </w:t>
            </w:r>
          </w:p>
          <w:p w14:paraId="0B3DFD56"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Legalisation of ERERA approved templates for bilateral contracts and standard connection and use of network agreement for open access to the regional transmission network; and </w:t>
            </w:r>
          </w:p>
          <w:p w14:paraId="642C8689" w14:textId="77777777" w:rsidR="00507C15" w:rsidRPr="00316837" w:rsidRDefault="00507C15" w:rsidP="00A40D3F">
            <w:pPr>
              <w:pStyle w:val="ListParagraph"/>
              <w:numPr>
                <w:ilvl w:val="0"/>
                <w:numId w:val="20"/>
              </w:numPr>
              <w:spacing w:before="120" w:line="288" w:lineRule="auto"/>
              <w:jc w:val="left"/>
              <w:rPr>
                <w:rFonts w:eastAsia="Calibri"/>
                <w:sz w:val="18"/>
                <w:szCs w:val="18"/>
                <w:lang w:val="en-GB"/>
              </w:rPr>
            </w:pPr>
            <w:r w:rsidRPr="00316837">
              <w:rPr>
                <w:rFonts w:ascii="Arial" w:eastAsia="Calibri" w:hAnsi="Arial" w:cs="Arial"/>
                <w:sz w:val="18"/>
                <w:szCs w:val="18"/>
                <w:lang w:val="en-GB"/>
              </w:rPr>
              <w:t xml:space="preserve">Mandating ECOWAS Member States to establish independent national regulatory authorities. </w:t>
            </w:r>
          </w:p>
        </w:tc>
      </w:tr>
      <w:tr w:rsidR="00507C15" w:rsidRPr="00316837" w14:paraId="6B2AC5BD" w14:textId="77777777" w:rsidTr="00A40D3F">
        <w:tc>
          <w:tcPr>
            <w:tcW w:w="309" w:type="pct"/>
          </w:tcPr>
          <w:p w14:paraId="6C5F5064"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3</w:t>
            </w:r>
          </w:p>
        </w:tc>
        <w:tc>
          <w:tcPr>
            <w:tcW w:w="866" w:type="pct"/>
          </w:tcPr>
          <w:p w14:paraId="1F9BFCA6"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Directive C/DIR/2/12/18 on the Securitization of the Cross-Border Power Trade under the Regional Electricity Market, 2018 </w:t>
            </w:r>
          </w:p>
        </w:tc>
        <w:tc>
          <w:tcPr>
            <w:tcW w:w="3825" w:type="pct"/>
          </w:tcPr>
          <w:p w14:paraId="3E382A92"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Securitisation of payments related to cross-border electricity trade in West Africa are defined for the ECOWAS regional electricity market whose viability and sustainability depends on securing payment for electricity exchanges. </w:t>
            </w:r>
          </w:p>
          <w:p w14:paraId="0BC5FAB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Directive provides the manner of tackling accumulations of substantial payment arrears to electricity suppliers, incurred by cross-border electricity trade among WAPP member utilities, which have resulted in the governments’ intervention for clearance of their debt arrears. It establishes the set of rules to enhance the security of cross-border electricity trade within WAPP through secured supplies and payments. </w:t>
            </w:r>
          </w:p>
          <w:p w14:paraId="452FB929"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Directive requires a number of concerted and coordinated actions from each stakeholder (the ministries in charge of economy and finance, the ministries in charge of energy, the electricity utilities providing service to the public, the national regulatory authorities, ERERA and WAPP) related to: </w:t>
            </w:r>
          </w:p>
          <w:p w14:paraId="52DF37B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enhancing the creditworthiness of the electricity sector, </w:t>
            </w:r>
          </w:p>
          <w:p w14:paraId="5868DE1D"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strengthening contractual instruments used for bilateral exchanges, </w:t>
            </w:r>
          </w:p>
          <w:p w14:paraId="4A1DE3B0"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backing contracts with more solid, explicit and symmetrical guarantees, and</w:t>
            </w:r>
          </w:p>
          <w:p w14:paraId="77B4B904" w14:textId="77777777" w:rsidR="00507C15" w:rsidRPr="00316837" w:rsidRDefault="00507C15" w:rsidP="00A40D3F">
            <w:pPr>
              <w:pStyle w:val="ListParagraph"/>
              <w:numPr>
                <w:ilvl w:val="0"/>
                <w:numId w:val="20"/>
              </w:numPr>
              <w:spacing w:before="120" w:line="288" w:lineRule="auto"/>
              <w:jc w:val="left"/>
              <w:rPr>
                <w:rFonts w:eastAsia="Calibri"/>
                <w:sz w:val="18"/>
                <w:szCs w:val="18"/>
                <w:lang w:val="en-GB"/>
              </w:rPr>
            </w:pPr>
            <w:r w:rsidRPr="00316837">
              <w:rPr>
                <w:rFonts w:ascii="Arial" w:eastAsia="Calibri" w:hAnsi="Arial" w:cs="Arial"/>
                <w:sz w:val="18"/>
                <w:szCs w:val="18"/>
                <w:lang w:val="en-GB"/>
              </w:rPr>
              <w:t>strengthening the role of regional institutions in bilateral trade facilitation.</w:t>
            </w:r>
            <w:r w:rsidRPr="00316837">
              <w:rPr>
                <w:rFonts w:eastAsia="Calibri"/>
                <w:sz w:val="18"/>
                <w:szCs w:val="18"/>
                <w:lang w:val="en-GB"/>
              </w:rPr>
              <w:t xml:space="preserve"> </w:t>
            </w:r>
          </w:p>
        </w:tc>
      </w:tr>
      <w:tr w:rsidR="00507C15" w:rsidRPr="00316837" w14:paraId="102FA5C7" w14:textId="77777777" w:rsidTr="00A40D3F">
        <w:tc>
          <w:tcPr>
            <w:tcW w:w="309" w:type="pct"/>
          </w:tcPr>
          <w:p w14:paraId="62F0C417"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4</w:t>
            </w:r>
          </w:p>
        </w:tc>
        <w:tc>
          <w:tcPr>
            <w:tcW w:w="866" w:type="pct"/>
          </w:tcPr>
          <w:p w14:paraId="499F9DDE"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Operation Manual for WAPP Interconnected </w:t>
            </w:r>
            <w:r w:rsidRPr="00316837">
              <w:rPr>
                <w:rFonts w:eastAsia="Calibri"/>
                <w:sz w:val="18"/>
                <w:szCs w:val="18"/>
              </w:rPr>
              <w:lastRenderedPageBreak/>
              <w:t xml:space="preserve">Power System, 2015 </w:t>
            </w:r>
          </w:p>
        </w:tc>
        <w:tc>
          <w:tcPr>
            <w:tcW w:w="3825" w:type="pct"/>
          </w:tcPr>
          <w:p w14:paraId="0B781CA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lastRenderedPageBreak/>
              <w:t xml:space="preserve">This document contains the standards and procedures for WAPP Interconnected Power System which ensure, by means of 8 technical policies, that all the interconnected power systems of WAPP: </w:t>
            </w:r>
          </w:p>
          <w:p w14:paraId="19EEEAD6"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lastRenderedPageBreak/>
              <w:t xml:space="preserve">operate the interconnected Western African network efficiently and effectively, and </w:t>
            </w:r>
          </w:p>
          <w:p w14:paraId="7DB3DCDE"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participate equitably in the obligations and in the benefits resulting from the interconnection. </w:t>
            </w:r>
          </w:p>
          <w:p w14:paraId="782D3BA3"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Operation Manual contains 8 technical policies which relate to: P1 – Load Frequency Control; P2 – Interchange Scheduling of Transmission Capacity; P3 – Operational Security; P4 – Coordinated Operational Planning; P5 – Emergency Procedures; P6 – Communication Infrastructure; P7 – Information Exchange Between Systems; and P8 – Operator Personnel and Training. These policies are designed to ensure coordinated operation between interconnected power systems and to achieve high levels of system reliability and control at the points of interconnection. They specify how the operational guidelines of WAPP shall be implemented, on the basis of established technical and operational experience accumulated over the years. </w:t>
            </w:r>
          </w:p>
          <w:p w14:paraId="7A55DA51"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It prescribes that: </w:t>
            </w:r>
          </w:p>
          <w:p w14:paraId="4AA54A3D"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WAPP is organised in five predefined control areas, whereof each is operated by a single control area operator which has its own load despatch centre for operational purposes over its control area wherein other national TSOs can exist; and </w:t>
            </w:r>
          </w:p>
          <w:p w14:paraId="421DE6E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Each control area communicates and cooperates with the Information and Coordination Centre and the Engineering and Operation Committee for the purpose of implementing the technical policies by fulfilling standards through following procedures. </w:t>
            </w:r>
          </w:p>
        </w:tc>
      </w:tr>
      <w:tr w:rsidR="00507C15" w:rsidRPr="00316837" w14:paraId="38BBB75C" w14:textId="77777777" w:rsidTr="00A40D3F">
        <w:tc>
          <w:tcPr>
            <w:tcW w:w="309" w:type="pct"/>
          </w:tcPr>
          <w:p w14:paraId="0EF77AD1"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lastRenderedPageBreak/>
              <w:t>5</w:t>
            </w:r>
          </w:p>
        </w:tc>
        <w:tc>
          <w:tcPr>
            <w:tcW w:w="866" w:type="pct"/>
          </w:tcPr>
          <w:p w14:paraId="472F6E41"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Regional Market Rules for WAPP, 2015 </w:t>
            </w:r>
          </w:p>
        </w:tc>
        <w:tc>
          <w:tcPr>
            <w:tcW w:w="3825" w:type="pct"/>
          </w:tcPr>
          <w:p w14:paraId="01A594A6"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This set of rules governs the trading of all electricity that flows across international borders between participating countries through the Interconnected Transmission System of WAPP, in compliance with the standards and procedures defined in the Operation Manual for WAPP Interconnected Power System. </w:t>
            </w:r>
          </w:p>
          <w:p w14:paraId="48446066"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Regional Market Rules envisage three Phases of market development. </w:t>
            </w:r>
          </w:p>
          <w:p w14:paraId="0232F676"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In Phase 1 (today): </w:t>
            </w:r>
          </w:p>
          <w:p w14:paraId="7825BDCB"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trading is carried out on a case-by-case basis and standardised through procedures, </w:t>
            </w:r>
          </w:p>
          <w:p w14:paraId="5AEF060A"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the regional electricity market is a bilateral market where bilateral contracts on purchase and sale of electricity are used for trading (countries, regional companies), </w:t>
            </w:r>
          </w:p>
          <w:p w14:paraId="1EC790C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trading is carried out through bilateral contracts using approved model contracts in the short-, medium- and long-term, </w:t>
            </w:r>
          </w:p>
          <w:p w14:paraId="69096E97"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transmission pricing is agreed between parties involved in a bilateral contract for existing contracts and for new ones it will be governed by the appropriate methodology after approving the Regional Transmission Pricing Methodology, </w:t>
            </w:r>
          </w:p>
          <w:p w14:paraId="29E48A5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ERERA is appointed as the regional regulatory authority (Regional Regulator), and is responsible for enforcement and dispute resolution, and </w:t>
            </w:r>
          </w:p>
          <w:p w14:paraId="3F9B421B"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the Information and Coordination Centre is appointed as the RSMO, and is furnished with all provisions required to carry out the regional market operation. </w:t>
            </w:r>
          </w:p>
          <w:p w14:paraId="4243E93D"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In Phase 2 (short-term): </w:t>
            </w:r>
          </w:p>
          <w:p w14:paraId="4257A46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bilateral trading with transit through third countries are based on standard commercial instruments (contracts), </w:t>
            </w:r>
          </w:p>
          <w:p w14:paraId="374BA637"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transactions can be carried out between individual agents of the countries, </w:t>
            </w:r>
          </w:p>
          <w:p w14:paraId="6C3463CB"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short-term exchanges are carried out through the day-ahead market which will contemplate a regional optimisation through a regional optimisation dispatching model, </w:t>
            </w:r>
          </w:p>
          <w:p w14:paraId="30E55E7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transmission pricing is regulated by ERERA and it is not possible to agree it bilaterally, and </w:t>
            </w:r>
          </w:p>
          <w:p w14:paraId="6A655DC8"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lastRenderedPageBreak/>
              <w:t xml:space="preserve">the RSMO (the Information and Coordination Centre will be transformed to it) is operative and with the responsibilities established by the Regional Market Rules. </w:t>
            </w:r>
          </w:p>
          <w:p w14:paraId="4DCBB319"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In Phase 3 (long-term): </w:t>
            </w:r>
          </w:p>
          <w:p w14:paraId="1AA2A01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the operation is done as of a liquid and competitive market in the region, </w:t>
            </w:r>
          </w:p>
          <w:p w14:paraId="6BE3B22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sufficient regional transmission capacity is available as well as sufficient reserve in the countries so to make it possible, </w:t>
            </w:r>
          </w:p>
          <w:p w14:paraId="19362CF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the countries or groups of companies are enabled to put their resources under a common optimisation system (unifying dispatches), and </w:t>
            </w:r>
          </w:p>
          <w:p w14:paraId="4E675BB0"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trading is enabled for different products integrating other markets (for some ancillary services and financial products). </w:t>
            </w:r>
          </w:p>
          <w:p w14:paraId="6E3560FA"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RSMO’s functions are defined: </w:t>
            </w:r>
          </w:p>
          <w:p w14:paraId="10D6423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day-to-day management of bilateral and day-ahead markets, </w:t>
            </w:r>
          </w:p>
          <w:p w14:paraId="06B636E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coordination with the control areas for the use of interconnectors and to optimise this use, </w:t>
            </w:r>
          </w:p>
          <w:p w14:paraId="176430DB"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settlement of the market fees including other charges such as fees for services, transmission payments etc., and </w:t>
            </w:r>
          </w:p>
          <w:p w14:paraId="79B2F03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market monitoring and surveillance. </w:t>
            </w:r>
          </w:p>
          <w:p w14:paraId="60B73437"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Control areas’ functions are defined: </w:t>
            </w:r>
          </w:p>
          <w:p w14:paraId="6F5B1D16"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ensure maintenance of inter-area flows, safe operation within the control area, intra-area flows, etc., </w:t>
            </w:r>
          </w:p>
          <w:p w14:paraId="1577BF8B"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constant communication with the system and market operator to ensure flows in interconnectors, </w:t>
            </w:r>
          </w:p>
          <w:p w14:paraId="2DFBF65D"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collaboration with the RSMO on the operational planning of interconnectors, </w:t>
            </w:r>
          </w:p>
          <w:p w14:paraId="3627107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coordination with neighbouring control areas in emergencies, </w:t>
            </w:r>
          </w:p>
          <w:p w14:paraId="13AFBEC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compliance with the RSMO’s restoration plan in case of emergencies within the control area, </w:t>
            </w:r>
          </w:p>
          <w:p w14:paraId="5835F948"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reporting, etc. </w:t>
            </w:r>
          </w:p>
          <w:p w14:paraId="29A93312"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Key tasks of national transmission system operators are defined: </w:t>
            </w:r>
          </w:p>
          <w:p w14:paraId="5B19134D"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maintain flows agreed at the regional level in the interconnectors under its responsibility, </w:t>
            </w:r>
          </w:p>
          <w:p w14:paraId="6C06620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maintain technical parameters in the interconnectors under its responsibility, </w:t>
            </w:r>
          </w:p>
          <w:p w14:paraId="4BEBF72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operate safely domestic system to avoid undue impacts to others, </w:t>
            </w:r>
          </w:p>
          <w:p w14:paraId="3675144B"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support others in emergencies, </w:t>
            </w:r>
          </w:p>
          <w:p w14:paraId="4498508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maintain required communication with the control area responsible of its area and comply with instructions, </w:t>
            </w:r>
          </w:p>
          <w:p w14:paraId="2255DEE7"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maintain required communication with the RSMO, etc. </w:t>
            </w:r>
          </w:p>
          <w:p w14:paraId="5354FC90"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As far as metering is concerned: </w:t>
            </w:r>
          </w:p>
          <w:p w14:paraId="7E6A0670"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metering systems are the responsibility of the national transmission system operator that is managing the substation at the interconnection node, </w:t>
            </w:r>
          </w:p>
          <w:p w14:paraId="4485E6A1"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commercial metering installations must be located at the nodes established by the regional system and market operator, and </w:t>
            </w:r>
          </w:p>
          <w:p w14:paraId="5FED96B6"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the regional system and market operator must have right of access to all data stored in the registers of the meters, either electronically through a data collection system or by physical inspection. </w:t>
            </w:r>
          </w:p>
        </w:tc>
      </w:tr>
      <w:tr w:rsidR="00507C15" w:rsidRPr="00316837" w14:paraId="3F538579" w14:textId="77777777" w:rsidTr="00A40D3F">
        <w:tc>
          <w:tcPr>
            <w:tcW w:w="309" w:type="pct"/>
          </w:tcPr>
          <w:p w14:paraId="147605D6"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lastRenderedPageBreak/>
              <w:t>6</w:t>
            </w:r>
          </w:p>
        </w:tc>
        <w:tc>
          <w:tcPr>
            <w:tcW w:w="866" w:type="pct"/>
          </w:tcPr>
          <w:p w14:paraId="0ECAAC2D"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Transmission Tariff Methodology, 2015 </w:t>
            </w:r>
          </w:p>
        </w:tc>
        <w:tc>
          <w:tcPr>
            <w:tcW w:w="3825" w:type="pct"/>
          </w:tcPr>
          <w:p w14:paraId="103BEE2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This is a methodology to be used by the RSMO to develop a clear, transparent and predictable model for the calculation of transmission prices. </w:t>
            </w:r>
          </w:p>
          <w:p w14:paraId="662B08CE"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It defines steps to be followed and rules that govern transmission pricing among parties involved in cross-border electricity exchange transactions in the regional electricity market. </w:t>
            </w:r>
          </w:p>
          <w:p w14:paraId="1BFDB61B"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following cost components can be recovered through transmission prices – capital costs of transmission network and equipment, transmission system operation and maintenance costs, transmission congestion, and transmission losses. </w:t>
            </w:r>
          </w:p>
          <w:p w14:paraId="6F3FF988"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fundamental steps in the transmission tariff methodology are: </w:t>
            </w:r>
          </w:p>
          <w:p w14:paraId="0454BA71"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determine regional transmission assets and asset value, </w:t>
            </w:r>
          </w:p>
          <w:p w14:paraId="4181210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calculate annual revenue requirements for each transmission system operator asset used for regional bilateral trading, </w:t>
            </w:r>
          </w:p>
          <w:p w14:paraId="11DD9258"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calculate use of transmission system and associated transmission losses for each regional bilateral trade, </w:t>
            </w:r>
          </w:p>
          <w:p w14:paraId="7C43EA4B"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calculate transmission revenue requirements for each transmission system operator for regional bilateral trades, and </w:t>
            </w:r>
          </w:p>
          <w:p w14:paraId="5480458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calculate transmission tariff and transmission losses for the purchaser of each regional bilateral trade. </w:t>
            </w:r>
          </w:p>
          <w:p w14:paraId="57F7C5F9"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regional transmission revenue and transmission losses are calculated annually. </w:t>
            </w:r>
          </w:p>
          <w:p w14:paraId="5772C64F"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RSMO collects the revenue from purchasers of bilateral trades for transmission tariff and transmission losses. </w:t>
            </w:r>
          </w:p>
          <w:p w14:paraId="692EB14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RSMO pays transmission system operators their allocated transmission tariff and losses revenue. </w:t>
            </w:r>
          </w:p>
        </w:tc>
      </w:tr>
      <w:tr w:rsidR="00507C15" w:rsidRPr="00316837" w14:paraId="799B805F" w14:textId="77777777" w:rsidTr="00A40D3F">
        <w:tc>
          <w:tcPr>
            <w:tcW w:w="309" w:type="pct"/>
          </w:tcPr>
          <w:p w14:paraId="023451E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7</w:t>
            </w:r>
          </w:p>
        </w:tc>
        <w:tc>
          <w:tcPr>
            <w:tcW w:w="866" w:type="pct"/>
          </w:tcPr>
          <w:p w14:paraId="2C3676FD"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Short/Medium- and Long-Term Model Bilateral Contract, 2017 </w:t>
            </w:r>
          </w:p>
        </w:tc>
        <w:tc>
          <w:tcPr>
            <w:tcW w:w="3825" w:type="pct"/>
          </w:tcPr>
          <w:p w14:paraId="407F959D"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buyer reimburses to the seller the costs, if any, that the seller is obliged to pay for the transmission services, provided that such costs do not exceed the transmission services costs as determined and approved in the Transmission Tariff Methodology. </w:t>
            </w:r>
          </w:p>
        </w:tc>
      </w:tr>
      <w:tr w:rsidR="00507C15" w:rsidRPr="00316837" w14:paraId="65C6B8BE" w14:textId="77777777" w:rsidTr="00A40D3F">
        <w:tc>
          <w:tcPr>
            <w:tcW w:w="309" w:type="pct"/>
          </w:tcPr>
          <w:p w14:paraId="5D98C2A2"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8</w:t>
            </w:r>
          </w:p>
        </w:tc>
        <w:tc>
          <w:tcPr>
            <w:tcW w:w="866" w:type="pct"/>
          </w:tcPr>
          <w:p w14:paraId="486FA016"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Set of market participation documents, 2018-2019 </w:t>
            </w:r>
          </w:p>
        </w:tc>
        <w:tc>
          <w:tcPr>
            <w:tcW w:w="3825" w:type="pct"/>
          </w:tcPr>
          <w:p w14:paraId="7D5D40A8"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The following documents are approved: </w:t>
            </w:r>
          </w:p>
          <w:p w14:paraId="7D8676F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Regional Electricity Market Procedures, </w:t>
            </w:r>
          </w:p>
          <w:p w14:paraId="2A8F17B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Market Participant Agreement, </w:t>
            </w:r>
          </w:p>
          <w:p w14:paraId="4E8E42B7"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Market Participant Application Form, and </w:t>
            </w:r>
          </w:p>
          <w:p w14:paraId="42A241E5" w14:textId="77777777" w:rsidR="00507C15" w:rsidRPr="00316837" w:rsidRDefault="00507C15" w:rsidP="00A40D3F">
            <w:pPr>
              <w:pStyle w:val="ListParagraph"/>
              <w:numPr>
                <w:ilvl w:val="0"/>
                <w:numId w:val="20"/>
              </w:numPr>
              <w:spacing w:before="120" w:line="288" w:lineRule="auto"/>
              <w:jc w:val="left"/>
              <w:rPr>
                <w:rFonts w:eastAsia="Calibri"/>
                <w:sz w:val="18"/>
                <w:szCs w:val="18"/>
                <w:lang w:val="en-GB"/>
              </w:rPr>
            </w:pPr>
            <w:r w:rsidRPr="00316837">
              <w:rPr>
                <w:rFonts w:ascii="Arial" w:eastAsia="Calibri" w:hAnsi="Arial" w:cs="Arial"/>
                <w:sz w:val="18"/>
                <w:szCs w:val="18"/>
                <w:lang w:val="en-GB"/>
              </w:rPr>
              <w:t>Procedure of Application for Admission in the Regional Electricity Market.</w:t>
            </w:r>
            <w:r w:rsidRPr="00316837">
              <w:rPr>
                <w:rFonts w:eastAsia="Calibri"/>
                <w:sz w:val="18"/>
                <w:szCs w:val="18"/>
                <w:lang w:val="en-GB"/>
              </w:rPr>
              <w:t xml:space="preserve"> </w:t>
            </w:r>
          </w:p>
        </w:tc>
      </w:tr>
      <w:tr w:rsidR="00507C15" w:rsidRPr="00316837" w14:paraId="0AE000DE" w14:textId="77777777" w:rsidTr="00A40D3F">
        <w:tc>
          <w:tcPr>
            <w:tcW w:w="309" w:type="pct"/>
          </w:tcPr>
          <w:p w14:paraId="13AA46F7"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9</w:t>
            </w:r>
          </w:p>
        </w:tc>
        <w:tc>
          <w:tcPr>
            <w:tcW w:w="866" w:type="pct"/>
          </w:tcPr>
          <w:p w14:paraId="06712177"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Set of developed, but not yet approved documents </w:t>
            </w:r>
          </w:p>
        </w:tc>
        <w:tc>
          <w:tcPr>
            <w:tcW w:w="3825" w:type="pct"/>
          </w:tcPr>
          <w:p w14:paraId="3D1D7A64"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The following documents are under development/review:</w:t>
            </w:r>
          </w:p>
          <w:p w14:paraId="2EED35F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WAPP Transmission Service Access and Use Procedures, </w:t>
            </w:r>
          </w:p>
          <w:p w14:paraId="5D3BB37F"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Minimum Regional Operating Standards, </w:t>
            </w:r>
          </w:p>
          <w:p w14:paraId="5661F18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Market Monitoring Procedures, </w:t>
            </w:r>
          </w:p>
          <w:p w14:paraId="067B41C1"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Contract Administration Procedures (registering and approval), </w:t>
            </w:r>
          </w:p>
          <w:p w14:paraId="419632B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Transmission Pricing Model, and </w:t>
            </w:r>
          </w:p>
          <w:p w14:paraId="3A23CF99" w14:textId="77777777" w:rsidR="00507C15" w:rsidRPr="00316837" w:rsidRDefault="00507C15" w:rsidP="00A40D3F">
            <w:pPr>
              <w:pStyle w:val="ListParagraph"/>
              <w:numPr>
                <w:ilvl w:val="0"/>
                <w:numId w:val="20"/>
              </w:numPr>
              <w:spacing w:before="120" w:line="288" w:lineRule="auto"/>
              <w:jc w:val="left"/>
              <w:rPr>
                <w:rFonts w:eastAsia="Calibri"/>
                <w:sz w:val="18"/>
                <w:szCs w:val="18"/>
                <w:lang w:val="en-GB"/>
              </w:rPr>
            </w:pPr>
            <w:r w:rsidRPr="00316837">
              <w:rPr>
                <w:rFonts w:ascii="Arial" w:eastAsia="Calibri" w:hAnsi="Arial" w:cs="Arial"/>
                <w:sz w:val="18"/>
                <w:szCs w:val="18"/>
                <w:lang w:val="en-GB"/>
              </w:rPr>
              <w:t>Review of the Regional Market Rules for Phase 2 (</w:t>
            </w:r>
            <w:r w:rsidRPr="00316837">
              <w:rPr>
                <w:rFonts w:ascii="Arial" w:eastAsia="Calibri" w:hAnsi="Arial" w:cs="Arial"/>
                <w:i/>
                <w:iCs/>
                <w:sz w:val="18"/>
                <w:szCs w:val="18"/>
                <w:lang w:val="en-GB"/>
              </w:rPr>
              <w:t>vis-à-vis</w:t>
            </w:r>
            <w:r w:rsidRPr="00316837">
              <w:rPr>
                <w:rFonts w:ascii="Arial" w:eastAsia="Calibri" w:hAnsi="Arial" w:cs="Arial"/>
                <w:sz w:val="18"/>
                <w:szCs w:val="18"/>
                <w:lang w:val="en-GB"/>
              </w:rPr>
              <w:t xml:space="preserve"> amending registration procedures, prescribing registration fee, making electricity auctions in the day-ahead market, choosing settlement bank, and conducting dispute resolution). </w:t>
            </w:r>
          </w:p>
        </w:tc>
      </w:tr>
    </w:tbl>
    <w:p w14:paraId="6151C3FA" w14:textId="46FEDA17" w:rsidR="00507C15" w:rsidRDefault="00507C15" w:rsidP="006D5907">
      <w:pPr>
        <w:rPr>
          <w:rFonts w:eastAsia="Calibri"/>
        </w:rPr>
      </w:pPr>
    </w:p>
    <w:p w14:paraId="44865997" w14:textId="77777777" w:rsidR="00507C15" w:rsidRDefault="00507C15" w:rsidP="006D5907">
      <w:pPr>
        <w:rPr>
          <w:rFonts w:eastAsia="Calibri"/>
        </w:rPr>
        <w:sectPr w:rsidR="00507C15" w:rsidSect="00A3058D">
          <w:pgSz w:w="11907" w:h="16839" w:code="9"/>
          <w:pgMar w:top="510" w:right="1134" w:bottom="964" w:left="1134" w:header="720" w:footer="567" w:gutter="0"/>
          <w:cols w:space="720"/>
          <w:formProt w:val="0"/>
          <w:docGrid w:linePitch="286"/>
        </w:sectPr>
      </w:pPr>
    </w:p>
    <w:p w14:paraId="22105031" w14:textId="0052C177" w:rsidR="00507C15" w:rsidRPr="00316837" w:rsidRDefault="00507C15" w:rsidP="006273BD">
      <w:pPr>
        <w:pStyle w:val="Heading2"/>
      </w:pPr>
      <w:bookmarkStart w:id="236" w:name="_Ref77254947"/>
      <w:bookmarkStart w:id="237" w:name="_Toc77260338"/>
      <w:r w:rsidRPr="00C632F6">
        <w:lastRenderedPageBreak/>
        <w:t xml:space="preserve">Legal and regulatory basis for electricity trading in </w:t>
      </w:r>
      <w:r w:rsidRPr="00316837">
        <w:t>Eastern Africa under EAPP</w:t>
      </w:r>
      <w:bookmarkEnd w:id="236"/>
      <w:bookmarkEnd w:id="237"/>
      <w:r w:rsidRPr="00316837">
        <w:t xml:space="preserve"> </w:t>
      </w:r>
    </w:p>
    <w:tbl>
      <w:tblPr>
        <w:tblStyle w:val="TableGrid"/>
        <w:tblW w:w="5000" w:type="pct"/>
        <w:tblLook w:val="04A0" w:firstRow="1" w:lastRow="0" w:firstColumn="1" w:lastColumn="0" w:noHBand="0" w:noVBand="1"/>
      </w:tblPr>
      <w:tblGrid>
        <w:gridCol w:w="506"/>
        <w:gridCol w:w="2633"/>
        <w:gridCol w:w="6490"/>
      </w:tblGrid>
      <w:tr w:rsidR="00507C15" w:rsidRPr="00A40D3F" w14:paraId="17C574BA" w14:textId="77777777" w:rsidTr="00A40D3F">
        <w:tc>
          <w:tcPr>
            <w:tcW w:w="258" w:type="pct"/>
            <w:shd w:val="clear" w:color="auto" w:fill="F2F2F2" w:themeFill="background1" w:themeFillShade="F2"/>
          </w:tcPr>
          <w:p w14:paraId="66E1246A"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No.</w:t>
            </w:r>
          </w:p>
        </w:tc>
        <w:tc>
          <w:tcPr>
            <w:tcW w:w="1370" w:type="pct"/>
            <w:shd w:val="clear" w:color="auto" w:fill="F2F2F2" w:themeFill="background1" w:themeFillShade="F2"/>
          </w:tcPr>
          <w:p w14:paraId="663EF4AF"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Document</w:t>
            </w:r>
          </w:p>
        </w:tc>
        <w:tc>
          <w:tcPr>
            <w:tcW w:w="3372" w:type="pct"/>
            <w:shd w:val="clear" w:color="auto" w:fill="F2F2F2" w:themeFill="background1" w:themeFillShade="F2"/>
          </w:tcPr>
          <w:p w14:paraId="183DD949"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 xml:space="preserve">Description </w:t>
            </w:r>
          </w:p>
        </w:tc>
      </w:tr>
      <w:tr w:rsidR="00507C15" w:rsidRPr="00316837" w14:paraId="0F0C8D00" w14:textId="77777777" w:rsidTr="00A40D3F">
        <w:tc>
          <w:tcPr>
            <w:tcW w:w="258" w:type="pct"/>
          </w:tcPr>
          <w:p w14:paraId="0D1BC7AF"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1</w:t>
            </w:r>
          </w:p>
        </w:tc>
        <w:tc>
          <w:tcPr>
            <w:tcW w:w="1370" w:type="pct"/>
          </w:tcPr>
          <w:p w14:paraId="7DC83C51"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Inter-Governmental Memorandum of Understanding for the establishment of EAPP, 2005 </w:t>
            </w:r>
          </w:p>
        </w:tc>
        <w:tc>
          <w:tcPr>
            <w:tcW w:w="3372" w:type="pct"/>
          </w:tcPr>
          <w:p w14:paraId="05BEF507"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Permits the electricity utilities in the respective countries to sign the EAPP Inter-Utility Memorandum of Understanding, which defines the fundamental principles to establish and operate EAPP. </w:t>
            </w:r>
          </w:p>
          <w:p w14:paraId="09CABBED"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Provides that the parties will cooperate with other Power Pools in other African regions. </w:t>
            </w:r>
          </w:p>
          <w:p w14:paraId="41983748"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Provides that the activities of EAPP shall be consistent with the RECs. </w:t>
            </w:r>
          </w:p>
          <w:p w14:paraId="078DAA3D"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Acknowledges that it is the parties’ responsibility to harmonise national electricity policies. </w:t>
            </w:r>
          </w:p>
          <w:p w14:paraId="60C89AE8"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Does not deal with admission of new members, nor does it restrict same. </w:t>
            </w:r>
          </w:p>
          <w:p w14:paraId="0AEBB1B1"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Does not contain a provision for a dispute resolution mechanism. </w:t>
            </w:r>
          </w:p>
        </w:tc>
      </w:tr>
      <w:tr w:rsidR="00507C15" w:rsidRPr="00316837" w14:paraId="3F375AB0" w14:textId="77777777" w:rsidTr="00A40D3F">
        <w:tc>
          <w:tcPr>
            <w:tcW w:w="258" w:type="pct"/>
          </w:tcPr>
          <w:p w14:paraId="6F89E73A"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2</w:t>
            </w:r>
          </w:p>
        </w:tc>
        <w:tc>
          <w:tcPr>
            <w:tcW w:w="1370" w:type="pct"/>
          </w:tcPr>
          <w:p w14:paraId="18789F0C"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Inter-Utility Memorandum of Understanding, 2005 </w:t>
            </w:r>
          </w:p>
        </w:tc>
        <w:tc>
          <w:tcPr>
            <w:tcW w:w="3372" w:type="pct"/>
          </w:tcPr>
          <w:p w14:paraId="667A5650"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Aims at defining the fundamental principles to operate EAPP. </w:t>
            </w:r>
          </w:p>
          <w:p w14:paraId="7E4E3BC9"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Allows for active members (public or concessionary utilities in charge of electricity generation, transmission or distribution in the region) and affiliate members (IPPs operating in the region who have fulfilled the membership conditions). </w:t>
            </w:r>
          </w:p>
          <w:p w14:paraId="1A589079"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Provides that there will be an operating agreement which will define the conditions and modalities to operate EAPP interconnected system. States that this agreement will replace the multilateral agreement currently in place in the region. The status of such proposed agreement is unknown. </w:t>
            </w:r>
          </w:p>
          <w:p w14:paraId="52AB2E93"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Provides that the Memorandum can be amended by the EAPP Steering Committee by two thirds majority of EAPP members. </w:t>
            </w:r>
          </w:p>
          <w:p w14:paraId="0C269539"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Does not specify dispute resolution mechanism, save the statement that the Conference of Ministers responsible for energy may impose sanctions against defaulting members. </w:t>
            </w:r>
          </w:p>
        </w:tc>
      </w:tr>
      <w:tr w:rsidR="00507C15" w:rsidRPr="00316837" w14:paraId="26ADF5E1" w14:textId="77777777" w:rsidTr="00A40D3F">
        <w:tc>
          <w:tcPr>
            <w:tcW w:w="258" w:type="pct"/>
          </w:tcPr>
          <w:p w14:paraId="499EE781"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3</w:t>
            </w:r>
          </w:p>
        </w:tc>
        <w:tc>
          <w:tcPr>
            <w:tcW w:w="1370" w:type="pct"/>
          </w:tcPr>
          <w:p w14:paraId="70242A5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Master Plan, 2011 and 2014 </w:t>
            </w:r>
          </w:p>
        </w:tc>
        <w:tc>
          <w:tcPr>
            <w:tcW w:w="3372" w:type="pct"/>
          </w:tcPr>
          <w:p w14:paraId="3679035A"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The 2011 Master Plan identified the regional electricity generation and interconnection projects in the power systems of EAPP and the EAC Member States in the short</w:t>
            </w:r>
            <w:r w:rsidRPr="00316837">
              <w:rPr>
                <w:rFonts w:ascii="Cambria Math" w:eastAsia="Calibri" w:hAnsi="Cambria Math" w:cs="Cambria Math"/>
                <w:sz w:val="18"/>
                <w:szCs w:val="18"/>
              </w:rPr>
              <w:t>‐</w:t>
            </w:r>
            <w:r w:rsidRPr="00316837">
              <w:rPr>
                <w:rFonts w:eastAsia="Calibri" w:cs="Arial"/>
                <w:sz w:val="18"/>
                <w:szCs w:val="18"/>
              </w:rPr>
              <w:t xml:space="preserve"> to long-term. It was updated in 2014, based on simulations of optimal dispatch and least-cost investment in generation and transmission for the entire system in a number of specific scenarios. </w:t>
            </w:r>
          </w:p>
          <w:p w14:paraId="5B8272EE"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2014 Master Plan established the power system model wherein the electricity balances are given on a regional basis and provided recommendations based on analyses of regional least-cost investments in generation and transmission (a country can be comprised of one or more regions). For each region an electricity balance must be fulfilled, but electricity may be exchanged between regions. </w:t>
            </w:r>
          </w:p>
          <w:p w14:paraId="367FE921"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concept of regions was motivated by transmission and its constraints, losses and costs. The established power system model supported investing in transmission if the total regional costs are reduced more than the annualised investment costs for the line (including losses and operation and maintenance costs). </w:t>
            </w:r>
          </w:p>
          <w:p w14:paraId="641F7A91"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Main scenario and 20 alternative scenarios were used to analyse the potential development of the electricity system. The scenarios were used to analyse the sensitivity of the results with respect to the central parameters.</w:t>
            </w:r>
            <w:r w:rsidRPr="00316837">
              <w:t xml:space="preserve"> T</w:t>
            </w:r>
            <w:r w:rsidRPr="00316837">
              <w:rPr>
                <w:rFonts w:eastAsia="Calibri" w:cs="Arial"/>
                <w:sz w:val="18"/>
                <w:szCs w:val="18"/>
              </w:rPr>
              <w:t xml:space="preserve">he focus was on decisions that can be taken in the short-term, i.e. the possible development </w:t>
            </w:r>
            <w:r w:rsidRPr="00316837">
              <w:rPr>
                <w:rFonts w:eastAsia="Calibri" w:cs="Arial"/>
                <w:sz w:val="18"/>
                <w:szCs w:val="18"/>
              </w:rPr>
              <w:lastRenderedPageBreak/>
              <w:t xml:space="preserve">of the electricity system towards 2020 and 2025, and the long-term perspectives (towards 2040). </w:t>
            </w:r>
          </w:p>
        </w:tc>
      </w:tr>
      <w:tr w:rsidR="00507C15" w:rsidRPr="00316837" w14:paraId="6D5ED2EC" w14:textId="77777777" w:rsidTr="00A40D3F">
        <w:tc>
          <w:tcPr>
            <w:tcW w:w="258" w:type="pct"/>
          </w:tcPr>
          <w:p w14:paraId="7ABE6D1C"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lastRenderedPageBreak/>
              <w:t>4</w:t>
            </w:r>
          </w:p>
        </w:tc>
        <w:tc>
          <w:tcPr>
            <w:tcW w:w="1370" w:type="pct"/>
          </w:tcPr>
          <w:p w14:paraId="766CCA19"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Operation Agreement between EAPP members </w:t>
            </w:r>
          </w:p>
        </w:tc>
        <w:tc>
          <w:tcPr>
            <w:tcW w:w="3372" w:type="pct"/>
          </w:tcPr>
          <w:p w14:paraId="469215E5"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Provided for in the Inter-Utility Memorandum of Understanding; however, the status of such agreement is unknown.</w:t>
            </w:r>
          </w:p>
        </w:tc>
      </w:tr>
      <w:tr w:rsidR="00507C15" w:rsidRPr="00316837" w14:paraId="636BA798" w14:textId="77777777" w:rsidTr="00A40D3F">
        <w:tc>
          <w:tcPr>
            <w:tcW w:w="258" w:type="pct"/>
          </w:tcPr>
          <w:p w14:paraId="69CE94AE"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5</w:t>
            </w:r>
          </w:p>
        </w:tc>
        <w:tc>
          <w:tcPr>
            <w:tcW w:w="1370" w:type="pct"/>
          </w:tcPr>
          <w:p w14:paraId="352AB53F"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Grid Code (Interconnection Code), 2011 and 2014 </w:t>
            </w:r>
          </w:p>
        </w:tc>
        <w:tc>
          <w:tcPr>
            <w:tcW w:w="3372" w:type="pct"/>
          </w:tcPr>
          <w:p w14:paraId="42780A27"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2011 Grid Code (i.e. the Interconnection Code) was developed to facilitate the integrated development and operations of the power systems of EAPP and the EAC Member States by setting out the technical rules necessary for EAPP to ensure that transmission systems are operated in a safe, reliable, secure and efficient manner. It was updated in 2014 with the aim to harmonise the network operation, planning and design processes. </w:t>
            </w:r>
          </w:p>
          <w:p w14:paraId="122A52F6"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2014 Grid Code (i.e. the Interconnection Code) sets out the technical rules/standards in various codes for technical planning and operation of the EAPP Interconnected Transmission System necessary for EAPP to ensure that all its transmission systems are operated in a safe, reliable, secure and efficient manner: </w:t>
            </w:r>
          </w:p>
          <w:p w14:paraId="7CBD6435" w14:textId="77777777" w:rsidR="00507C15" w:rsidRPr="00316837" w:rsidRDefault="00507C15" w:rsidP="00A40D3F">
            <w:pPr>
              <w:numPr>
                <w:ilvl w:val="0"/>
                <w:numId w:val="35"/>
              </w:numPr>
              <w:spacing w:before="120" w:after="120"/>
              <w:jc w:val="left"/>
              <w:rPr>
                <w:rFonts w:eastAsia="Calibri"/>
                <w:sz w:val="18"/>
                <w:szCs w:val="18"/>
              </w:rPr>
            </w:pPr>
            <w:r w:rsidRPr="00316837">
              <w:rPr>
                <w:rFonts w:eastAsia="Calibri"/>
                <w:sz w:val="18"/>
                <w:szCs w:val="18"/>
              </w:rPr>
              <w:t xml:space="preserve">General Conditions (GC), </w:t>
            </w:r>
          </w:p>
          <w:p w14:paraId="08BA31FB" w14:textId="77777777" w:rsidR="00507C15" w:rsidRPr="00316837" w:rsidRDefault="00507C15" w:rsidP="00A40D3F">
            <w:pPr>
              <w:numPr>
                <w:ilvl w:val="0"/>
                <w:numId w:val="35"/>
              </w:numPr>
              <w:spacing w:before="120" w:after="120"/>
              <w:jc w:val="left"/>
              <w:rPr>
                <w:rFonts w:eastAsia="Calibri"/>
                <w:sz w:val="18"/>
                <w:szCs w:val="18"/>
              </w:rPr>
            </w:pPr>
            <w:r w:rsidRPr="00316837">
              <w:rPr>
                <w:rFonts w:eastAsia="Calibri"/>
                <w:sz w:val="18"/>
                <w:szCs w:val="18"/>
              </w:rPr>
              <w:t xml:space="preserve">Planning Code (PC), </w:t>
            </w:r>
          </w:p>
          <w:p w14:paraId="6A1C0CE0" w14:textId="77777777" w:rsidR="00507C15" w:rsidRPr="00316837" w:rsidRDefault="00507C15" w:rsidP="00A40D3F">
            <w:pPr>
              <w:numPr>
                <w:ilvl w:val="0"/>
                <w:numId w:val="35"/>
              </w:numPr>
              <w:spacing w:before="120" w:after="120"/>
              <w:jc w:val="left"/>
              <w:rPr>
                <w:rFonts w:eastAsia="Calibri"/>
                <w:sz w:val="18"/>
                <w:szCs w:val="18"/>
              </w:rPr>
            </w:pPr>
            <w:r w:rsidRPr="00316837">
              <w:rPr>
                <w:rFonts w:eastAsia="Calibri"/>
                <w:sz w:val="18"/>
                <w:szCs w:val="18"/>
              </w:rPr>
              <w:t xml:space="preserve">Connections Code (CC), </w:t>
            </w:r>
          </w:p>
          <w:p w14:paraId="5126CB09" w14:textId="77777777" w:rsidR="00507C15" w:rsidRPr="00316837" w:rsidRDefault="00507C15" w:rsidP="00A40D3F">
            <w:pPr>
              <w:numPr>
                <w:ilvl w:val="0"/>
                <w:numId w:val="35"/>
              </w:numPr>
              <w:spacing w:before="120" w:after="120"/>
              <w:jc w:val="left"/>
              <w:rPr>
                <w:rFonts w:eastAsia="Calibri"/>
                <w:sz w:val="18"/>
                <w:szCs w:val="18"/>
              </w:rPr>
            </w:pPr>
            <w:r w:rsidRPr="00316837">
              <w:rPr>
                <w:rFonts w:eastAsia="Calibri"/>
                <w:sz w:val="18"/>
                <w:szCs w:val="18"/>
              </w:rPr>
              <w:t xml:space="preserve">Operations Codes (OC), </w:t>
            </w:r>
          </w:p>
          <w:p w14:paraId="5847F40E" w14:textId="77777777" w:rsidR="00507C15" w:rsidRPr="00316837" w:rsidRDefault="00507C15" w:rsidP="00A40D3F">
            <w:pPr>
              <w:numPr>
                <w:ilvl w:val="0"/>
                <w:numId w:val="35"/>
              </w:numPr>
              <w:spacing w:before="120" w:after="120"/>
              <w:jc w:val="left"/>
              <w:rPr>
                <w:rFonts w:eastAsia="Calibri"/>
                <w:sz w:val="18"/>
                <w:szCs w:val="18"/>
              </w:rPr>
            </w:pPr>
            <w:r w:rsidRPr="00316837">
              <w:rPr>
                <w:rFonts w:eastAsia="Calibri"/>
                <w:sz w:val="18"/>
                <w:szCs w:val="18"/>
              </w:rPr>
              <w:t xml:space="preserve">Interchange Scheduling and Balancing Codes (ISBC), </w:t>
            </w:r>
          </w:p>
          <w:p w14:paraId="5B6AAA7B" w14:textId="77777777" w:rsidR="00507C15" w:rsidRPr="00316837" w:rsidRDefault="00507C15" w:rsidP="00A40D3F">
            <w:pPr>
              <w:numPr>
                <w:ilvl w:val="0"/>
                <w:numId w:val="35"/>
              </w:numPr>
              <w:spacing w:before="120" w:after="120"/>
              <w:jc w:val="left"/>
              <w:rPr>
                <w:rFonts w:eastAsia="Calibri"/>
                <w:sz w:val="18"/>
                <w:szCs w:val="18"/>
              </w:rPr>
            </w:pPr>
            <w:r w:rsidRPr="00316837">
              <w:rPr>
                <w:rFonts w:eastAsia="Calibri"/>
                <w:sz w:val="18"/>
                <w:szCs w:val="18"/>
              </w:rPr>
              <w:t xml:space="preserve">Data Exchange Code (DEC), </w:t>
            </w:r>
          </w:p>
          <w:p w14:paraId="261B1204" w14:textId="77777777" w:rsidR="00507C15" w:rsidRPr="00316837" w:rsidRDefault="00507C15" w:rsidP="00A40D3F">
            <w:pPr>
              <w:numPr>
                <w:ilvl w:val="0"/>
                <w:numId w:val="35"/>
              </w:numPr>
              <w:spacing w:before="120" w:after="120"/>
              <w:jc w:val="left"/>
              <w:rPr>
                <w:rFonts w:eastAsia="Calibri"/>
                <w:sz w:val="18"/>
                <w:szCs w:val="18"/>
              </w:rPr>
            </w:pPr>
            <w:r w:rsidRPr="00316837">
              <w:rPr>
                <w:rFonts w:eastAsia="Calibri"/>
                <w:sz w:val="18"/>
                <w:szCs w:val="18"/>
              </w:rPr>
              <w:t xml:space="preserve">Metering Code (MC), and </w:t>
            </w:r>
          </w:p>
          <w:p w14:paraId="778EFB6A" w14:textId="77777777" w:rsidR="00507C15" w:rsidRPr="00316837" w:rsidRDefault="00507C15" w:rsidP="00A40D3F">
            <w:pPr>
              <w:numPr>
                <w:ilvl w:val="0"/>
                <w:numId w:val="35"/>
              </w:numPr>
              <w:spacing w:before="120" w:after="120"/>
              <w:jc w:val="left"/>
              <w:rPr>
                <w:rFonts w:eastAsia="Calibri"/>
                <w:sz w:val="18"/>
                <w:szCs w:val="18"/>
              </w:rPr>
            </w:pPr>
            <w:r w:rsidRPr="00316837">
              <w:rPr>
                <w:rFonts w:eastAsia="Calibri"/>
                <w:sz w:val="18"/>
                <w:szCs w:val="18"/>
              </w:rPr>
              <w:t xml:space="preserve">System Operator Training Code (SOTC). </w:t>
            </w:r>
          </w:p>
          <w:p w14:paraId="43501B27"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It aims at implementing common standards for satisfactory operational security, reliability, and quality of supply in the Interconnected Transmission System, and define responsibilities for its operation and management. Its standards and measures clearly specify what is required of EAPP member states/utilities and what evidence is needed to determine whether an entity is in compliance with the each of the requirements set out in the Code. It also ensures that system operators are trained and authorised to take necessary actions to maintain reliable grid operation. </w:t>
            </w:r>
          </w:p>
          <w:p w14:paraId="732E7491"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For example, it requires that transmission licensees and the Coordination Centre establish metering related policies, procedures and standards including, but not limited to registration, testing and calibration, sealing, loss adjustments, data security, inspection, testing and audit of metering equipment and measurement error correction. The loss adjustment factors including circuit losses to be applied are contained in the meter information register. </w:t>
            </w:r>
          </w:p>
          <w:p w14:paraId="583AD0DE"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Gap analysis were performed on several occasions. </w:t>
            </w:r>
          </w:p>
        </w:tc>
      </w:tr>
      <w:tr w:rsidR="00507C15" w:rsidRPr="00316837" w14:paraId="4D663F56" w14:textId="77777777" w:rsidTr="00A40D3F">
        <w:tc>
          <w:tcPr>
            <w:tcW w:w="258" w:type="pct"/>
          </w:tcPr>
          <w:p w14:paraId="34094EFB"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6</w:t>
            </w:r>
          </w:p>
        </w:tc>
        <w:tc>
          <w:tcPr>
            <w:tcW w:w="1370" w:type="pct"/>
          </w:tcPr>
          <w:p w14:paraId="6427C813"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Market Guidelines, 2014</w:t>
            </w:r>
          </w:p>
        </w:tc>
        <w:tc>
          <w:tcPr>
            <w:tcW w:w="3372" w:type="pct"/>
          </w:tcPr>
          <w:p w14:paraId="65337963"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Market Guidelines, as a high-level document, cover the overall guidelines for market design and govern the commercial transactions pertaining to cross-border flows of electricity that utilise transmission lines and associated assets of the interconnected system of EAPP as defined within the 2014 Grid Code (i.e. the 2014 Interconnection Code). </w:t>
            </w:r>
          </w:p>
          <w:p w14:paraId="02C4A7CE"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Guidelines’ scope is to form the overall guidelines upon which commercial exchange of electricity between all EAPP member states and utilities shall be conducted. Several types of physically electricity trading can be designed, including day-ahead, intraday, etc. These Guidelines stipulate the guidelines for the day-ahead market. As new types of electricity trading are introduced in the course of the development of the EAPP regional electricity market, these </w:t>
            </w:r>
            <w:r w:rsidRPr="00316837">
              <w:rPr>
                <w:rFonts w:eastAsia="Calibri" w:cs="Arial"/>
                <w:sz w:val="18"/>
                <w:szCs w:val="18"/>
              </w:rPr>
              <w:lastRenderedPageBreak/>
              <w:t xml:space="preserve">Guideline will be amended to introduce principles for the new types of trade. As far as transportation is concerned, these Guidelines call for third party access to transmission capacity, and ask for identification of total transfer capacity, long- and medium-term availability forecast, manner of capacity determination, firmness of capacity, and daily procedure for determining and notifying available capacity. </w:t>
            </w:r>
          </w:p>
        </w:tc>
      </w:tr>
      <w:tr w:rsidR="00507C15" w:rsidRPr="00316837" w14:paraId="0B917FB3" w14:textId="77777777" w:rsidTr="00A40D3F">
        <w:tc>
          <w:tcPr>
            <w:tcW w:w="258" w:type="pct"/>
          </w:tcPr>
          <w:p w14:paraId="6698943E"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lastRenderedPageBreak/>
              <w:t>7</w:t>
            </w:r>
          </w:p>
        </w:tc>
        <w:tc>
          <w:tcPr>
            <w:tcW w:w="1370" w:type="pct"/>
          </w:tcPr>
          <w:p w14:paraId="067C02BE"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Day-Ahead Trading Rules, 2014 </w:t>
            </w:r>
          </w:p>
        </w:tc>
        <w:tc>
          <w:tcPr>
            <w:tcW w:w="3372" w:type="pct"/>
          </w:tcPr>
          <w:p w14:paraId="5E81DBEF"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These Trading Rules detail the day-ahead market rules which govern the commercial day-ahead transactions operated by the Coordination Centre. </w:t>
            </w:r>
          </w:p>
          <w:p w14:paraId="36DF4068"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Rules’ scope is to address the detailed rules for the short-term market of daily exchange of electricity that is coordinated by the Coordination Centre. </w:t>
            </w:r>
          </w:p>
          <w:p w14:paraId="2DB6B4CB"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Chapter 1 (Introduction) defines the authority of the day-ahead trading rules; scope of the day-ahead trading rules; the trading appendices; notices; maintenance of the day-ahead trading rules; assessing a change to the day-ahead trading rules; force majeure; general provisions; conditions for trading; representation and warranties; representations by the participating enterprise; representations by the Coordination Centre; listing of products; and trading facilities. </w:t>
            </w:r>
          </w:p>
          <w:p w14:paraId="55428F82"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Chapter 2 (The EAPP Day-Ahead Trading Rules) details the general clauses; registration of orders; quoting; price range; gate closure; order amendments; order formats; matching; procedure in case of non-matching; reports; handling of errors; and auction delay or failure. </w:t>
            </w:r>
          </w:p>
          <w:p w14:paraId="75885E2B"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Chapter 3 (Addendums) contains Annexes on the definitions; day-ahead electricity trading algorithm; product specification; market conduit; clearing; fee schedules; and participant agreement. </w:t>
            </w:r>
          </w:p>
        </w:tc>
      </w:tr>
      <w:tr w:rsidR="00507C15" w:rsidRPr="00316837" w14:paraId="1551DD1A" w14:textId="77777777" w:rsidTr="00A40D3F">
        <w:tc>
          <w:tcPr>
            <w:tcW w:w="258" w:type="pct"/>
          </w:tcPr>
          <w:p w14:paraId="67DCB50A"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8</w:t>
            </w:r>
          </w:p>
        </w:tc>
        <w:tc>
          <w:tcPr>
            <w:tcW w:w="1370" w:type="pct"/>
          </w:tcPr>
          <w:p w14:paraId="191A379F"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Daily Procedures for Capacity Allocation, Market Operations and Cross-Border Nominations, 2014 </w:t>
            </w:r>
          </w:p>
        </w:tc>
        <w:tc>
          <w:tcPr>
            <w:tcW w:w="3372" w:type="pct"/>
          </w:tcPr>
          <w:p w14:paraId="1DD49353"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Daily Procedures is a document which outlines the daily procedures for the market operator (the Coordination Centre), transmission system operators and producers. The Procedures relate to the daily coordination of events for capacity allocation, day-ahead market operation, and cross-border nominations. </w:t>
            </w:r>
          </w:p>
          <w:p w14:paraId="7F249258"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Chapter 1 (Introduction) defines the authority; sets out the methods by which the notices and communications are given; and allocates responsibility for maintenance of the rules. </w:t>
            </w:r>
          </w:p>
          <w:p w14:paraId="390F26D7"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Chapter 2 (D-1 NTC, ATC and Day-Ahead Trading Rules) focuses on the procedures at TSOs. </w:t>
            </w:r>
          </w:p>
        </w:tc>
      </w:tr>
      <w:tr w:rsidR="00507C15" w:rsidRPr="00316837" w14:paraId="08C7B42D" w14:textId="77777777" w:rsidTr="00A40D3F">
        <w:tc>
          <w:tcPr>
            <w:tcW w:w="258" w:type="pct"/>
          </w:tcPr>
          <w:p w14:paraId="009BDD81"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9</w:t>
            </w:r>
          </w:p>
        </w:tc>
        <w:tc>
          <w:tcPr>
            <w:tcW w:w="1370" w:type="pct"/>
          </w:tcPr>
          <w:p w14:paraId="768D5409"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EAPP Short-Term Market and Update of Market Road Map, 2014 </w:t>
            </w:r>
          </w:p>
        </w:tc>
        <w:tc>
          <w:tcPr>
            <w:tcW w:w="3372" w:type="pct"/>
          </w:tcPr>
          <w:p w14:paraId="26DDC3A0"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This document firstly outlines the framework characterising and governing the EAPP short-term cross-border market for cross-border day-ahead electricity trade. It provides the basic model for short-term electricity trade; defines how trade shall be organised and how roles and responsibilities shall be allocated; includes findings from the EAPP pilot project for short-term shadow trading; and estimates the virtual gains from short-term trade. </w:t>
            </w:r>
          </w:p>
          <w:p w14:paraId="24A694CA"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Secondly, the document outlines the Update of the existing Market Road Map, and elaborates on the first stage of the suggested marked development; proposes next steps; and lists barriers for turning the shadow trade into real trade, i.e. for implementing physical short-term electricity trade in EAPP as seen by the EAPP Technical Sub-Committee of Operation. </w:t>
            </w:r>
          </w:p>
          <w:p w14:paraId="25A6BDAF"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Market Road Map focuses on the day-ahead market for which market operation platform has been envisaged and named EAPP DAM (EAPP Day-Ahead Market). The platform is supposed to receive bids in the form of hourly bids for demand and generation and to compute prices for multiple price areas based on available transmission capacity. It is also supposed to enable a generation of aggregated and detailed statistical information with hourly, daily, </w:t>
            </w:r>
            <w:r w:rsidRPr="00316837">
              <w:rPr>
                <w:rFonts w:eastAsia="Calibri" w:cs="Arial"/>
                <w:sz w:val="18"/>
                <w:szCs w:val="18"/>
              </w:rPr>
              <w:lastRenderedPageBreak/>
              <w:t xml:space="preserve">weekly, monthly, and yearly resolution. The platform is expected to serve for the purposes of real operation as well as for the training purposes. </w:t>
            </w:r>
          </w:p>
        </w:tc>
      </w:tr>
    </w:tbl>
    <w:p w14:paraId="3A017EF2" w14:textId="2E75166E" w:rsidR="00507C15" w:rsidRDefault="00507C15" w:rsidP="006D5907">
      <w:pPr>
        <w:rPr>
          <w:rFonts w:eastAsia="Calibri"/>
        </w:rPr>
      </w:pPr>
    </w:p>
    <w:p w14:paraId="0BE0AE7B" w14:textId="77777777" w:rsidR="00507C15" w:rsidRDefault="00507C15" w:rsidP="006D5907">
      <w:pPr>
        <w:rPr>
          <w:rFonts w:eastAsia="Calibri"/>
        </w:rPr>
        <w:sectPr w:rsidR="00507C15" w:rsidSect="00A3058D">
          <w:pgSz w:w="11907" w:h="16839" w:code="9"/>
          <w:pgMar w:top="510" w:right="1134" w:bottom="964" w:left="1134" w:header="720" w:footer="567" w:gutter="0"/>
          <w:cols w:space="720"/>
          <w:formProt w:val="0"/>
          <w:docGrid w:linePitch="286"/>
        </w:sectPr>
      </w:pPr>
    </w:p>
    <w:p w14:paraId="596B39BF" w14:textId="59A9BC7D" w:rsidR="00507C15" w:rsidRPr="00316837" w:rsidRDefault="00507C15" w:rsidP="006273BD">
      <w:pPr>
        <w:pStyle w:val="Heading2"/>
      </w:pPr>
      <w:bookmarkStart w:id="238" w:name="_Ref77255364"/>
      <w:bookmarkStart w:id="239" w:name="_Toc77260339"/>
      <w:r w:rsidRPr="00C632F6">
        <w:lastRenderedPageBreak/>
        <w:t xml:space="preserve">Legal and regulatory basis for electricity trading in Central Africa under </w:t>
      </w:r>
      <w:r>
        <w:t>CAPP</w:t>
      </w:r>
      <w:bookmarkEnd w:id="238"/>
      <w:bookmarkEnd w:id="239"/>
      <w:r>
        <w:t xml:space="preserve"> </w:t>
      </w:r>
    </w:p>
    <w:tbl>
      <w:tblPr>
        <w:tblStyle w:val="TableGrid"/>
        <w:tblW w:w="5000" w:type="pct"/>
        <w:tblLook w:val="04A0" w:firstRow="1" w:lastRow="0" w:firstColumn="1" w:lastColumn="0" w:noHBand="0" w:noVBand="1"/>
      </w:tblPr>
      <w:tblGrid>
        <w:gridCol w:w="506"/>
        <w:gridCol w:w="2633"/>
        <w:gridCol w:w="6490"/>
      </w:tblGrid>
      <w:tr w:rsidR="00507C15" w:rsidRPr="00A40D3F" w14:paraId="33A655CB" w14:textId="77777777" w:rsidTr="00A40D3F">
        <w:tc>
          <w:tcPr>
            <w:tcW w:w="258" w:type="pct"/>
            <w:shd w:val="clear" w:color="auto" w:fill="F2F2F2" w:themeFill="background1" w:themeFillShade="F2"/>
          </w:tcPr>
          <w:p w14:paraId="019342C3"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No.</w:t>
            </w:r>
          </w:p>
        </w:tc>
        <w:tc>
          <w:tcPr>
            <w:tcW w:w="1370" w:type="pct"/>
            <w:shd w:val="clear" w:color="auto" w:fill="F2F2F2" w:themeFill="background1" w:themeFillShade="F2"/>
          </w:tcPr>
          <w:p w14:paraId="0974D54F"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Document</w:t>
            </w:r>
          </w:p>
        </w:tc>
        <w:tc>
          <w:tcPr>
            <w:tcW w:w="3372" w:type="pct"/>
            <w:shd w:val="clear" w:color="auto" w:fill="F2F2F2" w:themeFill="background1" w:themeFillShade="F2"/>
          </w:tcPr>
          <w:p w14:paraId="62280074"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 xml:space="preserve">Description </w:t>
            </w:r>
          </w:p>
        </w:tc>
      </w:tr>
      <w:tr w:rsidR="00507C15" w:rsidRPr="00316837" w14:paraId="18A361EE" w14:textId="77777777" w:rsidTr="00A40D3F">
        <w:tc>
          <w:tcPr>
            <w:tcW w:w="258" w:type="pct"/>
          </w:tcPr>
          <w:p w14:paraId="0F362145"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1</w:t>
            </w:r>
          </w:p>
        </w:tc>
        <w:tc>
          <w:tcPr>
            <w:tcW w:w="1370" w:type="pct"/>
          </w:tcPr>
          <w:p w14:paraId="2AA70359"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Inter-Governmental Framework Agreement Establishing the Central African Power Pool as a Specialised Agency of ECCAS, 2003 </w:t>
            </w:r>
          </w:p>
        </w:tc>
        <w:tc>
          <w:tcPr>
            <w:tcW w:w="3372" w:type="pct"/>
          </w:tcPr>
          <w:p w14:paraId="64383869"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Arranges for the creation, within ECCAS, of CAPP as a framework for sub-regional integration for the exchanges of electricity. </w:t>
            </w:r>
          </w:p>
          <w:p w14:paraId="5BD8EE22"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Defines the CAPP’s main objectives, seat/headquarters, and obligations of the parties. </w:t>
            </w:r>
          </w:p>
          <w:p w14:paraId="2C346DF6"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Sets out the CAPP’s governing structures and defines their powers. </w:t>
            </w:r>
          </w:p>
          <w:p w14:paraId="726B4783"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Directs the parties to cooperate in the event of a dispute, with a view to find an amicable solution. Failing this, direct them to submit the dispute to an arbitral tribunal which will rule in accordance with the rules of the United Nations Law Commission. Decisions of the arbitral tribunal are binding and binding on all the parties. </w:t>
            </w:r>
          </w:p>
        </w:tc>
      </w:tr>
      <w:tr w:rsidR="00507C15" w:rsidRPr="00316837" w14:paraId="4AE47155" w14:textId="77777777" w:rsidTr="00A40D3F">
        <w:tc>
          <w:tcPr>
            <w:tcW w:w="258" w:type="pct"/>
          </w:tcPr>
          <w:p w14:paraId="4EF0AC52"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2</w:t>
            </w:r>
          </w:p>
        </w:tc>
        <w:tc>
          <w:tcPr>
            <w:tcW w:w="1370" w:type="pct"/>
          </w:tcPr>
          <w:p w14:paraId="020F9CDC"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Inter-Utility Agreement, 2003 </w:t>
            </w:r>
          </w:p>
        </w:tc>
        <w:tc>
          <w:tcPr>
            <w:tcW w:w="3372" w:type="pct"/>
          </w:tcPr>
          <w:p w14:paraId="2C0159F2"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Sets out the CAPP’s objectives. Defines the order of priority of the documents governing CAPP. Defines the conditions of membership and dealings with non-members. Defines the responsibility for interconnected electricity infrastructure. Defines the CAPP’s structure and responsibilities of the CAPP bodies. Details the responsibilities of the Technical Sub-Committees. Details the functioning of the CAPP’s organs. Defines the sources of financing. </w:t>
            </w:r>
          </w:p>
        </w:tc>
      </w:tr>
      <w:tr w:rsidR="00507C15" w:rsidRPr="00316837" w14:paraId="7635D781" w14:textId="77777777" w:rsidTr="00A40D3F">
        <w:tc>
          <w:tcPr>
            <w:tcW w:w="258" w:type="pct"/>
          </w:tcPr>
          <w:p w14:paraId="38DCA13F"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3</w:t>
            </w:r>
          </w:p>
        </w:tc>
        <w:tc>
          <w:tcPr>
            <w:tcW w:w="1370" w:type="pct"/>
          </w:tcPr>
          <w:p w14:paraId="0322BFCA"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Headquarters Agreement Between CAPP and the Republic of Congo </w:t>
            </w:r>
          </w:p>
        </w:tc>
        <w:tc>
          <w:tcPr>
            <w:tcW w:w="3372" w:type="pct"/>
          </w:tcPr>
          <w:p w14:paraId="672449F3"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Arranges legal personality for CAPP with the seat in Brazzaville, the Republic of Congo. </w:t>
            </w:r>
          </w:p>
        </w:tc>
      </w:tr>
      <w:tr w:rsidR="00507C15" w:rsidRPr="00316837" w14:paraId="260C2D7A" w14:textId="77777777" w:rsidTr="00A40D3F">
        <w:tc>
          <w:tcPr>
            <w:tcW w:w="258" w:type="pct"/>
          </w:tcPr>
          <w:p w14:paraId="0A9953BF"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4</w:t>
            </w:r>
          </w:p>
        </w:tc>
        <w:tc>
          <w:tcPr>
            <w:tcW w:w="1370" w:type="pct"/>
          </w:tcPr>
          <w:p w14:paraId="372E7ECF"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Decision of the Conference of ECCAS Heads of State and Government No. 15/CEEAC/CCEG/XIV/09 on the adoption of the Central African Electricity Market Code, 2009 </w:t>
            </w:r>
          </w:p>
        </w:tc>
        <w:tc>
          <w:tcPr>
            <w:tcW w:w="3372" w:type="pct"/>
          </w:tcPr>
          <w:p w14:paraId="0DC39C6D"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This instrument provides an incentive legal and regulatory framework for investments in the electricity sector. </w:t>
            </w:r>
          </w:p>
          <w:p w14:paraId="2454B12E"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It aims at promoting cross-border exchanges in electricity in the ECCAS Region by: </w:t>
            </w:r>
          </w:p>
          <w:p w14:paraId="601DF24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establishing the principles governing the generation, transmission, distribution, import, export, transit, sale of electricity and system and related services, </w:t>
            </w:r>
          </w:p>
          <w:p w14:paraId="77E53D7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specifying the principles for ensuring an adequate level of security of electricity supply and investment in infrastructure, </w:t>
            </w:r>
          </w:p>
          <w:p w14:paraId="3074526E"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specifying the principles of control and regulation of the electricity sector's activities, </w:t>
            </w:r>
          </w:p>
          <w:p w14:paraId="798B090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determining the rules for the protection of the environment and the interests of consumers, </w:t>
            </w:r>
          </w:p>
          <w:p w14:paraId="65E5F47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determining the conditions for the supply of electricity and security of services and </w:t>
            </w:r>
          </w:p>
          <w:p w14:paraId="41E01F38"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encouraging private initiative and the establishment of a competition regime in the electricity sector. </w:t>
            </w:r>
          </w:p>
          <w:p w14:paraId="4E1A84B4" w14:textId="77777777" w:rsidR="00507C15" w:rsidRPr="00316837" w:rsidRDefault="00507C15" w:rsidP="00A40D3F">
            <w:pPr>
              <w:spacing w:before="120" w:after="120"/>
              <w:jc w:val="left"/>
              <w:rPr>
                <w:rFonts w:eastAsia="Calibri" w:cs="Arial"/>
                <w:sz w:val="18"/>
                <w:szCs w:val="18"/>
              </w:rPr>
            </w:pPr>
            <w:r w:rsidRPr="00316837">
              <w:rPr>
                <w:rFonts w:eastAsia="Calibri" w:cs="Arial"/>
                <w:i/>
                <w:iCs/>
                <w:sz w:val="18"/>
                <w:szCs w:val="18"/>
              </w:rPr>
              <w:t>Inter alia</w:t>
            </w:r>
            <w:r w:rsidRPr="00316837">
              <w:rPr>
                <w:rFonts w:eastAsia="Calibri" w:cs="Arial"/>
                <w:sz w:val="18"/>
                <w:szCs w:val="18"/>
              </w:rPr>
              <w:t xml:space="preserve">, it asks for aligned: </w:t>
            </w:r>
          </w:p>
          <w:p w14:paraId="6A61D3AA"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general organisation of the electricity sector </w:t>
            </w:r>
            <w:r w:rsidRPr="00316837">
              <w:rPr>
                <w:rFonts w:ascii="Arial" w:eastAsia="Calibri" w:hAnsi="Arial" w:cs="Arial"/>
                <w:i/>
                <w:iCs/>
                <w:sz w:val="18"/>
                <w:szCs w:val="18"/>
                <w:lang w:val="en-GB"/>
              </w:rPr>
              <w:t>vis-à-vis</w:t>
            </w:r>
            <w:r w:rsidRPr="00316837">
              <w:rPr>
                <w:rFonts w:ascii="Arial" w:eastAsia="Calibri" w:hAnsi="Arial" w:cs="Arial"/>
                <w:sz w:val="18"/>
                <w:szCs w:val="18"/>
                <w:lang w:val="en-GB"/>
              </w:rPr>
              <w:t xml:space="preserve"> public service obligations and consumer protection, monitoring of security of supply, technical requirements, and national regulatory bodies and regional regulation, </w:t>
            </w:r>
          </w:p>
          <w:p w14:paraId="46021EA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promotion and protection of investments through sovereignty over natural resources convertible into electricity, ownership and legal regime of </w:t>
            </w:r>
            <w:r w:rsidRPr="00316837">
              <w:rPr>
                <w:rFonts w:ascii="Arial" w:eastAsia="Calibri" w:hAnsi="Arial" w:cs="Arial"/>
                <w:sz w:val="18"/>
                <w:szCs w:val="18"/>
                <w:lang w:val="en-GB"/>
              </w:rPr>
              <w:lastRenderedPageBreak/>
              <w:t xml:space="preserve">electrical infrastructure, promotion of private investment, protection of private investment, treatment of staff of private investors, transfer of capital relating to private investment, subrogation, fiscal and customs framework, </w:t>
            </w:r>
          </w:p>
          <w:p w14:paraId="5A5E330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trade in electricity and system and related services </w:t>
            </w:r>
            <w:r w:rsidRPr="00316837">
              <w:rPr>
                <w:rFonts w:ascii="Arial" w:eastAsia="Calibri" w:hAnsi="Arial" w:cs="Arial"/>
                <w:i/>
                <w:iCs/>
                <w:sz w:val="18"/>
                <w:szCs w:val="18"/>
                <w:lang w:val="en-GB"/>
              </w:rPr>
              <w:t>vis-à-vis</w:t>
            </w:r>
            <w:r w:rsidRPr="00316837">
              <w:rPr>
                <w:rFonts w:ascii="Arial" w:eastAsia="Calibri" w:hAnsi="Arial" w:cs="Arial"/>
                <w:sz w:val="18"/>
                <w:szCs w:val="18"/>
                <w:lang w:val="en-GB"/>
              </w:rPr>
              <w:t xml:space="preserve"> national electricity policy, national legal and regulatory frameworks for electricity, investment planning in the electricity sector, liberalisation of electricity trade and transmission and related services between CAPP member states through interconnected networks, possible limitations, and non-discrimination with respect to origin, destination or ownership of electricity, definition and implementation of competition rules, limits on free competition, </w:t>
            </w:r>
          </w:p>
          <w:p w14:paraId="6AD9396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protection of environment and development of energy efficiency by taking environmental consideration into account and developing energy efficiency, </w:t>
            </w:r>
          </w:p>
          <w:p w14:paraId="2A7C5A1F"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performing electricity activities of generation, transmission, distribution and supply through appointment of operators of power plants owned by a public body, authorisation procedures for new generation capacities, tenders for new generation capacities, and appointment, obligations and independence of operators of transmission and distribution systems, </w:t>
            </w:r>
          </w:p>
          <w:p w14:paraId="7F9A1D2B"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transparency of accounting and accounting unbundling from the viewpoint of right of access to accounting and accounting unbundling, </w:t>
            </w:r>
          </w:p>
          <w:p w14:paraId="565DE68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access to interconnected networks </w:t>
            </w:r>
            <w:r w:rsidRPr="00316837">
              <w:rPr>
                <w:rFonts w:ascii="Arial" w:eastAsia="Calibri" w:hAnsi="Arial" w:cs="Arial"/>
                <w:i/>
                <w:iCs/>
                <w:sz w:val="18"/>
                <w:szCs w:val="18"/>
                <w:lang w:val="en-GB"/>
              </w:rPr>
              <w:t>vis-à-vis</w:t>
            </w:r>
            <w:r w:rsidRPr="00316837">
              <w:rPr>
                <w:rFonts w:ascii="Arial" w:eastAsia="Calibri" w:hAnsi="Arial" w:cs="Arial"/>
                <w:sz w:val="18"/>
                <w:szCs w:val="18"/>
                <w:lang w:val="en-GB"/>
              </w:rPr>
              <w:t xml:space="preserve"> access by third parties, market opening and reciprocity, direct lines, inter-TSO compensation mechanism, network access charges, information on interconnection capacities, congestion management, new interconnections, information and confidentiality, monitoring of import / export flows of electricity, </w:t>
            </w:r>
          </w:p>
          <w:p w14:paraId="6B61455F"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regional electricity network projects of common interest through qualification and prioritisation of projects of common interest, </w:t>
            </w:r>
          </w:p>
          <w:p w14:paraId="0DAF2B2D"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security of supply, including operational security, maintenance of supply and demand balance, investment security, </w:t>
            </w:r>
          </w:p>
          <w:p w14:paraId="141812ED"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offenses, sanctions and settlement of disputes. </w:t>
            </w:r>
          </w:p>
          <w:p w14:paraId="7A9ABCB3"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Its implementation will reduce the divergences between different national legal frameworks through harmonisation of the rules, procedures and practices in the electricity sector in the Central Africa Region. </w:t>
            </w:r>
          </w:p>
          <w:p w14:paraId="1D461E7C"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In addition, its implementation will also strengthen the protection of investors – public or private – in the electricity sector while reaffirming the need to preserve the environment and the ecosystems of CAPP member states. </w:t>
            </w:r>
          </w:p>
        </w:tc>
      </w:tr>
      <w:tr w:rsidR="00507C15" w:rsidRPr="00316837" w14:paraId="7B1140E2" w14:textId="77777777" w:rsidTr="00A40D3F">
        <w:tc>
          <w:tcPr>
            <w:tcW w:w="258" w:type="pct"/>
          </w:tcPr>
          <w:p w14:paraId="3C395E2A"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lastRenderedPageBreak/>
              <w:t>5</w:t>
            </w:r>
          </w:p>
        </w:tc>
        <w:tc>
          <w:tcPr>
            <w:tcW w:w="1370" w:type="pct"/>
          </w:tcPr>
          <w:p w14:paraId="7FDE379D"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Code for Operation of Interconnected Electrical Networks in Central Africa, 2012 (The CAPP Permanent Secretariat, supported by EuropeAid126679/C/SER/CG; currently under revision by the yearend 2021) </w:t>
            </w:r>
          </w:p>
        </w:tc>
        <w:tc>
          <w:tcPr>
            <w:tcW w:w="3372" w:type="pct"/>
          </w:tcPr>
          <w:p w14:paraId="0B087162"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This Code lays the foundations for future operation since the interconnection of electricity grids in Central Africa is only at an embryonic stage (it should be kept in mind that although the process of deregulation is underway in most of CAPP member states, national TSOs do not yet exist in most of them). It is formulated in such a way as to facilitate transposition at the national level. </w:t>
            </w:r>
          </w:p>
          <w:p w14:paraId="5DF26D14"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It defines the actions and interactions between the network manager and users, in order to ensure optimal use of the network, adequate and secure transport of electrical energy and better security supply through: </w:t>
            </w:r>
          </w:p>
          <w:p w14:paraId="384F861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adequate and economical ancillary services, </w:t>
            </w:r>
          </w:p>
          <w:p w14:paraId="5DD8C4F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control of frequency and operating reserve, </w:t>
            </w:r>
          </w:p>
          <w:p w14:paraId="600883E1"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voltage control, </w:t>
            </w:r>
          </w:p>
          <w:p w14:paraId="41B8344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black start capability, </w:t>
            </w:r>
          </w:p>
          <w:p w14:paraId="52B9F34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lastRenderedPageBreak/>
              <w:t xml:space="preserve">restoration strategy adopted by the network manager in the event of a feeding shutdown (partial or total), </w:t>
            </w:r>
          </w:p>
          <w:p w14:paraId="42B6340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forward-looking management procedures, </w:t>
            </w:r>
          </w:p>
          <w:p w14:paraId="62F6861F"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provision of information relating to network risks and events in transmission, </w:t>
            </w:r>
          </w:p>
          <w:p w14:paraId="26843917"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development of actions to be taken by the network manager in order to achieve economical dispatch and enable users’ orders for the D-Day, and </w:t>
            </w:r>
          </w:p>
          <w:p w14:paraId="398EFB6D"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definition of the notification requirements for malfunctions and unavailability of generation units. </w:t>
            </w:r>
          </w:p>
          <w:p w14:paraId="3D5056CB"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It starts by defining tasks and obligations of the network operator, including the communication of information, the right of access to physical installations, the behaviour in emergency situations, etc. </w:t>
            </w:r>
          </w:p>
          <w:p w14:paraId="4E1E8D8D"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Then it continues by defining: </w:t>
            </w:r>
          </w:p>
          <w:p w14:paraId="052931F8"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regulation and performance of frequency and power, where it sets goals and basic principles for primary frequency regulation, secondary regulation for adjustment of control zone balance, compensation for imbalances, tertiary adjustment, voltage and reactive power adjustment, and quality adjustment, </w:t>
            </w:r>
          </w:p>
          <w:p w14:paraId="186E9F1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ancillary services, where it focuses on black start capability and congestion management, </w:t>
            </w:r>
          </w:p>
          <w:p w14:paraId="66DAA87F"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load shedding, where it explains activation principle, procedure for protection from unforeseen events, procedure in case of shortage, management of required quantities of power to shed, and customer prioritisation, </w:t>
            </w:r>
          </w:p>
          <w:p w14:paraId="6D7EFA3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emergency and restoration procedures, where it specifies general network restoration strategy, emergency operation and management of disturbances, network restoration, and emergency control centre, </w:t>
            </w:r>
          </w:p>
          <w:p w14:paraId="3B52B16E"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operation planning, where it specifies the technique, design, exchange of information and procedures to be applied by the network operator to appropriate operation of the network in the short- and medium-term, defines staff functions, and determines data required for operation planning, </w:t>
            </w:r>
          </w:p>
          <w:p w14:paraId="6E6D968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data exchange, where it defines components of information exchange in order to take into consideration any operational error and / or electrical network event in the operation of the network, and introduces obligation to notify, notification of a transaction and transaction notification form, recording of a transaction, timing, notification of an event and event notification form, recording of an event, operational communication and backup of data, communication infrastructure, SCADA, voice communication means, and standards for communication, </w:t>
            </w:r>
          </w:p>
          <w:p w14:paraId="7D33F95A"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planning and provisional management of exchanges in electricity, where it provides producers with the management programme for generation on D-day, so that the generation units are available at the right time, in order to allow the network operator to distribute them by maintaining the operating reserve at the required level, and defines data and process and forward-looking management of exchanges, </w:t>
            </w:r>
          </w:p>
          <w:p w14:paraId="4DF1E2E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coordination of stops, where it defines requirements for formal notification of judgments by producers to the network manager, and introduces scheduling of stops, procedures for changes of schedules, and additional information to notify, </w:t>
            </w:r>
          </w:p>
          <w:p w14:paraId="539AF02A"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lastRenderedPageBreak/>
              <w:t xml:space="preserve">counting and measurements, where it develops all the provisions and methods of data exchange, measurement and counting, and defines equipment and measurement data, criteria and procedures for measuring equipment, access to equipment and measurement data, control of measuring equipment, calibration of measuring equipment, and measurement data, </w:t>
            </w:r>
          </w:p>
          <w:p w14:paraId="79FC6E3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network access, where it develops all the interactions relating to network access, between the regional network operator and transmission and distribution network operators (local or national), and defines conditions and responsible entities for access, rights and obligations of the access manager and TSO, access procedures, power subscription, interconnection with Pools and foreign networks, access to a generation unit and injection monitoring, local generation unit, daily access programme, daily coordination programme, coordination of the call for generation units, and cogeneration and RES generation units, </w:t>
            </w:r>
          </w:p>
          <w:p w14:paraId="641C666E"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security and coordination, where it provides effective security tools to the network manager when work on equipment requires safety precautions on other equipment at the connection point, and defines procedures and security measures reporting, </w:t>
            </w:r>
          </w:p>
          <w:p w14:paraId="309263F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operation training and certification, where it requires each network operator to regularly train his staff in charge of operations management in order to prepare them for the measurements to be taken in the event of network disruption, critical network situations, stand-alone operation or restoration of supply, and defines responsibility and empowerment, certification, recommendations, and training content. </w:t>
            </w:r>
          </w:p>
        </w:tc>
      </w:tr>
      <w:tr w:rsidR="00507C15" w:rsidRPr="00316837" w14:paraId="23982FEE" w14:textId="77777777" w:rsidTr="00A40D3F">
        <w:tc>
          <w:tcPr>
            <w:tcW w:w="258" w:type="pct"/>
          </w:tcPr>
          <w:p w14:paraId="5FF3159C"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lastRenderedPageBreak/>
              <w:t>6</w:t>
            </w:r>
          </w:p>
        </w:tc>
        <w:tc>
          <w:tcPr>
            <w:tcW w:w="1370" w:type="pct"/>
          </w:tcPr>
          <w:p w14:paraId="0B90F717"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Decision of the Conference of ECCAS Heads of State and Government No. 73/CEEAC/CCEG/XVI/15 on approving the establishment of a CAPP levy and the creation of the Fund for development of the electricity sector of Central Africa, 2015 </w:t>
            </w:r>
          </w:p>
        </w:tc>
        <w:tc>
          <w:tcPr>
            <w:tcW w:w="3372" w:type="pct"/>
          </w:tcPr>
          <w:p w14:paraId="5363D2AB"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This instrument establishes a CAPP levy instead of annual contributions from the ECCAS Member States and operating electricity utilities to the CAPP budget. It also approves the creation of a Fund for development of the electricity sector of Central Africa. </w:t>
            </w:r>
          </w:p>
          <w:p w14:paraId="3795D57F"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CAPP levy is intended to finance: </w:t>
            </w:r>
          </w:p>
          <w:p w14:paraId="0A2C27C8"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(25%) equipment necessary for the operation and activities of CAPP, and </w:t>
            </w:r>
          </w:p>
          <w:p w14:paraId="5AFED170" w14:textId="77777777" w:rsidR="00507C15" w:rsidRPr="00316837" w:rsidRDefault="00507C15" w:rsidP="00A40D3F">
            <w:pPr>
              <w:pStyle w:val="ListParagraph"/>
              <w:numPr>
                <w:ilvl w:val="0"/>
                <w:numId w:val="20"/>
              </w:numPr>
              <w:spacing w:before="120" w:line="288" w:lineRule="auto"/>
              <w:jc w:val="left"/>
              <w:rPr>
                <w:rFonts w:eastAsia="Calibri" w:cs="Arial"/>
                <w:sz w:val="18"/>
                <w:szCs w:val="18"/>
                <w:lang w:val="en-GB"/>
              </w:rPr>
            </w:pPr>
            <w:r w:rsidRPr="00316837">
              <w:rPr>
                <w:rFonts w:ascii="Arial" w:eastAsia="Calibri" w:hAnsi="Arial" w:cs="Arial"/>
                <w:sz w:val="18"/>
                <w:szCs w:val="18"/>
                <w:lang w:val="en-GB"/>
              </w:rPr>
              <w:t xml:space="preserve">(75%) Fund for development of the electricity sector by financing total or partial infrastructure cost. </w:t>
            </w:r>
          </w:p>
          <w:p w14:paraId="7CB58ED9"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CAPP levy is applied on the consumption of electricity in the ECCAS Member States. The levy, due by electricity consumers, is a specific tax based on kWh. It is charged and is collected by the operating electricity utilities. The levy is charged at the rate per kWh fixed by each of the ECCAS Member States. The levy is charged on the number of kWh, and is billed and collected from the consumer by the operating electricity utilities. The operating electricity utilities carry out the monthly transfer of the levy receipts in the account opened at the central bank of each ECCAS Member State by the Permanent Secretariat, in the name of CAPP. </w:t>
            </w:r>
          </w:p>
          <w:p w14:paraId="5C3620E1"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statutes of the Fund will be submitted for adoption by the Conference of the Heads of State and Government. The capital of the fund is owned by the CAPP community. The administration of the Fund is governed by decision of the Council of Ministers of CAPP in line with the criteria adopted in the statutes of the Fund. The Permanent Secretariat submits an annual report to the CAPP's policy-making bodies. The Council of Ministers of CAPP is responsible for adopting the detailed modalities of the implementation with a view to the efficient functioning of the levy. </w:t>
            </w:r>
          </w:p>
        </w:tc>
      </w:tr>
      <w:tr w:rsidR="00507C15" w:rsidRPr="00316837" w14:paraId="56C65CF8" w14:textId="77777777" w:rsidTr="00A40D3F">
        <w:tc>
          <w:tcPr>
            <w:tcW w:w="258" w:type="pct"/>
          </w:tcPr>
          <w:p w14:paraId="20738F49"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7</w:t>
            </w:r>
          </w:p>
        </w:tc>
        <w:tc>
          <w:tcPr>
            <w:tcW w:w="1370" w:type="pct"/>
          </w:tcPr>
          <w:p w14:paraId="0C4CA47C"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CAPP Regional Energy Policy Strategy 2016-2030, 2015 </w:t>
            </w:r>
          </w:p>
        </w:tc>
        <w:tc>
          <w:tcPr>
            <w:tcW w:w="3372" w:type="pct"/>
          </w:tcPr>
          <w:p w14:paraId="734EEF07"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This Strategy Paper encompasses technical, legal, institutional and financial provisions pertaining to the central issue of the CAPP’s governance, and </w:t>
            </w:r>
            <w:r w:rsidRPr="00316837">
              <w:rPr>
                <w:rFonts w:eastAsia="Calibri" w:cs="Arial"/>
                <w:sz w:val="18"/>
                <w:szCs w:val="18"/>
              </w:rPr>
              <w:lastRenderedPageBreak/>
              <w:t xml:space="preserve">constitutes the strategic and operational framework for setting the priorities and approaches to implement regional energy policy through these interconnected systems. </w:t>
            </w:r>
          </w:p>
          <w:p w14:paraId="3634D269"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Its ultimate objective is to establish the regional electricity market that guarantees a reliable, affordable and environmentally friendly electricity supply to the ECCAS Member States by way of: </w:t>
            </w:r>
          </w:p>
          <w:p w14:paraId="2378CB28"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providing assistance for generation and transmission infrastructure in Central Africa, </w:t>
            </w:r>
          </w:p>
          <w:p w14:paraId="6C167C2B"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developing a legal and regulatory framework conducive to the development of the regional electricity market in Central Africa, </w:t>
            </w:r>
          </w:p>
          <w:p w14:paraId="35A67821"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establishing trade rules and setting up an RSMO, </w:t>
            </w:r>
          </w:p>
          <w:p w14:paraId="4E5B633A"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establishing and interpreting technical rules for operating, managing and pricing electricity trade, and </w:t>
            </w:r>
          </w:p>
          <w:p w14:paraId="22FA8EB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facilitating institutional capacity building and skills consolidation.</w:t>
            </w:r>
          </w:p>
          <w:p w14:paraId="01422335"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Strategy Paper firstly identify the actions required to establish the regional electricity market, and secondly defines the strategy for setting up the legal, IT and technical tools to plan, manage and monitor the future regional electricity market. </w:t>
            </w:r>
          </w:p>
          <w:p w14:paraId="614D4D1E"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Having in view that the establishment of the regional electricity market is conditioned by the construction of generation infrastructure to meet demand in the Central Africa Region and the construction of interconnection networks between the ECCAS Member States, the Strategy Paper defines two horizons to achieve the set objectives: </w:t>
            </w:r>
          </w:p>
          <w:p w14:paraId="6D945FD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the short- to medium-term 2016-2020 period, when the priority is to mobilise financing, focuses on the realisation of electricity infrastructure both at the national and regional levels identified as priority integrating projects, and the establishment of the missing bodies to prepare the legal and regulatory frameworks for the management of regional infrastructures, and </w:t>
            </w:r>
          </w:p>
          <w:p w14:paraId="702D047B"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the long-term 2020-2030 period, when all the priority integration projects will gradually enter the operating phase, focuses on the operationalisation of regional infrastructures linked to all the priority integrating projects and the establishment of rules and conditions for their pooling, the maturity of the regional institutions, and the convergence of national regulations at the regional level. </w:t>
            </w:r>
          </w:p>
          <w:p w14:paraId="0A11D301"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In the 2016-2020 period, CAPP must fully assume the role of Programme Manager, and focus on mobilising the financing required to construct the infrastructure needed to pool generation capacity and to increase grid interconnections. It must become able to take charge of: </w:t>
            </w:r>
          </w:p>
          <w:p w14:paraId="68D88BA0"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preparing the harmonisation of national legislation and regional regulations, </w:t>
            </w:r>
          </w:p>
          <w:p w14:paraId="56717727"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contributing to improving the regulatory and economic environment to attract private sector investment, and </w:t>
            </w:r>
          </w:p>
          <w:p w14:paraId="59F500F0"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ensuring the technical regulation of regional electricity trade which will increase over time. </w:t>
            </w:r>
          </w:p>
          <w:p w14:paraId="2731D500"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In the 2020-2030 period, CAPP (the Permanent Secretariat) must focus on ensuring the conditions are met to manage and supervise the electricity market. Considerations relating to infrastructure development will begin to take a back seat during this period as considerations regarding operational planning for the regional electricity market development, setting rates for </w:t>
            </w:r>
            <w:r w:rsidRPr="00316837">
              <w:rPr>
                <w:rFonts w:eastAsia="Calibri" w:cs="Arial"/>
                <w:sz w:val="18"/>
                <w:szCs w:val="18"/>
              </w:rPr>
              <w:lastRenderedPageBreak/>
              <w:t xml:space="preserve">wheeling and associated services, and the regulation of operators come to the fore. </w:t>
            </w:r>
          </w:p>
          <w:p w14:paraId="3DC5245C" w14:textId="77777777" w:rsidR="00507C15" w:rsidRPr="00316837" w:rsidRDefault="00507C15" w:rsidP="00A40D3F">
            <w:pPr>
              <w:spacing w:before="120" w:after="120"/>
              <w:jc w:val="left"/>
              <w:rPr>
                <w:rFonts w:eastAsia="Calibri" w:cs="Arial"/>
                <w:sz w:val="18"/>
                <w:szCs w:val="18"/>
              </w:rPr>
            </w:pPr>
            <w:r w:rsidRPr="00316837">
              <w:rPr>
                <w:rFonts w:eastAsia="Calibri" w:cs="Arial"/>
                <w:sz w:val="18"/>
                <w:szCs w:val="18"/>
              </w:rPr>
              <w:t xml:space="preserve">The Strategy Paper concludes with the Action Plan aimed at outlining a range of activities that act as a strategic plan CAPP can implement to cover the two fundamental aspects of the ECCAS energy policy: </w:t>
            </w:r>
          </w:p>
          <w:p w14:paraId="4F10C29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play a key role in meeting the conditions for implementing regional infrastructure projects, and </w:t>
            </w:r>
          </w:p>
          <w:p w14:paraId="5105637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lead the harmonious development of the regional electricity market so that it is effective and complies with the objective of developing cross-border trade and providing industrial investors and the general public with a reliable and affordable supply of electricity. </w:t>
            </w:r>
          </w:p>
        </w:tc>
      </w:tr>
    </w:tbl>
    <w:p w14:paraId="5CEA3680" w14:textId="3193BDAF" w:rsidR="00507C15" w:rsidRDefault="00507C15" w:rsidP="006D5907">
      <w:pPr>
        <w:rPr>
          <w:rFonts w:eastAsia="Calibri"/>
        </w:rPr>
      </w:pPr>
    </w:p>
    <w:p w14:paraId="71111F14" w14:textId="77777777" w:rsidR="00507C15" w:rsidRDefault="00507C15" w:rsidP="006D5907">
      <w:pPr>
        <w:rPr>
          <w:rFonts w:eastAsia="Calibri"/>
        </w:rPr>
        <w:sectPr w:rsidR="00507C15" w:rsidSect="00A3058D">
          <w:pgSz w:w="11907" w:h="16839" w:code="9"/>
          <w:pgMar w:top="510" w:right="1134" w:bottom="964" w:left="1134" w:header="720" w:footer="567" w:gutter="0"/>
          <w:cols w:space="720"/>
          <w:formProt w:val="0"/>
          <w:docGrid w:linePitch="286"/>
        </w:sectPr>
      </w:pPr>
    </w:p>
    <w:p w14:paraId="66F0943F" w14:textId="0B86F04C" w:rsidR="00507C15" w:rsidRPr="00316837" w:rsidRDefault="00507C15" w:rsidP="006273BD">
      <w:pPr>
        <w:pStyle w:val="Heading2"/>
      </w:pPr>
      <w:bookmarkStart w:id="240" w:name="_Ref77255576"/>
      <w:bookmarkStart w:id="241" w:name="_Toc77260340"/>
      <w:r w:rsidRPr="00C632F6">
        <w:lastRenderedPageBreak/>
        <w:t>Main activities and sub-activities in the Action Plan for the Central Africa regional energy policy strategy under CAPP</w:t>
      </w:r>
      <w:bookmarkEnd w:id="240"/>
      <w:bookmarkEnd w:id="241"/>
      <w:r w:rsidRPr="00C632F6">
        <w:t xml:space="preserve"> </w:t>
      </w:r>
    </w:p>
    <w:tbl>
      <w:tblPr>
        <w:tblStyle w:val="TableGrid"/>
        <w:tblW w:w="0" w:type="auto"/>
        <w:tblLook w:val="04A0" w:firstRow="1" w:lastRow="0" w:firstColumn="1" w:lastColumn="0" w:noHBand="0" w:noVBand="1"/>
      </w:tblPr>
      <w:tblGrid>
        <w:gridCol w:w="747"/>
        <w:gridCol w:w="1125"/>
        <w:gridCol w:w="1403"/>
        <w:gridCol w:w="6354"/>
      </w:tblGrid>
      <w:tr w:rsidR="00507C15" w:rsidRPr="00A40D3F" w14:paraId="7625FEEA" w14:textId="77777777" w:rsidTr="00A40D3F">
        <w:tc>
          <w:tcPr>
            <w:tcW w:w="727" w:type="dxa"/>
            <w:shd w:val="clear" w:color="auto" w:fill="F2F2F2" w:themeFill="background1" w:themeFillShade="F2"/>
          </w:tcPr>
          <w:p w14:paraId="3674231B"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Phase</w:t>
            </w:r>
          </w:p>
        </w:tc>
        <w:tc>
          <w:tcPr>
            <w:tcW w:w="1126" w:type="dxa"/>
            <w:shd w:val="clear" w:color="auto" w:fill="F2F2F2" w:themeFill="background1" w:themeFillShade="F2"/>
          </w:tcPr>
          <w:p w14:paraId="2073A411"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Period</w:t>
            </w:r>
          </w:p>
        </w:tc>
        <w:tc>
          <w:tcPr>
            <w:tcW w:w="1403" w:type="dxa"/>
            <w:shd w:val="clear" w:color="auto" w:fill="F2F2F2" w:themeFill="background1" w:themeFillShade="F2"/>
          </w:tcPr>
          <w:p w14:paraId="0F69F12D"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Actions</w:t>
            </w:r>
          </w:p>
        </w:tc>
        <w:tc>
          <w:tcPr>
            <w:tcW w:w="6373" w:type="dxa"/>
            <w:shd w:val="clear" w:color="auto" w:fill="F2F2F2" w:themeFill="background1" w:themeFillShade="F2"/>
          </w:tcPr>
          <w:p w14:paraId="6E560C62" w14:textId="77777777" w:rsidR="00507C15" w:rsidRPr="00A40D3F" w:rsidRDefault="00507C15" w:rsidP="00A40D3F">
            <w:pPr>
              <w:spacing w:before="120" w:after="120"/>
              <w:jc w:val="left"/>
              <w:rPr>
                <w:rFonts w:eastAsia="Calibri"/>
                <w:b/>
                <w:bCs/>
                <w:sz w:val="18"/>
                <w:szCs w:val="18"/>
              </w:rPr>
            </w:pPr>
            <w:r w:rsidRPr="00A40D3F">
              <w:rPr>
                <w:rFonts w:eastAsia="Calibri"/>
                <w:b/>
                <w:bCs/>
                <w:sz w:val="18"/>
                <w:szCs w:val="18"/>
              </w:rPr>
              <w:t xml:space="preserve">Main activities and sub-activities </w:t>
            </w:r>
          </w:p>
        </w:tc>
      </w:tr>
      <w:tr w:rsidR="00507C15" w:rsidRPr="00316837" w14:paraId="6D4420A4" w14:textId="77777777" w:rsidTr="00A40D3F">
        <w:tc>
          <w:tcPr>
            <w:tcW w:w="727" w:type="dxa"/>
            <w:vMerge w:val="restart"/>
          </w:tcPr>
          <w:p w14:paraId="2AB145D4"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1</w:t>
            </w:r>
          </w:p>
        </w:tc>
        <w:tc>
          <w:tcPr>
            <w:tcW w:w="1126" w:type="dxa"/>
            <w:vMerge w:val="restart"/>
          </w:tcPr>
          <w:p w14:paraId="6DD0A25D"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2016-2020 </w:t>
            </w:r>
          </w:p>
          <w:p w14:paraId="77F1CD82"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(short- to medium-term) </w:t>
            </w:r>
          </w:p>
        </w:tc>
        <w:tc>
          <w:tcPr>
            <w:tcW w:w="1403" w:type="dxa"/>
          </w:tcPr>
          <w:p w14:paraId="1265DAA8"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Development of generation and transmission infrastructure </w:t>
            </w:r>
          </w:p>
        </w:tc>
        <w:tc>
          <w:tcPr>
            <w:tcW w:w="6373" w:type="dxa"/>
          </w:tcPr>
          <w:p w14:paraId="68821E32" w14:textId="77777777" w:rsidR="00507C15" w:rsidRPr="00316837" w:rsidRDefault="00507C15" w:rsidP="00A40D3F">
            <w:pPr>
              <w:spacing w:before="120"/>
              <w:jc w:val="left"/>
              <w:rPr>
                <w:rFonts w:eastAsia="Calibri"/>
                <w:sz w:val="18"/>
                <w:szCs w:val="18"/>
              </w:rPr>
            </w:pPr>
            <w:r w:rsidRPr="00316837">
              <w:rPr>
                <w:rFonts w:eastAsia="Calibri"/>
                <w:sz w:val="18"/>
                <w:szCs w:val="18"/>
              </w:rPr>
              <w:t xml:space="preserve">Supervision by CAPP as Project Manager of the extension of regional transmission infrastructure through the completion of all priority infrastructure projects: </w:t>
            </w:r>
          </w:p>
          <w:p w14:paraId="62CD42B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Lobbying ECCAS so that CAPP bodies adopt the Strategy prepared with country experts and implement its proposals, recognising in particular the CAPP Permanent Secretariat’s status as Project Manager for CAPP and the creation of project companies to develop the priority infrastructure projects; </w:t>
            </w:r>
          </w:p>
          <w:p w14:paraId="778595E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Lobbying ECCAS to support the rapid adoption of autonomous financing for CAPP such that the CAPP itself but also the project companies can function (human and financial resources); </w:t>
            </w:r>
          </w:p>
          <w:p w14:paraId="5AD407C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Organisation by the Project Manager of a Donor Round Table to secure financing to construct the infrastructure sections along the South-North backbone [Maque a Do Zombo (Angola) - Memve’élé (Cameroon)] so the national generation capacity of the countries crossed by this regional interconnection can be exploited; </w:t>
            </w:r>
          </w:p>
          <w:p w14:paraId="133AF666"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Development of a plan to support the implementation priority infrastructure projects so that the efficiency of the CAPP contribution as Project Manager in expanding this regional infrastructure can be monitored and assessed, with a view to proposing fair investment spread over time and around the Central Africa Region; </w:t>
            </w:r>
          </w:p>
          <w:p w14:paraId="580B54C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Creation of project companies and in the first instance project companies for the priority infrastructure projects, i.e. the Cameroon-Chad interconnection and the Inga-Cabinda-Pointe Noire interconnection, focusing available skills and financial resources on these priorities. Setting up of the procedure to formalise the relations between the Project Manager (CAPP Permanent Secretariat) and the implementers (project companies); </w:t>
            </w:r>
          </w:p>
          <w:p w14:paraId="45BF8F0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Evaluation of the Project Manager and the provision of assistance to project implementation as regards the CAPP’s contribution to the implementation of priority infrastructure projects and the fair distribution of investments until the end of this Phase to implement the regional electricity market; and </w:t>
            </w:r>
          </w:p>
          <w:p w14:paraId="60DF301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SCADA review at the end of this Phase to understand how electricity trade systems work and what are the problems associated with the regional electricity market. </w:t>
            </w:r>
          </w:p>
        </w:tc>
      </w:tr>
      <w:tr w:rsidR="00507C15" w:rsidRPr="00316837" w14:paraId="10266FBC" w14:textId="77777777" w:rsidTr="00A40D3F">
        <w:tc>
          <w:tcPr>
            <w:tcW w:w="727" w:type="dxa"/>
            <w:vMerge/>
          </w:tcPr>
          <w:p w14:paraId="69A52850" w14:textId="77777777" w:rsidR="00507C15" w:rsidRPr="00316837" w:rsidRDefault="00507C15" w:rsidP="00A40D3F">
            <w:pPr>
              <w:spacing w:before="120" w:after="120"/>
              <w:jc w:val="left"/>
              <w:rPr>
                <w:rFonts w:eastAsia="Calibri"/>
                <w:sz w:val="18"/>
                <w:szCs w:val="18"/>
              </w:rPr>
            </w:pPr>
          </w:p>
        </w:tc>
        <w:tc>
          <w:tcPr>
            <w:tcW w:w="1126" w:type="dxa"/>
            <w:vMerge/>
          </w:tcPr>
          <w:p w14:paraId="00088545" w14:textId="77777777" w:rsidR="00507C15" w:rsidRPr="00316837" w:rsidRDefault="00507C15" w:rsidP="00A40D3F">
            <w:pPr>
              <w:spacing w:before="120" w:after="120"/>
              <w:jc w:val="left"/>
              <w:rPr>
                <w:rFonts w:eastAsia="Calibri"/>
                <w:sz w:val="18"/>
                <w:szCs w:val="18"/>
              </w:rPr>
            </w:pPr>
          </w:p>
        </w:tc>
        <w:tc>
          <w:tcPr>
            <w:tcW w:w="1403" w:type="dxa"/>
          </w:tcPr>
          <w:p w14:paraId="61ED536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Building institutional capacity </w:t>
            </w:r>
          </w:p>
        </w:tc>
        <w:tc>
          <w:tcPr>
            <w:tcW w:w="6373" w:type="dxa"/>
          </w:tcPr>
          <w:p w14:paraId="68A46344" w14:textId="77777777" w:rsidR="00507C15" w:rsidRPr="00316837" w:rsidRDefault="00507C15" w:rsidP="00A40D3F">
            <w:pPr>
              <w:spacing w:before="120"/>
              <w:jc w:val="left"/>
              <w:rPr>
                <w:rFonts w:eastAsia="Calibri"/>
                <w:sz w:val="18"/>
                <w:szCs w:val="18"/>
              </w:rPr>
            </w:pPr>
            <w:r w:rsidRPr="00316837">
              <w:rPr>
                <w:rFonts w:eastAsia="Calibri"/>
                <w:sz w:val="18"/>
                <w:szCs w:val="18"/>
              </w:rPr>
              <w:t xml:space="preserve">As supra-national Project Manager, the CAPP’s direct and indirect human resources must have sufficient skills to fulfil their missions: </w:t>
            </w:r>
          </w:p>
          <w:p w14:paraId="0581039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Reactivation of the Planning Sub-Committee and setting up of Operation and Environment Sub-Committees to that all can come into operation by the end of this Phase (programme of activities, operating budget, etc.); </w:t>
            </w:r>
          </w:p>
          <w:p w14:paraId="41729FAD"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Building capacities in project management and management of electricity infrastructure (learning / consolidation of skills in electricity infrastructure project management to monitor the regional electricity master plan and the national electricity master plans of CAPP member states); </w:t>
            </w:r>
          </w:p>
          <w:p w14:paraId="65648D0E"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lastRenderedPageBreak/>
              <w:t xml:space="preserve">Building capacities in line with taking ownership of the Central Africa regional electricity market operating code, i.e. to be able to conduct the activities key to implementation, operation and monitoring of the regional electricity market (teaching tool to use SCADA, digital and analogue simulators, training courses, etc.); </w:t>
            </w:r>
          </w:p>
          <w:p w14:paraId="5D8450CA"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Formulation and implementation of the Permanent Secretariat communication policy (participate in the specification of a communication strategy, promote the actions of CAPP both internally and externally, support focal points and experts from CAPP member states in conducting their regionally-focused communication actions); </w:t>
            </w:r>
          </w:p>
          <w:p w14:paraId="381C352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Provision of interpreting and translation services and revision of regional documents and checking of different language versions of agreements, treaties and contracts (French, English, Portuguese and Spanish) on behalf of the Permanent Secretariat; </w:t>
            </w:r>
          </w:p>
          <w:p w14:paraId="2D2F852A"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Setting up of an audit task force to monitor technical performance; and </w:t>
            </w:r>
          </w:p>
          <w:p w14:paraId="131462FE"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Setting up of an audit task force to monitor skills. </w:t>
            </w:r>
          </w:p>
        </w:tc>
      </w:tr>
      <w:tr w:rsidR="00507C15" w:rsidRPr="00316837" w14:paraId="1474A4E5" w14:textId="77777777" w:rsidTr="00A40D3F">
        <w:tc>
          <w:tcPr>
            <w:tcW w:w="727" w:type="dxa"/>
            <w:vMerge/>
          </w:tcPr>
          <w:p w14:paraId="2D994163" w14:textId="77777777" w:rsidR="00507C15" w:rsidRPr="00316837" w:rsidRDefault="00507C15" w:rsidP="00A40D3F">
            <w:pPr>
              <w:spacing w:before="120" w:after="120"/>
              <w:jc w:val="left"/>
              <w:rPr>
                <w:rFonts w:eastAsia="Calibri"/>
                <w:sz w:val="18"/>
                <w:szCs w:val="18"/>
              </w:rPr>
            </w:pPr>
          </w:p>
        </w:tc>
        <w:tc>
          <w:tcPr>
            <w:tcW w:w="1126" w:type="dxa"/>
            <w:vMerge/>
          </w:tcPr>
          <w:p w14:paraId="6B6E2E61" w14:textId="77777777" w:rsidR="00507C15" w:rsidRPr="00316837" w:rsidRDefault="00507C15" w:rsidP="00A40D3F">
            <w:pPr>
              <w:spacing w:before="120" w:after="120"/>
              <w:jc w:val="left"/>
              <w:rPr>
                <w:rFonts w:eastAsia="Calibri"/>
                <w:sz w:val="18"/>
                <w:szCs w:val="18"/>
              </w:rPr>
            </w:pPr>
          </w:p>
        </w:tc>
        <w:tc>
          <w:tcPr>
            <w:tcW w:w="1403" w:type="dxa"/>
          </w:tcPr>
          <w:p w14:paraId="7CF64103"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Creation of a legal and regulatory environment</w:t>
            </w:r>
          </w:p>
        </w:tc>
        <w:tc>
          <w:tcPr>
            <w:tcW w:w="6373" w:type="dxa"/>
          </w:tcPr>
          <w:p w14:paraId="0E290103" w14:textId="77777777" w:rsidR="00507C15" w:rsidRPr="00316837" w:rsidRDefault="00507C15" w:rsidP="00A40D3F">
            <w:pPr>
              <w:spacing w:before="120"/>
              <w:jc w:val="left"/>
              <w:rPr>
                <w:rFonts w:eastAsia="Calibri"/>
                <w:sz w:val="18"/>
                <w:szCs w:val="18"/>
              </w:rPr>
            </w:pPr>
            <w:r w:rsidRPr="00316837">
              <w:rPr>
                <w:rFonts w:eastAsia="Calibri"/>
                <w:sz w:val="18"/>
                <w:szCs w:val="18"/>
              </w:rPr>
              <w:t xml:space="preserve">Harmonisation of national regulations and existence of legal provisions essential for the development of the regional electricity market: </w:t>
            </w:r>
          </w:p>
          <w:p w14:paraId="56187960"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Review of national regulations and setting up of a data base of legislation and regulatory documents and any other documents of relevance to the regional electricity market; </w:t>
            </w:r>
          </w:p>
          <w:p w14:paraId="03F534F1"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Drafting of bills to be passed by CAPP member states with the preparation of a roadmap to set up, if necessary, any required legal or regulatory modifications; </w:t>
            </w:r>
          </w:p>
          <w:p w14:paraId="70FCA597"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Assistance of CAPP member states in adopting bills necessary for harmonisation and the adoption of the fundamental principles for setting up the regional electricity market; and </w:t>
            </w:r>
          </w:p>
          <w:p w14:paraId="276979D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Monitoring progress of the commissioning of the priority infrastructure projects and ensuring the legal and regulatory documents are in line with the situation and needs of the regional electricity market. </w:t>
            </w:r>
          </w:p>
        </w:tc>
      </w:tr>
      <w:tr w:rsidR="00507C15" w:rsidRPr="00316837" w14:paraId="2B95694A" w14:textId="77777777" w:rsidTr="00A40D3F">
        <w:tc>
          <w:tcPr>
            <w:tcW w:w="727" w:type="dxa"/>
            <w:vMerge/>
          </w:tcPr>
          <w:p w14:paraId="59E6B2F7" w14:textId="77777777" w:rsidR="00507C15" w:rsidRPr="00316837" w:rsidRDefault="00507C15" w:rsidP="00A40D3F">
            <w:pPr>
              <w:spacing w:before="120" w:after="120"/>
              <w:jc w:val="left"/>
              <w:rPr>
                <w:rFonts w:eastAsia="Calibri"/>
                <w:sz w:val="18"/>
                <w:szCs w:val="18"/>
              </w:rPr>
            </w:pPr>
          </w:p>
        </w:tc>
        <w:tc>
          <w:tcPr>
            <w:tcW w:w="1126" w:type="dxa"/>
            <w:vMerge/>
          </w:tcPr>
          <w:p w14:paraId="026C9C67" w14:textId="77777777" w:rsidR="00507C15" w:rsidRPr="00316837" w:rsidRDefault="00507C15" w:rsidP="00A40D3F">
            <w:pPr>
              <w:spacing w:before="120" w:after="120"/>
              <w:jc w:val="left"/>
              <w:rPr>
                <w:rFonts w:eastAsia="Calibri"/>
                <w:sz w:val="18"/>
                <w:szCs w:val="18"/>
              </w:rPr>
            </w:pPr>
          </w:p>
        </w:tc>
        <w:tc>
          <w:tcPr>
            <w:tcW w:w="1403" w:type="dxa"/>
            <w:vMerge w:val="restart"/>
          </w:tcPr>
          <w:p w14:paraId="1BB8D9C3"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Establishment of trade rules and regulatory framework </w:t>
            </w:r>
          </w:p>
        </w:tc>
        <w:tc>
          <w:tcPr>
            <w:tcW w:w="6373" w:type="dxa"/>
          </w:tcPr>
          <w:p w14:paraId="1D86C61E" w14:textId="77777777" w:rsidR="00507C15" w:rsidRPr="00316837" w:rsidRDefault="00507C15" w:rsidP="00A40D3F">
            <w:pPr>
              <w:spacing w:before="120"/>
              <w:jc w:val="left"/>
              <w:rPr>
                <w:rFonts w:eastAsia="Calibri"/>
                <w:sz w:val="18"/>
                <w:szCs w:val="18"/>
              </w:rPr>
            </w:pPr>
            <w:r w:rsidRPr="00316837">
              <w:rPr>
                <w:rFonts w:eastAsia="Calibri"/>
                <w:sz w:val="18"/>
                <w:szCs w:val="18"/>
              </w:rPr>
              <w:t xml:space="preserve">Development of draft inter-country and/or inter-stakeholder trade agreements, in particular according to the type of priority infrastructure projects (intra-regional / inter-regional) and the regional electricity market law: </w:t>
            </w:r>
          </w:p>
          <w:p w14:paraId="566B20D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Review of the types of agreements that exist for interconnections (identification of template contracts/agreements and overarching principles to be validated by CAPP member states, and drafting of template interconnection contracts/agreements for CAPP member states to use); </w:t>
            </w:r>
          </w:p>
          <w:p w14:paraId="66D713C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Formalisation of electricity trade currently done on a “case-by-case” basis and standardisation of procedures such as bilateral agreements between both CAPP member states and CAPP member utilities, and trade instruments (types of contract, short-term trade); </w:t>
            </w:r>
          </w:p>
          <w:p w14:paraId="641E5397"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Alignment of electricity trade agreements and instruments with the Central Africa regional electricity market code; and </w:t>
            </w:r>
          </w:p>
          <w:p w14:paraId="7A79BEB0"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Setting up of mechanisms for operators and stakeholders to take ownership of the Central Africa regional electricity market code. </w:t>
            </w:r>
          </w:p>
        </w:tc>
      </w:tr>
      <w:tr w:rsidR="00507C15" w:rsidRPr="00316837" w14:paraId="27AF0605" w14:textId="77777777" w:rsidTr="00A40D3F">
        <w:tc>
          <w:tcPr>
            <w:tcW w:w="727" w:type="dxa"/>
            <w:vMerge/>
          </w:tcPr>
          <w:p w14:paraId="1DF4FF65" w14:textId="77777777" w:rsidR="00507C15" w:rsidRPr="00316837" w:rsidRDefault="00507C15" w:rsidP="00A40D3F">
            <w:pPr>
              <w:spacing w:before="120" w:after="120"/>
              <w:jc w:val="left"/>
              <w:rPr>
                <w:rFonts w:eastAsia="Calibri"/>
                <w:sz w:val="18"/>
                <w:szCs w:val="18"/>
              </w:rPr>
            </w:pPr>
          </w:p>
        </w:tc>
        <w:tc>
          <w:tcPr>
            <w:tcW w:w="1126" w:type="dxa"/>
            <w:vMerge/>
          </w:tcPr>
          <w:p w14:paraId="5AF6926B" w14:textId="77777777" w:rsidR="00507C15" w:rsidRPr="00316837" w:rsidRDefault="00507C15" w:rsidP="00A40D3F">
            <w:pPr>
              <w:spacing w:before="120" w:after="120"/>
              <w:jc w:val="left"/>
              <w:rPr>
                <w:rFonts w:eastAsia="Calibri"/>
                <w:sz w:val="18"/>
                <w:szCs w:val="18"/>
              </w:rPr>
            </w:pPr>
          </w:p>
        </w:tc>
        <w:tc>
          <w:tcPr>
            <w:tcW w:w="1403" w:type="dxa"/>
            <w:vMerge/>
          </w:tcPr>
          <w:p w14:paraId="405BECB6" w14:textId="77777777" w:rsidR="00507C15" w:rsidRPr="00316837" w:rsidRDefault="00507C15" w:rsidP="00A40D3F">
            <w:pPr>
              <w:spacing w:before="120" w:after="120"/>
              <w:jc w:val="left"/>
              <w:rPr>
                <w:rFonts w:eastAsia="Calibri"/>
                <w:sz w:val="18"/>
                <w:szCs w:val="18"/>
              </w:rPr>
            </w:pPr>
          </w:p>
        </w:tc>
        <w:tc>
          <w:tcPr>
            <w:tcW w:w="6373" w:type="dxa"/>
          </w:tcPr>
          <w:p w14:paraId="2194D3CB" w14:textId="77777777" w:rsidR="00507C15" w:rsidRPr="00316837" w:rsidRDefault="00507C15" w:rsidP="00A40D3F">
            <w:pPr>
              <w:spacing w:before="120"/>
              <w:jc w:val="left"/>
              <w:rPr>
                <w:rFonts w:eastAsia="Calibri"/>
                <w:sz w:val="18"/>
                <w:szCs w:val="18"/>
              </w:rPr>
            </w:pPr>
            <w:r w:rsidRPr="00316837">
              <w:rPr>
                <w:rFonts w:eastAsia="Calibri"/>
                <w:sz w:val="18"/>
                <w:szCs w:val="18"/>
              </w:rPr>
              <w:t xml:space="preserve">Finalisation of the legal and institutional structure and preparation for setting up the Central Africa Regional Electricity Regulation Commission: </w:t>
            </w:r>
          </w:p>
          <w:p w14:paraId="658DC5C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lastRenderedPageBreak/>
              <w:t xml:space="preserve">Review of national regulations in CAPP member states and lessons to be learned for regional regulation (specification of the structure, responsibilities, operating mode and powers of the regional regulatory authority); </w:t>
            </w:r>
          </w:p>
          <w:p w14:paraId="0AE90B2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Operating mode of the regional regulatory authority (supervision of drafting and recommendation of rules, application of rules, consideration of how to deal with issues such as wheeling charges and conflict resolution between operators); </w:t>
            </w:r>
          </w:p>
          <w:p w14:paraId="295DC94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Approval of the regional master plan and harmonisation of regulatory rules for the priority infrastructure projects in the pipeline; and </w:t>
            </w:r>
          </w:p>
          <w:p w14:paraId="0DFFC180"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Review and analysis of the different types of contracts and contract negotiation strategies and techniques. </w:t>
            </w:r>
          </w:p>
        </w:tc>
      </w:tr>
      <w:tr w:rsidR="00507C15" w:rsidRPr="00316837" w14:paraId="2450508B" w14:textId="77777777" w:rsidTr="00A40D3F">
        <w:tc>
          <w:tcPr>
            <w:tcW w:w="727" w:type="dxa"/>
            <w:vMerge/>
          </w:tcPr>
          <w:p w14:paraId="0086C257" w14:textId="77777777" w:rsidR="00507C15" w:rsidRPr="00316837" w:rsidRDefault="00507C15" w:rsidP="00A40D3F">
            <w:pPr>
              <w:spacing w:before="120" w:after="120"/>
              <w:jc w:val="left"/>
              <w:rPr>
                <w:rFonts w:eastAsia="Calibri"/>
                <w:sz w:val="18"/>
                <w:szCs w:val="18"/>
              </w:rPr>
            </w:pPr>
          </w:p>
        </w:tc>
        <w:tc>
          <w:tcPr>
            <w:tcW w:w="1126" w:type="dxa"/>
            <w:vMerge/>
          </w:tcPr>
          <w:p w14:paraId="4CDA32E3" w14:textId="77777777" w:rsidR="00507C15" w:rsidRPr="00316837" w:rsidRDefault="00507C15" w:rsidP="00A40D3F">
            <w:pPr>
              <w:spacing w:before="120" w:after="120"/>
              <w:jc w:val="left"/>
              <w:rPr>
                <w:rFonts w:eastAsia="Calibri"/>
                <w:sz w:val="18"/>
                <w:szCs w:val="18"/>
              </w:rPr>
            </w:pPr>
          </w:p>
        </w:tc>
        <w:tc>
          <w:tcPr>
            <w:tcW w:w="1403" w:type="dxa"/>
          </w:tcPr>
          <w:p w14:paraId="69DEF98B"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Establishing and interpreting technical rules for operations </w:t>
            </w:r>
          </w:p>
        </w:tc>
        <w:tc>
          <w:tcPr>
            <w:tcW w:w="6373" w:type="dxa"/>
          </w:tcPr>
          <w:p w14:paraId="2A182EF3" w14:textId="77777777" w:rsidR="00507C15" w:rsidRPr="00316837" w:rsidRDefault="00507C15" w:rsidP="00A40D3F">
            <w:pPr>
              <w:spacing w:before="120"/>
              <w:jc w:val="left"/>
              <w:rPr>
                <w:rFonts w:eastAsia="Calibri"/>
                <w:sz w:val="18"/>
                <w:szCs w:val="18"/>
              </w:rPr>
            </w:pPr>
            <w:r w:rsidRPr="00316837">
              <w:rPr>
                <w:rFonts w:eastAsia="Calibri"/>
                <w:sz w:val="18"/>
                <w:szCs w:val="18"/>
              </w:rPr>
              <w:t xml:space="preserve">Preparation to coordinate operations and trade at the regional level: </w:t>
            </w:r>
          </w:p>
          <w:p w14:paraId="7CCDF7DD"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Establishing and interpreting technical rules, operators take ownership of the 2011 CAPP Operating Code; </w:t>
            </w:r>
          </w:p>
          <w:p w14:paraId="04AAE67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Evaluation audit of basic electricity systems (skills, procedures, administration and maintenance of SCADA, etc.); </w:t>
            </w:r>
          </w:p>
          <w:p w14:paraId="2B57ABB6"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Evaluation of gaps between local operating procedures and the CAPP Operating Code; </w:t>
            </w:r>
          </w:p>
          <w:p w14:paraId="5D63281A"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Skills upgrade audit; </w:t>
            </w:r>
          </w:p>
          <w:p w14:paraId="4006561F"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Technical upgrade audit; and </w:t>
            </w:r>
          </w:p>
          <w:p w14:paraId="4E22B396" w14:textId="77777777" w:rsidR="00507C15" w:rsidRPr="00316837" w:rsidRDefault="00507C15" w:rsidP="00A40D3F">
            <w:pPr>
              <w:pStyle w:val="ListParagraph"/>
              <w:numPr>
                <w:ilvl w:val="0"/>
                <w:numId w:val="20"/>
              </w:numPr>
              <w:spacing w:before="120" w:line="288" w:lineRule="auto"/>
              <w:jc w:val="left"/>
              <w:rPr>
                <w:rFonts w:eastAsia="Calibri"/>
                <w:sz w:val="18"/>
                <w:szCs w:val="18"/>
                <w:lang w:val="en-GB"/>
              </w:rPr>
            </w:pPr>
            <w:r w:rsidRPr="00316837">
              <w:rPr>
                <w:rFonts w:ascii="Arial" w:eastAsia="Calibri" w:hAnsi="Arial" w:cs="Arial"/>
                <w:sz w:val="18"/>
                <w:szCs w:val="18"/>
                <w:lang w:val="en-GB"/>
              </w:rPr>
              <w:t xml:space="preserve">Preparation to set up the RSMO. </w:t>
            </w:r>
          </w:p>
        </w:tc>
      </w:tr>
      <w:tr w:rsidR="00507C15" w:rsidRPr="00316837" w14:paraId="4E72A112" w14:textId="77777777" w:rsidTr="00A40D3F">
        <w:tc>
          <w:tcPr>
            <w:tcW w:w="727" w:type="dxa"/>
            <w:vMerge w:val="restart"/>
          </w:tcPr>
          <w:p w14:paraId="382EB02D"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2</w:t>
            </w:r>
          </w:p>
        </w:tc>
        <w:tc>
          <w:tcPr>
            <w:tcW w:w="1126" w:type="dxa"/>
            <w:vMerge w:val="restart"/>
          </w:tcPr>
          <w:p w14:paraId="7229735B"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2020-2030 </w:t>
            </w:r>
          </w:p>
          <w:p w14:paraId="3B3B4F10"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(long-term) </w:t>
            </w:r>
          </w:p>
        </w:tc>
        <w:tc>
          <w:tcPr>
            <w:tcW w:w="1403" w:type="dxa"/>
          </w:tcPr>
          <w:p w14:paraId="6D54ECF4"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Development of generation and transmission infrastructure </w:t>
            </w:r>
          </w:p>
        </w:tc>
        <w:tc>
          <w:tcPr>
            <w:tcW w:w="6373" w:type="dxa"/>
          </w:tcPr>
          <w:p w14:paraId="6E134C2B" w14:textId="77777777" w:rsidR="00507C15" w:rsidRPr="00316837" w:rsidRDefault="00507C15" w:rsidP="00A40D3F">
            <w:pPr>
              <w:spacing w:before="120"/>
              <w:jc w:val="left"/>
              <w:rPr>
                <w:rFonts w:eastAsia="Calibri"/>
                <w:sz w:val="18"/>
                <w:szCs w:val="18"/>
              </w:rPr>
            </w:pPr>
            <w:r w:rsidRPr="00316837">
              <w:rPr>
                <w:rFonts w:eastAsia="Calibri"/>
                <w:sz w:val="18"/>
                <w:szCs w:val="18"/>
              </w:rPr>
              <w:t xml:space="preserve">Project companies’ training period completed, and move to independent operational mode under CAPP control: </w:t>
            </w:r>
          </w:p>
          <w:p w14:paraId="755DED7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Audit of project companies and proposals for improvements under the authority and supervision of CAPP; </w:t>
            </w:r>
          </w:p>
          <w:p w14:paraId="2F6B614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Institutionalisation of project company reporting, setting up of a feedback loop to learn from past experience under the authority of the Planning Sub-Committee and CAPP control; </w:t>
            </w:r>
          </w:p>
          <w:p w14:paraId="457F5DB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Audit of generation plant rehabilitation and construction projects carried out during Phase 1 with review of priorities by CAPP; </w:t>
            </w:r>
          </w:p>
          <w:p w14:paraId="423B4AE3"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Evaluation of effectiveness of CAPP contribution (supranational Project Management) as regards the implementation of priority infrastructure projects and the fair distribution of investments; </w:t>
            </w:r>
          </w:p>
          <w:p w14:paraId="77B4C7A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Arbitration of financial and human resources among project companies in line with priority infrastructure projects development and at the behest of CAPP; </w:t>
            </w:r>
          </w:p>
          <w:p w14:paraId="6D5BF555"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Implementation of SCADA action plans; and </w:t>
            </w:r>
          </w:p>
          <w:p w14:paraId="7BDFA966" w14:textId="77777777" w:rsidR="00507C15" w:rsidRPr="00316837" w:rsidRDefault="00507C15" w:rsidP="00A40D3F">
            <w:pPr>
              <w:pStyle w:val="ListParagraph"/>
              <w:numPr>
                <w:ilvl w:val="0"/>
                <w:numId w:val="20"/>
              </w:numPr>
              <w:spacing w:before="120" w:line="288" w:lineRule="auto"/>
              <w:jc w:val="left"/>
              <w:rPr>
                <w:rFonts w:eastAsia="Calibri"/>
                <w:sz w:val="18"/>
                <w:szCs w:val="18"/>
                <w:lang w:val="en-GB"/>
              </w:rPr>
            </w:pPr>
            <w:r w:rsidRPr="00316837">
              <w:rPr>
                <w:rFonts w:ascii="Arial" w:eastAsia="Calibri" w:hAnsi="Arial" w:cs="Arial"/>
                <w:sz w:val="18"/>
                <w:szCs w:val="18"/>
                <w:lang w:val="en-GB"/>
              </w:rPr>
              <w:t xml:space="preserve">Harmonisation of document management systems to prepare for the transfer of infrastructure to the operator under the authority of the Operations Sub-Committee. </w:t>
            </w:r>
          </w:p>
        </w:tc>
      </w:tr>
      <w:tr w:rsidR="00507C15" w:rsidRPr="00316837" w14:paraId="652AED07" w14:textId="77777777" w:rsidTr="00A40D3F">
        <w:tc>
          <w:tcPr>
            <w:tcW w:w="727" w:type="dxa"/>
            <w:vMerge/>
          </w:tcPr>
          <w:p w14:paraId="1E9A027D" w14:textId="77777777" w:rsidR="00507C15" w:rsidRPr="00316837" w:rsidRDefault="00507C15" w:rsidP="00A40D3F">
            <w:pPr>
              <w:spacing w:before="120" w:after="120"/>
              <w:jc w:val="left"/>
              <w:rPr>
                <w:rFonts w:eastAsia="Calibri"/>
                <w:sz w:val="18"/>
                <w:szCs w:val="18"/>
              </w:rPr>
            </w:pPr>
          </w:p>
        </w:tc>
        <w:tc>
          <w:tcPr>
            <w:tcW w:w="1126" w:type="dxa"/>
            <w:vMerge/>
          </w:tcPr>
          <w:p w14:paraId="155E2BD0" w14:textId="77777777" w:rsidR="00507C15" w:rsidRPr="00316837" w:rsidRDefault="00507C15" w:rsidP="00A40D3F">
            <w:pPr>
              <w:spacing w:before="120" w:after="120"/>
              <w:jc w:val="left"/>
              <w:rPr>
                <w:rFonts w:eastAsia="Calibri"/>
                <w:sz w:val="18"/>
                <w:szCs w:val="18"/>
              </w:rPr>
            </w:pPr>
          </w:p>
        </w:tc>
        <w:tc>
          <w:tcPr>
            <w:tcW w:w="1403" w:type="dxa"/>
          </w:tcPr>
          <w:p w14:paraId="58C37917"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Building institutional capacity </w:t>
            </w:r>
          </w:p>
        </w:tc>
        <w:tc>
          <w:tcPr>
            <w:tcW w:w="6373" w:type="dxa"/>
          </w:tcPr>
          <w:p w14:paraId="5E095FD7" w14:textId="77777777" w:rsidR="00507C15" w:rsidRPr="00316837" w:rsidRDefault="00507C15" w:rsidP="00A40D3F">
            <w:pPr>
              <w:spacing w:before="120"/>
              <w:jc w:val="left"/>
              <w:rPr>
                <w:rFonts w:eastAsia="Calibri"/>
                <w:sz w:val="18"/>
                <w:szCs w:val="18"/>
              </w:rPr>
            </w:pPr>
            <w:r w:rsidRPr="00316837">
              <w:rPr>
                <w:rFonts w:eastAsia="Calibri"/>
                <w:sz w:val="18"/>
                <w:szCs w:val="18"/>
              </w:rPr>
              <w:t xml:space="preserve">Human resources skills consolidated and strengthened to supervise the increase in regional electricity trade via the integrated electricity systems during the integration phase: </w:t>
            </w:r>
          </w:p>
          <w:p w14:paraId="28AE97F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Building of individual operator capacities in line with recommendations from the human resources audit (Phase 1 - Sub-activity 5); </w:t>
            </w:r>
          </w:p>
          <w:p w14:paraId="4D07D46A"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lastRenderedPageBreak/>
              <w:t xml:space="preserve">Upgrading of protection systems, automatic systems and transmission systems in line with recommendations from the technical audit (Phase 1 - Sub-activity 4); </w:t>
            </w:r>
          </w:p>
          <w:p w14:paraId="406CB48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Building of collective and organisational capacities of the entities responsible for the integrated electricity systems; and </w:t>
            </w:r>
          </w:p>
          <w:p w14:paraId="2555BC70" w14:textId="77777777" w:rsidR="00507C15" w:rsidRPr="00316837" w:rsidRDefault="00507C15" w:rsidP="00A40D3F">
            <w:pPr>
              <w:pStyle w:val="ListParagraph"/>
              <w:numPr>
                <w:ilvl w:val="0"/>
                <w:numId w:val="20"/>
              </w:numPr>
              <w:spacing w:before="120" w:line="288" w:lineRule="auto"/>
              <w:jc w:val="left"/>
              <w:rPr>
                <w:rFonts w:eastAsia="Calibri"/>
                <w:sz w:val="18"/>
                <w:szCs w:val="18"/>
                <w:lang w:val="en-GB"/>
              </w:rPr>
            </w:pPr>
            <w:r w:rsidRPr="00316837">
              <w:rPr>
                <w:rFonts w:ascii="Arial" w:eastAsia="Calibri" w:hAnsi="Arial" w:cs="Arial"/>
                <w:sz w:val="18"/>
                <w:szCs w:val="18"/>
                <w:lang w:val="en-GB"/>
              </w:rPr>
              <w:t xml:space="preserve">Evaluation of the CAPP Operating Code and update under the supervision of the Operations Sub-Committee. </w:t>
            </w:r>
          </w:p>
        </w:tc>
      </w:tr>
      <w:tr w:rsidR="00507C15" w:rsidRPr="00316837" w14:paraId="25F9BB5F" w14:textId="77777777" w:rsidTr="00A40D3F">
        <w:tc>
          <w:tcPr>
            <w:tcW w:w="727" w:type="dxa"/>
            <w:vMerge/>
          </w:tcPr>
          <w:p w14:paraId="3AD4054D" w14:textId="77777777" w:rsidR="00507C15" w:rsidRPr="00316837" w:rsidRDefault="00507C15" w:rsidP="00A40D3F">
            <w:pPr>
              <w:spacing w:before="120" w:after="120"/>
              <w:jc w:val="left"/>
              <w:rPr>
                <w:rFonts w:eastAsia="Calibri"/>
                <w:sz w:val="18"/>
                <w:szCs w:val="18"/>
              </w:rPr>
            </w:pPr>
          </w:p>
        </w:tc>
        <w:tc>
          <w:tcPr>
            <w:tcW w:w="1126" w:type="dxa"/>
            <w:vMerge/>
          </w:tcPr>
          <w:p w14:paraId="72DC3A0E" w14:textId="77777777" w:rsidR="00507C15" w:rsidRPr="00316837" w:rsidRDefault="00507C15" w:rsidP="00A40D3F">
            <w:pPr>
              <w:spacing w:before="120" w:after="120"/>
              <w:jc w:val="left"/>
              <w:rPr>
                <w:rFonts w:eastAsia="Calibri"/>
                <w:sz w:val="18"/>
                <w:szCs w:val="18"/>
              </w:rPr>
            </w:pPr>
          </w:p>
        </w:tc>
        <w:tc>
          <w:tcPr>
            <w:tcW w:w="1403" w:type="dxa"/>
          </w:tcPr>
          <w:p w14:paraId="05AC182F"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Creation of a legal and regulatory environment </w:t>
            </w:r>
          </w:p>
        </w:tc>
        <w:tc>
          <w:tcPr>
            <w:tcW w:w="6373" w:type="dxa"/>
          </w:tcPr>
          <w:p w14:paraId="36288889" w14:textId="77777777" w:rsidR="00507C15" w:rsidRPr="00316837" w:rsidRDefault="00507C15" w:rsidP="00A40D3F">
            <w:pPr>
              <w:spacing w:before="120"/>
              <w:jc w:val="left"/>
              <w:rPr>
                <w:rFonts w:eastAsia="Calibri"/>
                <w:sz w:val="18"/>
                <w:szCs w:val="18"/>
              </w:rPr>
            </w:pPr>
            <w:r w:rsidRPr="00316837">
              <w:rPr>
                <w:rFonts w:eastAsia="Calibri"/>
                <w:sz w:val="18"/>
                <w:szCs w:val="18"/>
              </w:rPr>
              <w:t xml:space="preserve">Harmonisation of national regulations and existence of legal provisions essential for the development of the regional electricity market: </w:t>
            </w:r>
          </w:p>
          <w:p w14:paraId="4C0AB1DB"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Review of suitability of regional and national legislation in light of the actual situation and needs of the regional electricity market following entry into operation of the priority infrastructure projects; </w:t>
            </w:r>
          </w:p>
          <w:p w14:paraId="51560057"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Verification in real-time as the priority infrastructure projects come on-line of the alignment of legal provisions with the realities and needs of the regional electricity market, and if necessary make suggestions and recommendations for any necessary adjustments in coordination with CAPP member states; and </w:t>
            </w:r>
          </w:p>
          <w:p w14:paraId="6B57E504" w14:textId="77777777" w:rsidR="00507C15" w:rsidRPr="00316837" w:rsidRDefault="00507C15" w:rsidP="00A40D3F">
            <w:pPr>
              <w:pStyle w:val="ListParagraph"/>
              <w:numPr>
                <w:ilvl w:val="0"/>
                <w:numId w:val="20"/>
              </w:numPr>
              <w:spacing w:before="120" w:line="288" w:lineRule="auto"/>
              <w:jc w:val="left"/>
              <w:rPr>
                <w:rFonts w:eastAsia="Calibri"/>
                <w:sz w:val="18"/>
                <w:szCs w:val="18"/>
                <w:lang w:val="en-GB"/>
              </w:rPr>
            </w:pPr>
            <w:r w:rsidRPr="00316837">
              <w:rPr>
                <w:rFonts w:ascii="Arial" w:eastAsia="Calibri" w:hAnsi="Arial" w:cs="Arial"/>
                <w:sz w:val="18"/>
                <w:szCs w:val="18"/>
                <w:lang w:val="en-GB"/>
              </w:rPr>
              <w:t xml:space="preserve">Adoption, if necessary, of modified bills beginning with the reform of regional legislation and then moving on to national laws. </w:t>
            </w:r>
          </w:p>
        </w:tc>
      </w:tr>
      <w:tr w:rsidR="00507C15" w:rsidRPr="00316837" w14:paraId="104BEDD3" w14:textId="77777777" w:rsidTr="00A40D3F">
        <w:tc>
          <w:tcPr>
            <w:tcW w:w="727" w:type="dxa"/>
            <w:vMerge/>
          </w:tcPr>
          <w:p w14:paraId="7895FB28" w14:textId="77777777" w:rsidR="00507C15" w:rsidRPr="00316837" w:rsidRDefault="00507C15" w:rsidP="00A40D3F">
            <w:pPr>
              <w:spacing w:before="120" w:after="120"/>
              <w:jc w:val="left"/>
              <w:rPr>
                <w:rFonts w:eastAsia="Calibri"/>
                <w:sz w:val="18"/>
                <w:szCs w:val="18"/>
              </w:rPr>
            </w:pPr>
          </w:p>
        </w:tc>
        <w:tc>
          <w:tcPr>
            <w:tcW w:w="1126" w:type="dxa"/>
            <w:vMerge/>
          </w:tcPr>
          <w:p w14:paraId="2CD130F5" w14:textId="77777777" w:rsidR="00507C15" w:rsidRPr="00316837" w:rsidRDefault="00507C15" w:rsidP="00A40D3F">
            <w:pPr>
              <w:spacing w:before="120" w:after="120"/>
              <w:jc w:val="left"/>
              <w:rPr>
                <w:rFonts w:eastAsia="Calibri"/>
                <w:sz w:val="18"/>
                <w:szCs w:val="18"/>
              </w:rPr>
            </w:pPr>
          </w:p>
        </w:tc>
        <w:tc>
          <w:tcPr>
            <w:tcW w:w="1403" w:type="dxa"/>
          </w:tcPr>
          <w:p w14:paraId="704FF18E"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Establishment of trade rules and regulatory framework </w:t>
            </w:r>
          </w:p>
        </w:tc>
        <w:tc>
          <w:tcPr>
            <w:tcW w:w="6373" w:type="dxa"/>
          </w:tcPr>
          <w:p w14:paraId="45F2CA86" w14:textId="77777777" w:rsidR="00507C15" w:rsidRPr="00316837" w:rsidRDefault="00507C15" w:rsidP="00A40D3F">
            <w:pPr>
              <w:spacing w:before="120"/>
              <w:jc w:val="left"/>
              <w:rPr>
                <w:rFonts w:eastAsia="Calibri"/>
                <w:sz w:val="18"/>
                <w:szCs w:val="18"/>
              </w:rPr>
            </w:pPr>
            <w:r w:rsidRPr="00316837">
              <w:rPr>
                <w:rFonts w:eastAsia="Calibri"/>
                <w:sz w:val="18"/>
                <w:szCs w:val="18"/>
              </w:rPr>
              <w:t xml:space="preserve">Focus on the development of the Central Africa Regional Electricity Regulation Commission: </w:t>
            </w:r>
          </w:p>
          <w:p w14:paraId="0E504CED"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Presentation of the tools prepared in Phase 1 to CAPP member states and sector stakeholders; </w:t>
            </w:r>
          </w:p>
          <w:p w14:paraId="39A3D63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Monitoring and coordination of the use by CAPP member states and stakeholders of interconnection agreements/contracts; </w:t>
            </w:r>
          </w:p>
          <w:p w14:paraId="5D5D1B8C"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Analysis of the optimal institutional structure to manage interconnected networks on the basis of contracts from Phase 1; </w:t>
            </w:r>
          </w:p>
          <w:p w14:paraId="57F6AC77"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Draft community agreement and other documents required for the Commission to function, including the basic principles regarding the legal structure of the regional regulatory authority, the composition and operation of its components, guarantees of independence and of course technical and financial resources; </w:t>
            </w:r>
          </w:p>
          <w:p w14:paraId="2D432C92"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Organisation of seminars so CAPP member states can take ownership of the process with a view to adopting an action plan and a roadmap; and </w:t>
            </w:r>
          </w:p>
          <w:p w14:paraId="0511A0A1" w14:textId="77777777" w:rsidR="00507C15" w:rsidRPr="00316837" w:rsidRDefault="00507C15" w:rsidP="00A40D3F">
            <w:pPr>
              <w:pStyle w:val="ListParagraph"/>
              <w:numPr>
                <w:ilvl w:val="0"/>
                <w:numId w:val="20"/>
              </w:numPr>
              <w:spacing w:before="120" w:line="288" w:lineRule="auto"/>
              <w:jc w:val="left"/>
              <w:rPr>
                <w:rFonts w:eastAsia="Calibri"/>
                <w:sz w:val="18"/>
                <w:szCs w:val="18"/>
                <w:lang w:val="en-GB"/>
              </w:rPr>
            </w:pPr>
            <w:r w:rsidRPr="00316837">
              <w:rPr>
                <w:rFonts w:ascii="Arial" w:eastAsia="Calibri" w:hAnsi="Arial" w:cs="Arial"/>
                <w:sz w:val="18"/>
                <w:szCs w:val="18"/>
                <w:lang w:val="en-GB"/>
              </w:rPr>
              <w:t xml:space="preserve">Coordination and monitoring by CAPP of the action plan and the roadmap to create and launch the Commission. </w:t>
            </w:r>
          </w:p>
        </w:tc>
      </w:tr>
      <w:tr w:rsidR="00507C15" w:rsidRPr="00316837" w14:paraId="62E2D416" w14:textId="77777777" w:rsidTr="00A40D3F">
        <w:tc>
          <w:tcPr>
            <w:tcW w:w="727" w:type="dxa"/>
            <w:vMerge/>
          </w:tcPr>
          <w:p w14:paraId="4BEF6702" w14:textId="77777777" w:rsidR="00507C15" w:rsidRPr="00316837" w:rsidRDefault="00507C15" w:rsidP="00A40D3F">
            <w:pPr>
              <w:spacing w:before="120" w:after="120"/>
              <w:jc w:val="left"/>
              <w:rPr>
                <w:rFonts w:eastAsia="Calibri"/>
                <w:sz w:val="18"/>
                <w:szCs w:val="18"/>
              </w:rPr>
            </w:pPr>
          </w:p>
        </w:tc>
        <w:tc>
          <w:tcPr>
            <w:tcW w:w="1126" w:type="dxa"/>
            <w:vMerge/>
          </w:tcPr>
          <w:p w14:paraId="3A4F89C6" w14:textId="77777777" w:rsidR="00507C15" w:rsidRPr="00316837" w:rsidRDefault="00507C15" w:rsidP="00A40D3F">
            <w:pPr>
              <w:spacing w:before="120" w:after="120"/>
              <w:jc w:val="left"/>
              <w:rPr>
                <w:rFonts w:eastAsia="Calibri"/>
                <w:sz w:val="18"/>
                <w:szCs w:val="18"/>
              </w:rPr>
            </w:pPr>
          </w:p>
        </w:tc>
        <w:tc>
          <w:tcPr>
            <w:tcW w:w="1403" w:type="dxa"/>
          </w:tcPr>
          <w:p w14:paraId="186546CD" w14:textId="77777777" w:rsidR="00507C15" w:rsidRPr="00316837" w:rsidRDefault="00507C15" w:rsidP="00A40D3F">
            <w:pPr>
              <w:spacing w:before="120" w:after="120"/>
              <w:jc w:val="left"/>
              <w:rPr>
                <w:rFonts w:eastAsia="Calibri"/>
                <w:sz w:val="18"/>
                <w:szCs w:val="18"/>
              </w:rPr>
            </w:pPr>
            <w:r w:rsidRPr="00316837">
              <w:rPr>
                <w:rFonts w:eastAsia="Calibri"/>
                <w:sz w:val="18"/>
                <w:szCs w:val="18"/>
              </w:rPr>
              <w:t xml:space="preserve">Establishing and interpreting technical rules for operations </w:t>
            </w:r>
          </w:p>
        </w:tc>
        <w:tc>
          <w:tcPr>
            <w:tcW w:w="6373" w:type="dxa"/>
          </w:tcPr>
          <w:p w14:paraId="0059E019" w14:textId="77777777" w:rsidR="00507C15" w:rsidRPr="00316837" w:rsidRDefault="00507C15" w:rsidP="00A40D3F">
            <w:pPr>
              <w:spacing w:before="120"/>
              <w:jc w:val="left"/>
              <w:rPr>
                <w:rFonts w:eastAsia="Calibri"/>
                <w:sz w:val="18"/>
                <w:szCs w:val="18"/>
              </w:rPr>
            </w:pPr>
            <w:r w:rsidRPr="00316837">
              <w:rPr>
                <w:rFonts w:eastAsia="Calibri"/>
                <w:sz w:val="18"/>
                <w:szCs w:val="18"/>
              </w:rPr>
              <w:t xml:space="preserve">Coordination of electricity trade: </w:t>
            </w:r>
          </w:p>
          <w:p w14:paraId="12F6C659"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Promotion of the CAPP Operating Code; </w:t>
            </w:r>
          </w:p>
          <w:p w14:paraId="2023FEB4"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Monitoring of the SCADA action plan; </w:t>
            </w:r>
          </w:p>
          <w:p w14:paraId="1FEF1458"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Organisation of a single centralised RSMO; </w:t>
            </w:r>
          </w:p>
          <w:p w14:paraId="31EC2E90"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Transfer of integrated electricity systems to the 2030 Central Africa Interconnected Power System; </w:t>
            </w:r>
          </w:p>
          <w:p w14:paraId="4CC325CD"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t xml:space="preserve">Audit of financial, human and organisational resources of the 2030 Central Africa Interconnected Power System and proposal of improvements; and </w:t>
            </w:r>
          </w:p>
          <w:p w14:paraId="758DFAFE" w14:textId="77777777" w:rsidR="00507C15" w:rsidRPr="00316837" w:rsidRDefault="00507C15" w:rsidP="00A40D3F">
            <w:pPr>
              <w:pStyle w:val="ListParagraph"/>
              <w:numPr>
                <w:ilvl w:val="0"/>
                <w:numId w:val="20"/>
              </w:numPr>
              <w:spacing w:before="120" w:line="288" w:lineRule="auto"/>
              <w:jc w:val="left"/>
              <w:rPr>
                <w:rFonts w:ascii="Arial" w:eastAsia="Calibri" w:hAnsi="Arial" w:cs="Arial"/>
                <w:sz w:val="18"/>
                <w:szCs w:val="18"/>
                <w:lang w:val="en-GB"/>
              </w:rPr>
            </w:pPr>
            <w:r w:rsidRPr="00316837">
              <w:rPr>
                <w:rFonts w:ascii="Arial" w:eastAsia="Calibri" w:hAnsi="Arial" w:cs="Arial"/>
                <w:sz w:val="18"/>
                <w:szCs w:val="18"/>
                <w:lang w:val="en-GB"/>
              </w:rPr>
              <w:lastRenderedPageBreak/>
              <w:t xml:space="preserve">Place the RSMO under an integrated management system of the 2030 Central Africa Interconnected Power System. </w:t>
            </w:r>
          </w:p>
        </w:tc>
      </w:tr>
    </w:tbl>
    <w:p w14:paraId="60B0ADE6" w14:textId="7F666DB2" w:rsidR="00507C15" w:rsidRDefault="00507C15" w:rsidP="006D5907">
      <w:pPr>
        <w:rPr>
          <w:rFonts w:eastAsia="Calibri"/>
        </w:rPr>
      </w:pPr>
    </w:p>
    <w:p w14:paraId="35B72986" w14:textId="77777777" w:rsidR="00507C15" w:rsidRPr="00316837" w:rsidRDefault="00507C15" w:rsidP="006D5907">
      <w:pPr>
        <w:rPr>
          <w:rFonts w:eastAsia="Calibri"/>
        </w:rPr>
      </w:pPr>
    </w:p>
    <w:sectPr w:rsidR="00507C15" w:rsidRPr="00316837" w:rsidSect="00A3058D">
      <w:pgSz w:w="11907" w:h="16839" w:code="9"/>
      <w:pgMar w:top="510" w:right="1134" w:bottom="964" w:left="1134" w:header="720" w:footer="567" w:gutter="0"/>
      <w:cols w:space="720"/>
      <w:formProt w:val="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5D9DB" w14:textId="77777777" w:rsidR="00B1286B" w:rsidRDefault="00B1286B">
      <w:r>
        <w:separator/>
      </w:r>
    </w:p>
    <w:p w14:paraId="6003803F" w14:textId="77777777" w:rsidR="00B1286B" w:rsidRDefault="00B1286B"/>
    <w:p w14:paraId="015BDAFD" w14:textId="77777777" w:rsidR="00B1286B" w:rsidRDefault="00B1286B"/>
    <w:p w14:paraId="3BECD72E" w14:textId="77777777" w:rsidR="00B1286B" w:rsidRDefault="00B1286B"/>
  </w:endnote>
  <w:endnote w:type="continuationSeparator" w:id="0">
    <w:p w14:paraId="2E5788B3" w14:textId="77777777" w:rsidR="00B1286B" w:rsidRDefault="00B1286B">
      <w:r>
        <w:continuationSeparator/>
      </w:r>
    </w:p>
    <w:p w14:paraId="6F2401D5" w14:textId="77777777" w:rsidR="00B1286B" w:rsidRDefault="00B1286B"/>
    <w:p w14:paraId="53673B2B" w14:textId="77777777" w:rsidR="00B1286B" w:rsidRDefault="00B1286B"/>
    <w:p w14:paraId="3A55C4F3" w14:textId="77777777" w:rsidR="00B1286B" w:rsidRDefault="00B12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Frutiger LT 47 LightCn">
    <w:altName w:val="Arial Narrow"/>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wis721 Cn BT">
    <w:altName w:val="Arial Narrow"/>
    <w:charset w:val="00"/>
    <w:family w:val="roman"/>
    <w:pitch w:val="default"/>
  </w:font>
  <w:font w:name="Garamond">
    <w:panose1 w:val="020204040303010108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9082624"/>
      <w:docPartObj>
        <w:docPartGallery w:val="Page Numbers (Bottom of Page)"/>
        <w:docPartUnique/>
      </w:docPartObj>
    </w:sdtPr>
    <w:sdtEndPr>
      <w:rPr>
        <w:noProof/>
      </w:rPr>
    </w:sdtEndPr>
    <w:sdtContent>
      <w:p w14:paraId="01FE036F" w14:textId="77777777" w:rsidR="005276A4" w:rsidRDefault="005276A4">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7822781"/>
      <w:docPartObj>
        <w:docPartGallery w:val="Page Numbers (Bottom of Page)"/>
        <w:docPartUnique/>
      </w:docPartObj>
    </w:sdtPr>
    <w:sdtEndPr>
      <w:rPr>
        <w:noProof/>
      </w:rPr>
    </w:sdtEndPr>
    <w:sdtContent>
      <w:p w14:paraId="26ED5112" w14:textId="77777777" w:rsidR="005276A4" w:rsidRDefault="005276A4" w:rsidP="00371BAF">
        <w:pPr>
          <w:pStyle w:val="Footer"/>
          <w:jc w:val="center"/>
        </w:pPr>
        <w:r>
          <w:fldChar w:fldCharType="begin"/>
        </w:r>
        <w:r>
          <w:instrText xml:space="preserve"> PAGE   \* MERGEFORMAT </w:instrText>
        </w:r>
        <w:r>
          <w:fldChar w:fldCharType="separate"/>
        </w:r>
        <w:r w:rsidR="00363905">
          <w:rPr>
            <w:noProof/>
          </w:rPr>
          <w:t>viii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632360"/>
      <w:docPartObj>
        <w:docPartGallery w:val="Page Numbers (Bottom of Page)"/>
        <w:docPartUnique/>
      </w:docPartObj>
    </w:sdtPr>
    <w:sdtEndPr>
      <w:rPr>
        <w:noProof/>
      </w:rPr>
    </w:sdtEndPr>
    <w:sdtContent>
      <w:p w14:paraId="6D5DB0FA" w14:textId="77777777" w:rsidR="005276A4" w:rsidRDefault="005276A4" w:rsidP="007C027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03C99" w14:textId="77777777" w:rsidR="00B1286B" w:rsidRDefault="00B1286B" w:rsidP="00405CCC">
      <w:r>
        <w:separator/>
      </w:r>
    </w:p>
  </w:footnote>
  <w:footnote w:type="continuationSeparator" w:id="0">
    <w:p w14:paraId="51577884" w14:textId="77777777" w:rsidR="00B1286B" w:rsidRDefault="00B1286B" w:rsidP="007C753F">
      <w:r>
        <w:continuationSeparator/>
      </w:r>
    </w:p>
  </w:footnote>
  <w:footnote w:type="continuationNotice" w:id="1">
    <w:p w14:paraId="485EC4D7" w14:textId="77777777" w:rsidR="00B1286B" w:rsidRPr="00946001" w:rsidRDefault="00B1286B" w:rsidP="00946001">
      <w:pPr>
        <w:pStyle w:val="Footer"/>
      </w:pPr>
    </w:p>
  </w:footnote>
  <w:footnote w:id="2">
    <w:p w14:paraId="47B49269" w14:textId="457E0AA2" w:rsidR="005276A4" w:rsidRPr="000F1F74" w:rsidRDefault="005276A4" w:rsidP="000D52F1">
      <w:pPr>
        <w:pStyle w:val="FootnoteText"/>
        <w:rPr>
          <w:rFonts w:cs="Arial"/>
          <w:sz w:val="20"/>
          <w:szCs w:val="20"/>
          <w:lang w:val="el-GR"/>
        </w:rPr>
      </w:pPr>
      <w:r w:rsidRPr="000F1F74">
        <w:rPr>
          <w:rStyle w:val="FootnoteReference"/>
          <w:rFonts w:cs="Arial"/>
        </w:rPr>
        <w:footnoteRef/>
      </w:r>
      <w:r w:rsidRPr="000F1F74">
        <w:rPr>
          <w:rFonts w:cs="Arial"/>
        </w:rPr>
        <w:t xml:space="preserve"> </w:t>
      </w:r>
      <w:r w:rsidRPr="000F1F74">
        <w:rPr>
          <w:rFonts w:cs="Arial"/>
          <w:lang w:val="el-GR"/>
        </w:rPr>
        <w:t>Τ</w:t>
      </w:r>
      <w:r w:rsidRPr="000F1F74">
        <w:rPr>
          <w:rFonts w:cs="Arial"/>
          <w:color w:val="333333"/>
          <w:shd w:val="clear" w:color="auto" w:fill="FFFFFF"/>
        </w:rPr>
        <w:t>enenbaum, Bernard; Greacen, Chris; Vaghela, Dipti. 2018.</w:t>
      </w:r>
      <w:r>
        <w:rPr>
          <w:rFonts w:cs="Arial"/>
          <w:color w:val="333333"/>
          <w:shd w:val="clear" w:color="auto" w:fill="FFFFFF"/>
        </w:rPr>
        <w:t xml:space="preserve"> </w:t>
      </w:r>
      <w:r w:rsidRPr="000F1F74">
        <w:rPr>
          <w:rFonts w:cs="Arial"/>
          <w:color w:val="333333"/>
          <w:shd w:val="clear" w:color="auto" w:fill="FFFFFF"/>
        </w:rPr>
        <w:t>Mini-Grids and Arrival of the Main Grid: Lessons from Cambodia, Sri Lanka, and Indonesia.</w:t>
      </w:r>
      <w:r>
        <w:rPr>
          <w:rFonts w:cs="Arial"/>
          <w:color w:val="333333"/>
          <w:shd w:val="clear" w:color="auto" w:fill="FFFFFF"/>
        </w:rPr>
        <w:t xml:space="preserve"> </w:t>
      </w:r>
      <w:r w:rsidRPr="000F1F74">
        <w:rPr>
          <w:rFonts w:cs="Arial"/>
          <w:color w:val="333333"/>
          <w:shd w:val="clear" w:color="auto" w:fill="FFFFFF"/>
        </w:rPr>
        <w:t>Energy Sector Management Assistance Program Technical Report; No. 013/18.</w:t>
      </w:r>
      <w:r>
        <w:rPr>
          <w:rFonts w:cs="Arial"/>
          <w:color w:val="333333"/>
          <w:shd w:val="clear" w:color="auto" w:fill="FFFFFF"/>
        </w:rPr>
        <w:t xml:space="preserve"> </w:t>
      </w:r>
      <w:r w:rsidRPr="000F1F74">
        <w:rPr>
          <w:rFonts w:cs="Arial"/>
          <w:color w:val="333333"/>
          <w:shd w:val="clear" w:color="auto" w:fill="FFFFFF"/>
        </w:rPr>
        <w:t>World Bank, Washington, DC. © World Bank.</w:t>
      </w:r>
    </w:p>
  </w:footnote>
  <w:footnote w:id="3">
    <w:p w14:paraId="75619D5C" w14:textId="77777777" w:rsidR="005276A4" w:rsidRPr="006411AB" w:rsidRDefault="005276A4" w:rsidP="000D52F1">
      <w:pPr>
        <w:pStyle w:val="FootnoteText"/>
        <w:rPr>
          <w:lang w:val="en-US"/>
        </w:rPr>
      </w:pPr>
      <w:r>
        <w:rPr>
          <w:rStyle w:val="FootnoteReference"/>
        </w:rPr>
        <w:footnoteRef/>
      </w:r>
      <w:r>
        <w:t xml:space="preserve"> </w:t>
      </w:r>
      <w:r>
        <w:rPr>
          <w:lang w:val="en-US"/>
        </w:rPr>
        <w:t>Meister Consultants Group, Exploring Africa’s Mini-grid Tariff Methodologies, USAID, AUC, 2020</w:t>
      </w:r>
    </w:p>
  </w:footnote>
  <w:footnote w:id="4">
    <w:p w14:paraId="6002315E" w14:textId="77777777" w:rsidR="005276A4" w:rsidRPr="00466818" w:rsidRDefault="005276A4" w:rsidP="00826773">
      <w:pPr>
        <w:pStyle w:val="FootnoteText"/>
        <w:rPr>
          <w:lang w:val="en-US"/>
        </w:rPr>
      </w:pPr>
      <w:r>
        <w:rPr>
          <w:rStyle w:val="FootnoteReference"/>
        </w:rPr>
        <w:footnoteRef/>
      </w:r>
      <w:r>
        <w:t xml:space="preserve"> </w:t>
      </w:r>
      <w:r>
        <w:rPr>
          <w:lang w:val="en-US"/>
        </w:rPr>
        <w:t xml:space="preserve">NERC, </w:t>
      </w:r>
      <w:r w:rsidRPr="007E1D9B">
        <w:rPr>
          <w:lang w:val="en-US"/>
        </w:rPr>
        <w:t>NERC Regulation for Mini-Grid</w:t>
      </w:r>
      <w:r>
        <w:rPr>
          <w:lang w:val="en-US"/>
        </w:rPr>
        <w:t>, 2019</w:t>
      </w:r>
    </w:p>
  </w:footnote>
  <w:footnote w:id="5">
    <w:p w14:paraId="3FA03EAA" w14:textId="77777777" w:rsidR="005276A4" w:rsidRPr="007E1D9B" w:rsidRDefault="005276A4" w:rsidP="00826773">
      <w:pPr>
        <w:pStyle w:val="FootnoteText"/>
        <w:rPr>
          <w:lang w:val="en-US"/>
        </w:rPr>
      </w:pPr>
      <w:r>
        <w:rPr>
          <w:rStyle w:val="FootnoteReference"/>
        </w:rPr>
        <w:footnoteRef/>
      </w:r>
      <w:r>
        <w:t xml:space="preserve"> </w:t>
      </w:r>
      <w:r w:rsidRPr="007E1D9B">
        <w:t>IRENA, Policies and Regulations for Renewable Energy Mini-grids, 2018</w:t>
      </w:r>
    </w:p>
  </w:footnote>
  <w:footnote w:id="6">
    <w:p w14:paraId="6DDE7C9B" w14:textId="77777777" w:rsidR="005276A4" w:rsidRPr="007E1D9B" w:rsidRDefault="005276A4" w:rsidP="00C43CC1">
      <w:pPr>
        <w:pStyle w:val="FootnoteText"/>
        <w:rPr>
          <w:lang w:val="en-US"/>
        </w:rPr>
      </w:pPr>
      <w:r>
        <w:rPr>
          <w:rStyle w:val="FootnoteReference"/>
        </w:rPr>
        <w:footnoteRef/>
      </w:r>
      <w:r>
        <w:t xml:space="preserve"> </w:t>
      </w:r>
      <w:r>
        <w:rPr>
          <w:lang w:val="en-US"/>
        </w:rPr>
        <w:t>Ibid</w:t>
      </w:r>
    </w:p>
  </w:footnote>
  <w:footnote w:id="7">
    <w:p w14:paraId="08F020A6" w14:textId="77777777" w:rsidR="005276A4" w:rsidRPr="003B4547" w:rsidRDefault="005276A4" w:rsidP="00826773">
      <w:pPr>
        <w:pStyle w:val="FootnoteText"/>
        <w:rPr>
          <w:lang w:val="en-US"/>
        </w:rPr>
      </w:pPr>
      <w:r>
        <w:rPr>
          <w:rStyle w:val="FootnoteReference"/>
        </w:rPr>
        <w:footnoteRef/>
      </w:r>
      <w:r>
        <w:t xml:space="preserve"> </w:t>
      </w:r>
      <w:r w:rsidRPr="003B4547">
        <w:t>Energy Regulation Board, Technical Requirements for Mini-grids in Zambia, 2018</w:t>
      </w:r>
    </w:p>
  </w:footnote>
  <w:footnote w:id="8">
    <w:p w14:paraId="7E5F9972" w14:textId="77777777" w:rsidR="005276A4" w:rsidRPr="003B4547" w:rsidRDefault="005276A4" w:rsidP="00BA2342">
      <w:pPr>
        <w:pStyle w:val="FootnoteText"/>
        <w:rPr>
          <w:lang w:val="en-US"/>
        </w:rPr>
      </w:pPr>
      <w:r>
        <w:rPr>
          <w:rStyle w:val="FootnoteReference"/>
        </w:rPr>
        <w:footnoteRef/>
      </w:r>
      <w:r>
        <w:t xml:space="preserve"> </w:t>
      </w:r>
      <w:r w:rsidRPr="000F1F74">
        <w:t>Ministry of Petroleum and Energy of the Republic of The Gambia, Validated Green Mini-Grids Policy, 2020</w:t>
      </w:r>
    </w:p>
  </w:footnote>
  <w:footnote w:id="9">
    <w:p w14:paraId="69B9FD18" w14:textId="77777777" w:rsidR="005276A4" w:rsidRPr="000F1F74" w:rsidRDefault="005276A4" w:rsidP="00BA2342">
      <w:pPr>
        <w:pStyle w:val="FootnoteText"/>
        <w:rPr>
          <w:lang w:val="en-US"/>
        </w:rPr>
      </w:pPr>
      <w:r>
        <w:rPr>
          <w:rStyle w:val="FootnoteReference"/>
        </w:rPr>
        <w:footnoteRef/>
      </w:r>
      <w:r>
        <w:t xml:space="preserve"> </w:t>
      </w:r>
      <w:r w:rsidRPr="007E1D9B">
        <w:t>IRENA, Policies and Regulations for Renewable Energy Mini-grids, 2018</w:t>
      </w:r>
    </w:p>
  </w:footnote>
  <w:footnote w:id="10">
    <w:p w14:paraId="4DF7E765" w14:textId="77777777" w:rsidR="005276A4" w:rsidRPr="00DE750D" w:rsidRDefault="005276A4" w:rsidP="00CF0A0C">
      <w:pPr>
        <w:pStyle w:val="FootnoteText"/>
        <w:rPr>
          <w:lang w:val="el-GR"/>
        </w:rPr>
      </w:pPr>
      <w:r>
        <w:rPr>
          <w:rStyle w:val="FootnoteReference"/>
        </w:rPr>
        <w:footnoteRef/>
      </w:r>
      <w:r>
        <w:t xml:space="preserve"> </w:t>
      </w:r>
      <w:r w:rsidRPr="00466818">
        <w:t>Tetratech, Unlocking Africa’s Mini-Grid Market, USAID, AUC, 2019</w:t>
      </w:r>
    </w:p>
  </w:footnote>
  <w:footnote w:id="11">
    <w:p w14:paraId="25BB80B2" w14:textId="674E06AF" w:rsidR="005276A4" w:rsidRDefault="005276A4" w:rsidP="000042B9">
      <w:pPr>
        <w:pStyle w:val="FootnoteText"/>
      </w:pPr>
      <w:r>
        <w:rPr>
          <w:rStyle w:val="FootnoteReference"/>
        </w:rPr>
        <w:footnoteRef/>
      </w:r>
      <w:r>
        <w:t xml:space="preserve"> CW235, Deliverables 2 and 3 Report (Continental Master Plan 1) </w:t>
      </w:r>
    </w:p>
  </w:footnote>
  <w:footnote w:id="12">
    <w:p w14:paraId="762B8D8B" w14:textId="77777777" w:rsidR="005276A4" w:rsidRDefault="005276A4" w:rsidP="00137A36">
      <w:pPr>
        <w:pStyle w:val="FootnoteText"/>
      </w:pPr>
      <w:r>
        <w:rPr>
          <w:rStyle w:val="FootnoteReference"/>
        </w:rPr>
        <w:footnoteRef/>
      </w:r>
      <w:r>
        <w:t xml:space="preserve"> </w:t>
      </w:r>
      <w:r w:rsidRPr="00E65EB0">
        <w:t xml:space="preserve">Federal Energy Regulatory Commission </w:t>
      </w:r>
      <w:r>
        <w:t>(FERC), 1995, USA.</w:t>
      </w:r>
    </w:p>
  </w:footnote>
  <w:footnote w:id="13">
    <w:p w14:paraId="788A9E4E" w14:textId="77777777" w:rsidR="005276A4" w:rsidRPr="00CA1361" w:rsidRDefault="005276A4" w:rsidP="006E21B8">
      <w:pPr>
        <w:pStyle w:val="FootnoteText"/>
        <w:spacing w:after="120"/>
        <w:rPr>
          <w:lang w:val="en-US"/>
        </w:rPr>
      </w:pPr>
      <w:r>
        <w:rPr>
          <w:rStyle w:val="FootnoteReference"/>
        </w:rPr>
        <w:footnoteRef/>
      </w:r>
      <w:r>
        <w:t xml:space="preserve"> </w:t>
      </w:r>
      <w:r>
        <w:rPr>
          <w:lang w:val="en-US"/>
        </w:rPr>
        <w:t xml:space="preserve">IEC, IEC 62116:2014 </w:t>
      </w:r>
      <w:r w:rsidRPr="00CA1361">
        <w:rPr>
          <w:lang w:val="en-US"/>
        </w:rPr>
        <w:t>Utility-interconnected photovoltaic inverters - Test procedure of islanding prevention measures</w:t>
      </w:r>
      <w:r>
        <w:rPr>
          <w:lang w:val="en-US"/>
        </w:rPr>
        <w:t xml:space="preserve">, </w:t>
      </w:r>
      <w:hyperlink r:id="rId1" w:history="1">
        <w:r w:rsidRPr="00314EE1">
          <w:rPr>
            <w:rStyle w:val="Hyperlink"/>
            <w:lang w:val="en-US"/>
          </w:rPr>
          <w:t>https://webstore.iec.ch/publication/6479</w:t>
        </w:r>
      </w:hyperlink>
      <w:r>
        <w:rPr>
          <w:lang w:val="en-US"/>
        </w:rPr>
        <w:t xml:space="preserve"> </w:t>
      </w:r>
    </w:p>
  </w:footnote>
  <w:footnote w:id="14">
    <w:p w14:paraId="78E80A66" w14:textId="77777777" w:rsidR="005276A4" w:rsidRPr="00CA452B" w:rsidRDefault="005276A4" w:rsidP="006E21B8">
      <w:pPr>
        <w:pStyle w:val="FootnoteText"/>
        <w:spacing w:after="120"/>
        <w:rPr>
          <w:lang w:val="en-US"/>
        </w:rPr>
      </w:pPr>
      <w:r>
        <w:rPr>
          <w:rStyle w:val="FootnoteReference"/>
        </w:rPr>
        <w:footnoteRef/>
      </w:r>
      <w:r>
        <w:t xml:space="preserve"> </w:t>
      </w:r>
      <w:r w:rsidRPr="00CA452B">
        <w:t xml:space="preserve">ABB's </w:t>
      </w:r>
      <w:r>
        <w:t>Grid-connected mini-grid</w:t>
      </w:r>
      <w:r w:rsidRPr="00CA452B">
        <w:t xml:space="preserve"> installation in Johannesburg</w:t>
      </w:r>
      <w:r>
        <w:t xml:space="preserve">, South Africa, </w:t>
      </w:r>
      <w:hyperlink r:id="rId2" w:history="1">
        <w:r w:rsidRPr="00314EE1">
          <w:rPr>
            <w:rStyle w:val="Hyperlink"/>
          </w:rPr>
          <w:t>https://new.abb.com/news/detail/45805/abb-inaugurates-microgrid-in-south-africa-boosting-renewables-and-power-reliability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alias w:val="Title"/>
      <w:tag w:val=""/>
      <w:id w:val="141634336"/>
      <w:dataBinding w:prefixMappings="xmlns:ns0='http://purl.org/dc/elements/1.1/' xmlns:ns1='http://schemas.openxmlformats.org/package/2006/metadata/core-properties' " w:xpath="/ns1:coreProperties[1]/ns0:title[1]" w:storeItemID="{6C3C8BC8-F283-45AE-878A-BAB7291924A1}"/>
      <w:text/>
    </w:sdtPr>
    <w:sdtEndPr/>
    <w:sdtContent>
      <w:p w14:paraId="3B8C03FA" w14:textId="2D227BD1" w:rsidR="005276A4" w:rsidRPr="001259B7" w:rsidRDefault="005276A4" w:rsidP="001259B7">
        <w:pPr>
          <w:pStyle w:val="Header"/>
          <w:jc w:val="center"/>
          <w:rPr>
            <w:rFonts w:ascii="Arial" w:hAnsi="Arial" w:cs="Arial"/>
            <w:sz w:val="21"/>
            <w:lang w:val="en-GB"/>
          </w:rPr>
        </w:pPr>
        <w:r>
          <w:rPr>
            <w:rFonts w:ascii="Arial" w:hAnsi="Arial" w:cs="Arial"/>
          </w:rPr>
          <w:t>Sustainable Energy - West and Central Africa</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B7D43" w14:textId="77777777" w:rsidR="005276A4" w:rsidRPr="007C38FC" w:rsidRDefault="005276A4" w:rsidP="007C38FC">
    <w:pPr>
      <w:pBdr>
        <w:bottom w:val="single" w:sz="2" w:space="4" w:color="auto"/>
      </w:pBdr>
      <w:tabs>
        <w:tab w:val="right" w:pos="9356"/>
      </w:tabs>
      <w:spacing w:before="0"/>
      <w:jc w:val="center"/>
      <w:rPr>
        <w:rFonts w:cs="Arial"/>
        <w:sz w:val="22"/>
      </w:rPr>
    </w:pPr>
    <w:r w:rsidRPr="007C38FC">
      <w:rPr>
        <w:rFonts w:cs="Arial"/>
        <w:sz w:val="18"/>
      </w:rPr>
      <w:t>Sustainable Energy - West and Central Africa</w:t>
    </w:r>
  </w:p>
  <w:p w14:paraId="33D14AA2" w14:textId="77777777" w:rsidR="005276A4" w:rsidRPr="007C38FC" w:rsidRDefault="005276A4" w:rsidP="007C38FC">
    <w:pPr>
      <w:tabs>
        <w:tab w:val="center" w:pos="4513"/>
        <w:tab w:val="right" w:pos="9026"/>
      </w:tabs>
      <w:suppressAutoHyphens w:val="0"/>
      <w:spacing w:before="0" w:line="240" w:lineRule="auto"/>
      <w:jc w:val="left"/>
      <w:rPr>
        <w:rFonts w:eastAsia="Calibri" w:cs="Arial"/>
        <w:color w:val="394A58"/>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4C40"/>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E62D4"/>
    <w:multiLevelType w:val="hybridMultilevel"/>
    <w:tmpl w:val="417EF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104C0"/>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00D44"/>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0E06E2"/>
    <w:multiLevelType w:val="hybridMultilevel"/>
    <w:tmpl w:val="A13E54EC"/>
    <w:lvl w:ilvl="0" w:tplc="43A2EF40">
      <w:start w:val="1"/>
      <w:numFmt w:val="bullet"/>
      <w:pStyle w:val="ListBullet"/>
      <w:lvlText w:val=""/>
      <w:lvlJc w:val="left"/>
      <w:pPr>
        <w:ind w:left="360" w:hanging="360"/>
      </w:pPr>
      <w:rPr>
        <w:rFonts w:ascii="Symbol" w:hAnsi="Symbol" w:hint="default"/>
        <w:lang w:val="fr-FR"/>
      </w:rPr>
    </w:lvl>
    <w:lvl w:ilvl="1" w:tplc="040C0003">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678605A"/>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CE10BE"/>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D3274C"/>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AE5B48"/>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BC3F11"/>
    <w:multiLevelType w:val="hybridMultilevel"/>
    <w:tmpl w:val="9B8E2A52"/>
    <w:lvl w:ilvl="0" w:tplc="F2F8A45A">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2328F4"/>
    <w:multiLevelType w:val="hybridMultilevel"/>
    <w:tmpl w:val="DE2A94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02178A0"/>
    <w:multiLevelType w:val="hybridMultilevel"/>
    <w:tmpl w:val="E6803A00"/>
    <w:name w:val="Appendices"/>
    <w:lvl w:ilvl="0" w:tplc="CA8AA846">
      <w:start w:val="1"/>
      <w:numFmt w:val="bullet"/>
      <w:pStyle w:val="tablebullets"/>
      <w:lvlText w:val=""/>
      <w:lvlJc w:val="left"/>
      <w:pPr>
        <w:tabs>
          <w:tab w:val="num" w:pos="227"/>
        </w:tabs>
        <w:ind w:left="227" w:hanging="227"/>
      </w:pPr>
      <w:rPr>
        <w:rFonts w:ascii="Wingdings" w:hAnsi="Wingdings" w:hint="default"/>
        <w:color w:val="auto"/>
      </w:rPr>
    </w:lvl>
    <w:lvl w:ilvl="1" w:tplc="98406E04">
      <w:start w:val="1"/>
      <w:numFmt w:val="bullet"/>
      <w:lvlText w:val="o"/>
      <w:lvlJc w:val="left"/>
      <w:pPr>
        <w:tabs>
          <w:tab w:val="num" w:pos="1440"/>
        </w:tabs>
        <w:ind w:left="1440" w:hanging="360"/>
      </w:pPr>
      <w:rPr>
        <w:rFonts w:ascii="Courier New" w:hAnsi="Courier New" w:hint="default"/>
      </w:rPr>
    </w:lvl>
    <w:lvl w:ilvl="2" w:tplc="1AB4CAC4">
      <w:start w:val="1"/>
      <w:numFmt w:val="bullet"/>
      <w:lvlText w:val=""/>
      <w:lvlJc w:val="left"/>
      <w:pPr>
        <w:tabs>
          <w:tab w:val="num" w:pos="2160"/>
        </w:tabs>
        <w:ind w:left="2160" w:hanging="360"/>
      </w:pPr>
      <w:rPr>
        <w:rFonts w:ascii="Wingdings" w:hAnsi="Wingdings" w:hint="default"/>
      </w:rPr>
    </w:lvl>
    <w:lvl w:ilvl="3" w:tplc="78ACE2C8" w:tentative="1">
      <w:start w:val="1"/>
      <w:numFmt w:val="bullet"/>
      <w:lvlText w:val=""/>
      <w:lvlJc w:val="left"/>
      <w:pPr>
        <w:tabs>
          <w:tab w:val="num" w:pos="2880"/>
        </w:tabs>
        <w:ind w:left="2880" w:hanging="360"/>
      </w:pPr>
      <w:rPr>
        <w:rFonts w:ascii="Symbol" w:hAnsi="Symbol" w:hint="default"/>
      </w:rPr>
    </w:lvl>
    <w:lvl w:ilvl="4" w:tplc="B9B4B7B8" w:tentative="1">
      <w:start w:val="1"/>
      <w:numFmt w:val="bullet"/>
      <w:lvlText w:val="o"/>
      <w:lvlJc w:val="left"/>
      <w:pPr>
        <w:tabs>
          <w:tab w:val="num" w:pos="3600"/>
        </w:tabs>
        <w:ind w:left="3600" w:hanging="360"/>
      </w:pPr>
      <w:rPr>
        <w:rFonts w:ascii="Courier New" w:hAnsi="Courier New" w:hint="default"/>
      </w:rPr>
    </w:lvl>
    <w:lvl w:ilvl="5" w:tplc="9C4E0CF4" w:tentative="1">
      <w:start w:val="1"/>
      <w:numFmt w:val="bullet"/>
      <w:lvlText w:val=""/>
      <w:lvlJc w:val="left"/>
      <w:pPr>
        <w:tabs>
          <w:tab w:val="num" w:pos="4320"/>
        </w:tabs>
        <w:ind w:left="4320" w:hanging="360"/>
      </w:pPr>
      <w:rPr>
        <w:rFonts w:ascii="Wingdings" w:hAnsi="Wingdings" w:hint="default"/>
      </w:rPr>
    </w:lvl>
    <w:lvl w:ilvl="6" w:tplc="472A7190" w:tentative="1">
      <w:start w:val="1"/>
      <w:numFmt w:val="bullet"/>
      <w:lvlText w:val=""/>
      <w:lvlJc w:val="left"/>
      <w:pPr>
        <w:tabs>
          <w:tab w:val="num" w:pos="5040"/>
        </w:tabs>
        <w:ind w:left="5040" w:hanging="360"/>
      </w:pPr>
      <w:rPr>
        <w:rFonts w:ascii="Symbol" w:hAnsi="Symbol" w:hint="default"/>
      </w:rPr>
    </w:lvl>
    <w:lvl w:ilvl="7" w:tplc="026EB55C" w:tentative="1">
      <w:start w:val="1"/>
      <w:numFmt w:val="bullet"/>
      <w:lvlText w:val="o"/>
      <w:lvlJc w:val="left"/>
      <w:pPr>
        <w:tabs>
          <w:tab w:val="num" w:pos="5760"/>
        </w:tabs>
        <w:ind w:left="5760" w:hanging="360"/>
      </w:pPr>
      <w:rPr>
        <w:rFonts w:ascii="Courier New" w:hAnsi="Courier New" w:hint="default"/>
      </w:rPr>
    </w:lvl>
    <w:lvl w:ilvl="8" w:tplc="FABA48C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53391D"/>
    <w:multiLevelType w:val="hybridMultilevel"/>
    <w:tmpl w:val="2F08B43E"/>
    <w:lvl w:ilvl="0" w:tplc="566AAA22">
      <w:start w:val="1"/>
      <w:numFmt w:val="decimal"/>
      <w:pStyle w:val="TableTit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155B6DB8"/>
    <w:multiLevelType w:val="hybridMultilevel"/>
    <w:tmpl w:val="AE1E2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14162E"/>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7214E3"/>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59323B"/>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F74BE7"/>
    <w:multiLevelType w:val="hybridMultilevel"/>
    <w:tmpl w:val="E4AE8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DF641F"/>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674065"/>
    <w:multiLevelType w:val="hybridMultilevel"/>
    <w:tmpl w:val="60062A1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0BD3A81"/>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57733D"/>
    <w:multiLevelType w:val="hybridMultilevel"/>
    <w:tmpl w:val="81840C8A"/>
    <w:lvl w:ilvl="0" w:tplc="EDE640C2">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480711E"/>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9236AF"/>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6C5289"/>
    <w:multiLevelType w:val="hybridMultilevel"/>
    <w:tmpl w:val="4D74D502"/>
    <w:lvl w:ilvl="0" w:tplc="F2F8A45A">
      <w:start w:val="3"/>
      <w:numFmt w:val="bullet"/>
      <w:lvlText w:val="-"/>
      <w:lvlJc w:val="left"/>
      <w:pPr>
        <w:ind w:left="1080" w:hanging="360"/>
      </w:pPr>
      <w:rPr>
        <w:rFonts w:ascii="Arial" w:eastAsia="Times New Roman" w:hAnsi="Arial" w:cs="Arial" w:hint="default"/>
      </w:rPr>
    </w:lvl>
    <w:lvl w:ilvl="1" w:tplc="04090019">
      <w:start w:val="1"/>
      <w:numFmt w:val="lowerLetter"/>
      <w:lvlText w:val="%2."/>
      <w:lvlJc w:val="left"/>
      <w:pPr>
        <w:ind w:left="1800" w:hanging="360"/>
      </w:pPr>
    </w:lvl>
    <w:lvl w:ilvl="2" w:tplc="FC0C1830">
      <w:start w:val="1"/>
      <w:numFmt w:val="bullet"/>
      <w:lvlText w:val="-"/>
      <w:lvlJc w:val="left"/>
      <w:pPr>
        <w:ind w:left="2700" w:hanging="360"/>
      </w:pPr>
      <w:rPr>
        <w:rFonts w:ascii="Arial" w:eastAsia="Calibri" w:hAnsi="Arial" w:cs="Aria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5C70006"/>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FA21D1"/>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253DEC"/>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D64060"/>
    <w:multiLevelType w:val="multilevel"/>
    <w:tmpl w:val="F63846C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2AFF3230"/>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1E59CC"/>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E06449"/>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A20369"/>
    <w:multiLevelType w:val="hybridMultilevel"/>
    <w:tmpl w:val="7CB0C9D0"/>
    <w:lvl w:ilvl="0" w:tplc="C9184084">
      <w:start w:val="1"/>
      <w:numFmt w:val="bullet"/>
      <w:pStyle w:val="Bullets"/>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Symbol"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2CC705FE"/>
    <w:multiLevelType w:val="hybridMultilevel"/>
    <w:tmpl w:val="FDB4A288"/>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4" w15:restartNumberingAfterBreak="0">
    <w:nsid w:val="2DE86B53"/>
    <w:multiLevelType w:val="hybridMultilevel"/>
    <w:tmpl w:val="CC9CF9A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FC0C1830">
      <w:start w:val="1"/>
      <w:numFmt w:val="bullet"/>
      <w:lvlText w:val="-"/>
      <w:lvlJc w:val="left"/>
      <w:pPr>
        <w:ind w:left="1980" w:hanging="360"/>
      </w:pPr>
      <w:rPr>
        <w:rFonts w:ascii="Arial" w:eastAsia="Calibri"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EC92024"/>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8E10B8"/>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5200DC"/>
    <w:multiLevelType w:val="hybridMultilevel"/>
    <w:tmpl w:val="BDCEF71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FC0C1830">
      <w:start w:val="1"/>
      <w:numFmt w:val="bullet"/>
      <w:lvlText w:val="-"/>
      <w:lvlJc w:val="left"/>
      <w:pPr>
        <w:ind w:left="2700" w:hanging="360"/>
      </w:pPr>
      <w:rPr>
        <w:rFonts w:ascii="Arial" w:eastAsia="Calibri" w:hAnsi="Arial" w:cs="Aria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34113D6"/>
    <w:multiLevelType w:val="hybridMultilevel"/>
    <w:tmpl w:val="4E545A12"/>
    <w:lvl w:ilvl="0" w:tplc="FD229BE6">
      <w:start w:val="1"/>
      <w:numFmt w:val="bullet"/>
      <w:pStyle w:val="Tablebullets0"/>
      <w:lvlText w:val=""/>
      <w:lvlJc w:val="left"/>
      <w:pPr>
        <w:ind w:left="726" w:hanging="360"/>
      </w:pPr>
      <w:rPr>
        <w:rFonts w:ascii="Symbol" w:hAnsi="Symbol" w:hint="default"/>
        <w:color w:val="999999"/>
      </w:rPr>
    </w:lvl>
    <w:lvl w:ilvl="1" w:tplc="04090003" w:tentative="1">
      <w:start w:val="1"/>
      <w:numFmt w:val="bullet"/>
      <w:lvlText w:val="o"/>
      <w:lvlJc w:val="left"/>
      <w:pPr>
        <w:ind w:left="1446" w:hanging="360"/>
      </w:pPr>
      <w:rPr>
        <w:rFonts w:ascii="Courier New" w:hAnsi="Courier New" w:cs="Symbol"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Symbol"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Symbol" w:hint="default"/>
      </w:rPr>
    </w:lvl>
    <w:lvl w:ilvl="8" w:tplc="04090005" w:tentative="1">
      <w:start w:val="1"/>
      <w:numFmt w:val="bullet"/>
      <w:lvlText w:val=""/>
      <w:lvlJc w:val="left"/>
      <w:pPr>
        <w:ind w:left="6486" w:hanging="360"/>
      </w:pPr>
      <w:rPr>
        <w:rFonts w:ascii="Wingdings" w:hAnsi="Wingdings" w:hint="default"/>
      </w:rPr>
    </w:lvl>
  </w:abstractNum>
  <w:abstractNum w:abstractNumId="39" w15:restartNumberingAfterBreak="0">
    <w:nsid w:val="3404408D"/>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8D21AB"/>
    <w:multiLevelType w:val="multilevel"/>
    <w:tmpl w:val="AA0863EA"/>
    <w:lvl w:ilvl="0">
      <w:start w:val="1"/>
      <w:numFmt w:val="decimal"/>
      <w:pStyle w:val="AppH1"/>
      <w:lvlText w:val="Annex %1 - "/>
      <w:lvlJc w:val="left"/>
      <w:pPr>
        <w:ind w:left="720" w:hanging="360"/>
      </w:pPr>
      <w:rPr>
        <w:rFonts w:hint="default"/>
      </w:rPr>
    </w:lvl>
    <w:lvl w:ilvl="1">
      <w:start w:val="1"/>
      <w:numFmt w:val="decimal"/>
      <w:pStyle w:val="AppH2"/>
      <w:lvlText w:val="%1.%2"/>
      <w:lvlJc w:val="left"/>
      <w:pPr>
        <w:ind w:left="1134" w:hanging="54"/>
      </w:pPr>
      <w:rPr>
        <w:rFonts w:hint="default"/>
      </w:rPr>
    </w:lvl>
    <w:lvl w:ilvl="2">
      <w:start w:val="1"/>
      <w:numFmt w:val="decimal"/>
      <w:pStyle w:val="AppH3"/>
      <w:lvlText w:val="%1.%2.%3"/>
      <w:lvlJc w:val="right"/>
      <w:pPr>
        <w:ind w:left="2160" w:hanging="180"/>
      </w:pPr>
      <w:rPr>
        <w:rFonts w:hint="default"/>
        <w:i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65473D1"/>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D82EF2"/>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3E7DE1"/>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A3167D"/>
    <w:multiLevelType w:val="hybridMultilevel"/>
    <w:tmpl w:val="DE2A94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7DA68F5"/>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345457"/>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8639B9"/>
    <w:multiLevelType w:val="hybridMultilevel"/>
    <w:tmpl w:val="DE2A94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98C731F"/>
    <w:multiLevelType w:val="hybridMultilevel"/>
    <w:tmpl w:val="8BE6719E"/>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49" w15:restartNumberingAfterBreak="0">
    <w:nsid w:val="3CC05DB6"/>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A052EE"/>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D94AE2"/>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804D3E"/>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932148"/>
    <w:multiLevelType w:val="hybridMultilevel"/>
    <w:tmpl w:val="BDCEF71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FC0C1830">
      <w:start w:val="1"/>
      <w:numFmt w:val="bullet"/>
      <w:lvlText w:val="-"/>
      <w:lvlJc w:val="left"/>
      <w:pPr>
        <w:ind w:left="1980" w:hanging="360"/>
      </w:pPr>
      <w:rPr>
        <w:rFonts w:ascii="Arial" w:eastAsia="Calibri"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FE56D65"/>
    <w:multiLevelType w:val="hybridMultilevel"/>
    <w:tmpl w:val="0D1A049E"/>
    <w:lvl w:ilvl="0" w:tplc="F2F8A45A">
      <w:start w:val="3"/>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3C63A81"/>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215DA2"/>
    <w:multiLevelType w:val="hybridMultilevel"/>
    <w:tmpl w:val="8C0C0D48"/>
    <w:lvl w:ilvl="0" w:tplc="0809000F">
      <w:start w:val="1"/>
      <w:numFmt w:val="decimal"/>
      <w:lvlText w:val="%1."/>
      <w:lvlJc w:val="left"/>
      <w:pPr>
        <w:ind w:left="720" w:hanging="360"/>
      </w:pPr>
    </w:lvl>
    <w:lvl w:ilvl="1" w:tplc="AE28E222">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860DF3"/>
    <w:multiLevelType w:val="hybridMultilevel"/>
    <w:tmpl w:val="B6927A6A"/>
    <w:lvl w:ilvl="0" w:tplc="BD2E3EEE">
      <w:start w:val="1"/>
      <w:numFmt w:val="bullet"/>
      <w:pStyle w:val="ListBullet2"/>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A7D73C3"/>
    <w:multiLevelType w:val="hybridMultilevel"/>
    <w:tmpl w:val="98509FD2"/>
    <w:lvl w:ilvl="0" w:tplc="04090005">
      <w:start w:val="1"/>
      <w:numFmt w:val="bullet"/>
      <w:lvlText w:val=""/>
      <w:lvlJc w:val="left"/>
      <w:pPr>
        <w:ind w:left="1137" w:hanging="360"/>
      </w:pPr>
      <w:rPr>
        <w:rFonts w:ascii="Wingdings" w:hAnsi="Wingdings"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59" w15:restartNumberingAfterBreak="0">
    <w:nsid w:val="4B1C4204"/>
    <w:multiLevelType w:val="hybridMultilevel"/>
    <w:tmpl w:val="CC5A274C"/>
    <w:lvl w:ilvl="0" w:tplc="0809000F">
      <w:start w:val="1"/>
      <w:numFmt w:val="decimal"/>
      <w:lvlText w:val="%1."/>
      <w:lvlJc w:val="left"/>
      <w:pPr>
        <w:ind w:left="720" w:hanging="360"/>
      </w:pPr>
    </w:lvl>
    <w:lvl w:ilvl="1" w:tplc="F3A235AC">
      <w:start w:val="6"/>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C231E31"/>
    <w:multiLevelType w:val="hybridMultilevel"/>
    <w:tmpl w:val="45542E90"/>
    <w:lvl w:ilvl="0" w:tplc="6D980084">
      <w:start w:val="20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FF6450"/>
    <w:multiLevelType w:val="hybridMultilevel"/>
    <w:tmpl w:val="F712362A"/>
    <w:lvl w:ilvl="0" w:tplc="F2F8A45A">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8F1968"/>
    <w:multiLevelType w:val="hybridMultilevel"/>
    <w:tmpl w:val="E0C697A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B624FD"/>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141656C"/>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24F5928"/>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3D433BB"/>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827EA"/>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A46689"/>
    <w:multiLevelType w:val="hybridMultilevel"/>
    <w:tmpl w:val="C902D570"/>
    <w:lvl w:ilvl="0" w:tplc="327C404A">
      <w:start w:val="1"/>
      <w:numFmt w:val="decimal"/>
      <w:pStyle w:val="Tabletitle1"/>
      <w:lvlText w:val="Table %1."/>
      <w:lvlJc w:val="left"/>
      <w:pPr>
        <w:ind w:left="720" w:hanging="360"/>
      </w:pPr>
      <w:rPr>
        <w:rFonts w:ascii="Arial Narrow" w:hAnsi="Arial Narrow" w:hint="default"/>
        <w:b w:val="0"/>
        <w:i/>
        <w:caps w:val="0"/>
        <w:strike w:val="0"/>
        <w:dstrike w:val="0"/>
        <w:vanish w:val="0"/>
        <w:sz w:val="22"/>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9" w15:restartNumberingAfterBreak="0">
    <w:nsid w:val="56F36392"/>
    <w:multiLevelType w:val="hybridMultilevel"/>
    <w:tmpl w:val="8C0C0D48"/>
    <w:lvl w:ilvl="0" w:tplc="0809000F">
      <w:start w:val="1"/>
      <w:numFmt w:val="decimal"/>
      <w:lvlText w:val="%1."/>
      <w:lvlJc w:val="left"/>
      <w:pPr>
        <w:ind w:left="720" w:hanging="360"/>
      </w:pPr>
    </w:lvl>
    <w:lvl w:ilvl="1" w:tplc="AE28E222">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76D44BE"/>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8F91B04"/>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A995D9A"/>
    <w:multiLevelType w:val="hybridMultilevel"/>
    <w:tmpl w:val="DE2A94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AFC438D"/>
    <w:multiLevelType w:val="hybridMultilevel"/>
    <w:tmpl w:val="BDCEF71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FC0C1830">
      <w:start w:val="1"/>
      <w:numFmt w:val="bullet"/>
      <w:lvlText w:val="-"/>
      <w:lvlJc w:val="left"/>
      <w:pPr>
        <w:ind w:left="1980" w:hanging="360"/>
      </w:pPr>
      <w:rPr>
        <w:rFonts w:ascii="Arial" w:eastAsia="Calibri"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B64671A"/>
    <w:multiLevelType w:val="hybridMultilevel"/>
    <w:tmpl w:val="DE2A94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CDE7E54"/>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07665CA"/>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B07F0C"/>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2BC0BC1"/>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32D7212"/>
    <w:multiLevelType w:val="hybridMultilevel"/>
    <w:tmpl w:val="D4544DE0"/>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80" w15:restartNumberingAfterBreak="0">
    <w:nsid w:val="63335BC5"/>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41D099E"/>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5511005"/>
    <w:multiLevelType w:val="hybridMultilevel"/>
    <w:tmpl w:val="60062A1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9DB4C7E"/>
    <w:multiLevelType w:val="hybridMultilevel"/>
    <w:tmpl w:val="DBD65B9A"/>
    <w:lvl w:ilvl="0" w:tplc="80C458E8">
      <w:start w:val="1"/>
      <w:numFmt w:val="bullet"/>
      <w:pStyle w:val="TableBullets-HCL"/>
      <w:lvlText w:val=""/>
      <w:lvlJc w:val="left"/>
      <w:pPr>
        <w:ind w:left="720" w:hanging="360"/>
      </w:pPr>
      <w:rPr>
        <w:rFonts w:ascii="Wingdings" w:hAnsi="Wingdings" w:hint="default"/>
        <w:color w:val="00B0F0"/>
        <w:sz w:val="16"/>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6A9D4695"/>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E4B714C"/>
    <w:multiLevelType w:val="hybridMultilevel"/>
    <w:tmpl w:val="6C6AA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F68397B"/>
    <w:multiLevelType w:val="singleLevel"/>
    <w:tmpl w:val="376EDD70"/>
    <w:lvl w:ilvl="0">
      <w:start w:val="1"/>
      <w:numFmt w:val="bullet"/>
      <w:pStyle w:val="E2"/>
      <w:lvlText w:val="-"/>
      <w:lvlJc w:val="left"/>
      <w:pPr>
        <w:tabs>
          <w:tab w:val="num" w:pos="567"/>
        </w:tabs>
        <w:ind w:left="568" w:hanging="284"/>
      </w:pPr>
      <w:rPr>
        <w:rFonts w:ascii="Arial" w:hAnsi="Arial" w:hint="default"/>
        <w:b w:val="0"/>
        <w:i w:val="0"/>
        <w:sz w:val="20"/>
      </w:rPr>
    </w:lvl>
  </w:abstractNum>
  <w:abstractNum w:abstractNumId="87" w15:restartNumberingAfterBreak="0">
    <w:nsid w:val="70163B08"/>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0194A8B"/>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357890"/>
    <w:multiLevelType w:val="hybridMultilevel"/>
    <w:tmpl w:val="13F8823A"/>
    <w:lvl w:ilvl="0" w:tplc="7034FC00">
      <w:start w:val="5"/>
      <w:numFmt w:val="bullet"/>
      <w:pStyle w:val="Tablebullets2"/>
      <w:lvlText w:val="-"/>
      <w:lvlJc w:val="left"/>
      <w:pPr>
        <w:ind w:left="872" w:hanging="360"/>
      </w:pPr>
      <w:rPr>
        <w:rFonts w:ascii="Arial" w:eastAsia="Times New Roman" w:hAnsi="Arial" w:hint="default"/>
      </w:rPr>
    </w:lvl>
    <w:lvl w:ilvl="1" w:tplc="35B85532" w:tentative="1">
      <w:start w:val="1"/>
      <w:numFmt w:val="bullet"/>
      <w:lvlText w:val="o"/>
      <w:lvlJc w:val="left"/>
      <w:pPr>
        <w:ind w:left="1592" w:hanging="360"/>
      </w:pPr>
      <w:rPr>
        <w:rFonts w:ascii="Courier New" w:hAnsi="Courier New" w:cs="Arial" w:hint="default"/>
      </w:rPr>
    </w:lvl>
    <w:lvl w:ilvl="2" w:tplc="D1E4BE18" w:tentative="1">
      <w:start w:val="1"/>
      <w:numFmt w:val="bullet"/>
      <w:lvlText w:val=""/>
      <w:lvlJc w:val="left"/>
      <w:pPr>
        <w:ind w:left="2312" w:hanging="360"/>
      </w:pPr>
      <w:rPr>
        <w:rFonts w:ascii="Wingdings" w:hAnsi="Wingdings" w:hint="default"/>
      </w:rPr>
    </w:lvl>
    <w:lvl w:ilvl="3" w:tplc="20D85DD6" w:tentative="1">
      <w:start w:val="1"/>
      <w:numFmt w:val="bullet"/>
      <w:lvlText w:val=""/>
      <w:lvlJc w:val="left"/>
      <w:pPr>
        <w:ind w:left="3032" w:hanging="360"/>
      </w:pPr>
      <w:rPr>
        <w:rFonts w:ascii="Symbol" w:hAnsi="Symbol" w:hint="default"/>
      </w:rPr>
    </w:lvl>
    <w:lvl w:ilvl="4" w:tplc="2F762EF6" w:tentative="1">
      <w:start w:val="1"/>
      <w:numFmt w:val="bullet"/>
      <w:lvlText w:val="o"/>
      <w:lvlJc w:val="left"/>
      <w:pPr>
        <w:ind w:left="3752" w:hanging="360"/>
      </w:pPr>
      <w:rPr>
        <w:rFonts w:ascii="Courier New" w:hAnsi="Courier New" w:cs="Arial" w:hint="default"/>
      </w:rPr>
    </w:lvl>
    <w:lvl w:ilvl="5" w:tplc="E2683432" w:tentative="1">
      <w:start w:val="1"/>
      <w:numFmt w:val="bullet"/>
      <w:lvlText w:val=""/>
      <w:lvlJc w:val="left"/>
      <w:pPr>
        <w:ind w:left="4472" w:hanging="360"/>
      </w:pPr>
      <w:rPr>
        <w:rFonts w:ascii="Wingdings" w:hAnsi="Wingdings" w:hint="default"/>
      </w:rPr>
    </w:lvl>
    <w:lvl w:ilvl="6" w:tplc="B30A3A12" w:tentative="1">
      <w:start w:val="1"/>
      <w:numFmt w:val="bullet"/>
      <w:lvlText w:val=""/>
      <w:lvlJc w:val="left"/>
      <w:pPr>
        <w:ind w:left="5192" w:hanging="360"/>
      </w:pPr>
      <w:rPr>
        <w:rFonts w:ascii="Symbol" w:hAnsi="Symbol" w:hint="default"/>
      </w:rPr>
    </w:lvl>
    <w:lvl w:ilvl="7" w:tplc="1238761C" w:tentative="1">
      <w:start w:val="1"/>
      <w:numFmt w:val="bullet"/>
      <w:lvlText w:val="o"/>
      <w:lvlJc w:val="left"/>
      <w:pPr>
        <w:ind w:left="5912" w:hanging="360"/>
      </w:pPr>
      <w:rPr>
        <w:rFonts w:ascii="Courier New" w:hAnsi="Courier New" w:cs="Arial" w:hint="default"/>
      </w:rPr>
    </w:lvl>
    <w:lvl w:ilvl="8" w:tplc="90D4966C" w:tentative="1">
      <w:start w:val="1"/>
      <w:numFmt w:val="bullet"/>
      <w:lvlText w:val=""/>
      <w:lvlJc w:val="left"/>
      <w:pPr>
        <w:ind w:left="6632" w:hanging="360"/>
      </w:pPr>
      <w:rPr>
        <w:rFonts w:ascii="Wingdings" w:hAnsi="Wingdings" w:hint="default"/>
      </w:rPr>
    </w:lvl>
  </w:abstractNum>
  <w:abstractNum w:abstractNumId="90" w15:restartNumberingAfterBreak="0">
    <w:nsid w:val="73100D6A"/>
    <w:multiLevelType w:val="multilevel"/>
    <w:tmpl w:val="B27016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5482497"/>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74A345F"/>
    <w:multiLevelType w:val="multilevel"/>
    <w:tmpl w:val="579E9BDA"/>
    <w:lvl w:ilvl="0">
      <w:start w:val="1"/>
      <w:numFmt w:val="decimal"/>
      <w:pStyle w:val="ListNumb1"/>
      <w:lvlText w:val="%1."/>
      <w:lvlJc w:val="left"/>
      <w:pPr>
        <w:ind w:left="340" w:hanging="340"/>
      </w:pPr>
      <w:rPr>
        <w:rFonts w:hint="default"/>
      </w:rPr>
    </w:lvl>
    <w:lvl w:ilvl="1">
      <w:start w:val="1"/>
      <w:numFmt w:val="lowerLetter"/>
      <w:pStyle w:val="ListNumb2"/>
      <w:lvlText w:val="%2."/>
      <w:lvlJc w:val="left"/>
      <w:pPr>
        <w:ind w:left="680" w:hanging="340"/>
      </w:pPr>
      <w:rPr>
        <w:rFonts w:hint="default"/>
      </w:rPr>
    </w:lvl>
    <w:lvl w:ilvl="2">
      <w:start w:val="1"/>
      <w:numFmt w:val="lowerRoman"/>
      <w:pStyle w:val="ListNumb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lang w:val="en-U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79045500"/>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B1A6BB7"/>
    <w:multiLevelType w:val="hybridMultilevel"/>
    <w:tmpl w:val="1A56A75E"/>
    <w:lvl w:ilvl="0" w:tplc="DDACC90A">
      <w:start w:val="1"/>
      <w:numFmt w:val="bullet"/>
      <w:pStyle w:val="E1"/>
      <w:lvlText w:val=""/>
      <w:lvlJc w:val="left"/>
      <w:pPr>
        <w:tabs>
          <w:tab w:val="num" w:pos="284"/>
        </w:tabs>
        <w:ind w:left="284" w:hanging="284"/>
      </w:pPr>
      <w:rPr>
        <w:rFonts w:ascii="Symbol" w:hAnsi="Symbol" w:hint="default"/>
        <w:sz w:val="20"/>
        <w:szCs w:val="20"/>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B6A6F50"/>
    <w:multiLevelType w:val="hybridMultilevel"/>
    <w:tmpl w:val="5328969C"/>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96" w15:restartNumberingAfterBreak="0">
    <w:nsid w:val="7D4045D7"/>
    <w:multiLevelType w:val="hybridMultilevel"/>
    <w:tmpl w:val="FACE5170"/>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97" w15:restartNumberingAfterBreak="0">
    <w:nsid w:val="7E4E4B95"/>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E63747C"/>
    <w:multiLevelType w:val="hybridMultilevel"/>
    <w:tmpl w:val="D996CEBE"/>
    <w:lvl w:ilvl="0" w:tplc="F2F8A45A">
      <w:start w:val="3"/>
      <w:numFmt w:val="bullet"/>
      <w:lvlText w:val="-"/>
      <w:lvlJc w:val="left"/>
      <w:pPr>
        <w:ind w:left="360" w:hanging="360"/>
      </w:pPr>
      <w:rPr>
        <w:rFonts w:ascii="Arial" w:eastAsia="Times New Roman" w:hAnsi="Arial" w:cs="Arial" w:hint="default"/>
      </w:rPr>
    </w:lvl>
    <w:lvl w:ilvl="1" w:tplc="F8C2D50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E6E05B2"/>
    <w:multiLevelType w:val="hybridMultilevel"/>
    <w:tmpl w:val="BDCEF7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FC0C1830">
      <w:start w:val="1"/>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E8A3E45"/>
    <w:multiLevelType w:val="hybridMultilevel"/>
    <w:tmpl w:val="508C87DC"/>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957FA5"/>
    <w:multiLevelType w:val="hybridMultilevel"/>
    <w:tmpl w:val="DE2A94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2"/>
  </w:num>
  <w:num w:numId="2">
    <w:abstractNumId w:val="38"/>
  </w:num>
  <w:num w:numId="3">
    <w:abstractNumId w:val="40"/>
  </w:num>
  <w:num w:numId="4">
    <w:abstractNumId w:val="68"/>
  </w:num>
  <w:num w:numId="5">
    <w:abstractNumId w:val="11"/>
  </w:num>
  <w:num w:numId="6">
    <w:abstractNumId w:val="89"/>
  </w:num>
  <w:num w:numId="7">
    <w:abstractNumId w:val="12"/>
  </w:num>
  <w:num w:numId="8">
    <w:abstractNumId w:val="94"/>
  </w:num>
  <w:num w:numId="9">
    <w:abstractNumId w:val="86"/>
  </w:num>
  <w:num w:numId="10">
    <w:abstractNumId w:val="57"/>
  </w:num>
  <w:num w:numId="11">
    <w:abstractNumId w:val="4"/>
  </w:num>
  <w:num w:numId="12">
    <w:abstractNumId w:val="83"/>
  </w:num>
  <w:num w:numId="13">
    <w:abstractNumId w:val="17"/>
  </w:num>
  <w:num w:numId="14">
    <w:abstractNumId w:val="92"/>
  </w:num>
  <w:num w:numId="15">
    <w:abstractNumId w:val="2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num>
  <w:num w:numId="18">
    <w:abstractNumId w:val="54"/>
  </w:num>
  <w:num w:numId="19">
    <w:abstractNumId w:val="0"/>
  </w:num>
  <w:num w:numId="20">
    <w:abstractNumId w:val="21"/>
  </w:num>
  <w:num w:numId="21">
    <w:abstractNumId w:val="19"/>
  </w:num>
  <w:num w:numId="22">
    <w:abstractNumId w:val="44"/>
  </w:num>
  <w:num w:numId="23">
    <w:abstractNumId w:val="63"/>
  </w:num>
  <w:num w:numId="24">
    <w:abstractNumId w:val="64"/>
  </w:num>
  <w:num w:numId="25">
    <w:abstractNumId w:val="14"/>
  </w:num>
  <w:num w:numId="26">
    <w:abstractNumId w:val="36"/>
  </w:num>
  <w:num w:numId="27">
    <w:abstractNumId w:val="6"/>
  </w:num>
  <w:num w:numId="28">
    <w:abstractNumId w:val="101"/>
  </w:num>
  <w:num w:numId="29">
    <w:abstractNumId w:val="39"/>
  </w:num>
  <w:num w:numId="30">
    <w:abstractNumId w:val="27"/>
  </w:num>
  <w:num w:numId="31">
    <w:abstractNumId w:val="99"/>
  </w:num>
  <w:num w:numId="32">
    <w:abstractNumId w:val="46"/>
  </w:num>
  <w:num w:numId="33">
    <w:abstractNumId w:val="87"/>
  </w:num>
  <w:num w:numId="34">
    <w:abstractNumId w:val="76"/>
  </w:num>
  <w:num w:numId="35">
    <w:abstractNumId w:val="10"/>
  </w:num>
  <w:num w:numId="36">
    <w:abstractNumId w:val="74"/>
  </w:num>
  <w:num w:numId="37">
    <w:abstractNumId w:val="62"/>
  </w:num>
  <w:num w:numId="38">
    <w:abstractNumId w:val="26"/>
  </w:num>
  <w:num w:numId="39">
    <w:abstractNumId w:val="47"/>
  </w:num>
  <w:num w:numId="40">
    <w:abstractNumId w:val="72"/>
  </w:num>
  <w:num w:numId="41">
    <w:abstractNumId w:val="77"/>
  </w:num>
  <w:num w:numId="42">
    <w:abstractNumId w:val="75"/>
  </w:num>
  <w:num w:numId="43">
    <w:abstractNumId w:val="20"/>
  </w:num>
  <w:num w:numId="44">
    <w:abstractNumId w:val="82"/>
  </w:num>
  <w:num w:numId="45">
    <w:abstractNumId w:val="9"/>
  </w:num>
  <w:num w:numId="46">
    <w:abstractNumId w:val="98"/>
  </w:num>
  <w:num w:numId="47">
    <w:abstractNumId w:val="91"/>
  </w:num>
  <w:num w:numId="48">
    <w:abstractNumId w:val="3"/>
  </w:num>
  <w:num w:numId="49">
    <w:abstractNumId w:val="80"/>
  </w:num>
  <w:num w:numId="50">
    <w:abstractNumId w:val="60"/>
  </w:num>
  <w:num w:numId="51">
    <w:abstractNumId w:val="58"/>
  </w:num>
  <w:num w:numId="52">
    <w:abstractNumId w:val="100"/>
  </w:num>
  <w:num w:numId="53">
    <w:abstractNumId w:val="59"/>
  </w:num>
  <w:num w:numId="54">
    <w:abstractNumId w:val="29"/>
  </w:num>
  <w:num w:numId="55">
    <w:abstractNumId w:val="16"/>
  </w:num>
  <w:num w:numId="56">
    <w:abstractNumId w:val="93"/>
  </w:num>
  <w:num w:numId="57">
    <w:abstractNumId w:val="23"/>
  </w:num>
  <w:num w:numId="58">
    <w:abstractNumId w:val="49"/>
  </w:num>
  <w:num w:numId="59">
    <w:abstractNumId w:val="65"/>
  </w:num>
  <w:num w:numId="60">
    <w:abstractNumId w:val="71"/>
  </w:num>
  <w:num w:numId="61">
    <w:abstractNumId w:val="18"/>
  </w:num>
  <w:num w:numId="62">
    <w:abstractNumId w:val="5"/>
  </w:num>
  <w:num w:numId="63">
    <w:abstractNumId w:val="56"/>
  </w:num>
  <w:num w:numId="64">
    <w:abstractNumId w:val="73"/>
  </w:num>
  <w:num w:numId="65">
    <w:abstractNumId w:val="34"/>
  </w:num>
  <w:num w:numId="66">
    <w:abstractNumId w:val="53"/>
  </w:num>
  <w:num w:numId="67">
    <w:abstractNumId w:val="85"/>
  </w:num>
  <w:num w:numId="68">
    <w:abstractNumId w:val="1"/>
  </w:num>
  <w:num w:numId="69">
    <w:abstractNumId w:val="13"/>
  </w:num>
  <w:num w:numId="70">
    <w:abstractNumId w:val="37"/>
  </w:num>
  <w:num w:numId="71">
    <w:abstractNumId w:val="31"/>
  </w:num>
  <w:num w:numId="72">
    <w:abstractNumId w:val="35"/>
  </w:num>
  <w:num w:numId="73">
    <w:abstractNumId w:val="52"/>
  </w:num>
  <w:num w:numId="74">
    <w:abstractNumId w:val="79"/>
  </w:num>
  <w:num w:numId="75">
    <w:abstractNumId w:val="67"/>
  </w:num>
  <w:num w:numId="76">
    <w:abstractNumId w:val="41"/>
  </w:num>
  <w:num w:numId="77">
    <w:abstractNumId w:val="8"/>
  </w:num>
  <w:num w:numId="78">
    <w:abstractNumId w:val="88"/>
  </w:num>
  <w:num w:numId="79">
    <w:abstractNumId w:val="84"/>
  </w:num>
  <w:num w:numId="80">
    <w:abstractNumId w:val="78"/>
  </w:num>
  <w:num w:numId="81">
    <w:abstractNumId w:val="25"/>
  </w:num>
  <w:num w:numId="82">
    <w:abstractNumId w:val="15"/>
  </w:num>
  <w:num w:numId="83">
    <w:abstractNumId w:val="45"/>
  </w:num>
  <w:num w:numId="84">
    <w:abstractNumId w:val="50"/>
  </w:num>
  <w:num w:numId="85">
    <w:abstractNumId w:val="42"/>
  </w:num>
  <w:num w:numId="86">
    <w:abstractNumId w:val="43"/>
  </w:num>
  <w:num w:numId="87">
    <w:abstractNumId w:val="55"/>
  </w:num>
  <w:num w:numId="88">
    <w:abstractNumId w:val="30"/>
  </w:num>
  <w:num w:numId="89">
    <w:abstractNumId w:val="51"/>
  </w:num>
  <w:num w:numId="90">
    <w:abstractNumId w:val="7"/>
  </w:num>
  <w:num w:numId="91">
    <w:abstractNumId w:val="22"/>
  </w:num>
  <w:num w:numId="92">
    <w:abstractNumId w:val="2"/>
  </w:num>
  <w:num w:numId="93">
    <w:abstractNumId w:val="66"/>
  </w:num>
  <w:num w:numId="94">
    <w:abstractNumId w:val="81"/>
  </w:num>
  <w:num w:numId="95">
    <w:abstractNumId w:val="97"/>
  </w:num>
  <w:num w:numId="96">
    <w:abstractNumId w:val="70"/>
  </w:num>
  <w:num w:numId="97">
    <w:abstractNumId w:val="69"/>
  </w:num>
  <w:num w:numId="98">
    <w:abstractNumId w:val="90"/>
  </w:num>
  <w:num w:numId="99">
    <w:abstractNumId w:val="33"/>
  </w:num>
  <w:num w:numId="100">
    <w:abstractNumId w:val="48"/>
  </w:num>
  <w:num w:numId="101">
    <w:abstractNumId w:val="95"/>
  </w:num>
  <w:num w:numId="102">
    <w:abstractNumId w:val="96"/>
  </w:num>
  <w:num w:numId="103">
    <w:abstractNumId w:val="28"/>
  </w:num>
  <w:num w:numId="104">
    <w:abstractNumId w:val="28"/>
  </w:num>
  <w:num w:numId="105">
    <w:abstractNumId w:val="28"/>
  </w:num>
  <w:num w:numId="106">
    <w:abstractNumId w:val="28"/>
  </w:num>
  <w:num w:numId="107">
    <w:abstractNumId w:val="2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8"/>
  <w:embedSystemFonts/>
  <w:activeWritingStyle w:appName="MSWord" w:lang="nl-NL" w:vendorID="9" w:dllVersion="512" w:checkStyle="1"/>
  <w:activeWritingStyle w:appName="MSWord" w:lang="en-GB" w:vendorID="8" w:dllVersion="513" w:checkStyle="1"/>
  <w:activeWritingStyle w:appName="MSWord" w:lang="fr-FR" w:vendorID="9" w:dllVersion="512" w:checkStyle="1"/>
  <w:activeWritingStyle w:appName="MSWord" w:lang="pt-PT" w:vendorID="13" w:dllVersion="513"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60"/>
  <w:autoHyphenation/>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xNTczsLQ0MbEEUko6SsGpxcWZ+XkgBUa1AGW7nicsAAAA"/>
    <w:docVar w:name="LW_DocType" w:val="REPORT TEMPLATE "/>
    <w:docVar w:name="varSavedBefore" w:val="w:compa"/>
  </w:docVars>
  <w:rsids>
    <w:rsidRoot w:val="00DB07B1"/>
    <w:rsid w:val="00000766"/>
    <w:rsid w:val="000007AD"/>
    <w:rsid w:val="00000C45"/>
    <w:rsid w:val="00001BBC"/>
    <w:rsid w:val="000023B4"/>
    <w:rsid w:val="0000391F"/>
    <w:rsid w:val="00003921"/>
    <w:rsid w:val="00003C46"/>
    <w:rsid w:val="00003D7B"/>
    <w:rsid w:val="00003EF0"/>
    <w:rsid w:val="000042B9"/>
    <w:rsid w:val="000049E9"/>
    <w:rsid w:val="0000506A"/>
    <w:rsid w:val="00006473"/>
    <w:rsid w:val="00006856"/>
    <w:rsid w:val="00006BCA"/>
    <w:rsid w:val="00006EB5"/>
    <w:rsid w:val="0000706B"/>
    <w:rsid w:val="000076A5"/>
    <w:rsid w:val="00010EAB"/>
    <w:rsid w:val="00011F5E"/>
    <w:rsid w:val="000121E6"/>
    <w:rsid w:val="00012C1A"/>
    <w:rsid w:val="00012ECF"/>
    <w:rsid w:val="00013B4D"/>
    <w:rsid w:val="00013C75"/>
    <w:rsid w:val="00014395"/>
    <w:rsid w:val="000144B8"/>
    <w:rsid w:val="00014BD2"/>
    <w:rsid w:val="00015516"/>
    <w:rsid w:val="000156C0"/>
    <w:rsid w:val="000161E1"/>
    <w:rsid w:val="00020383"/>
    <w:rsid w:val="00020D13"/>
    <w:rsid w:val="00020D7C"/>
    <w:rsid w:val="00021790"/>
    <w:rsid w:val="00021D7F"/>
    <w:rsid w:val="000237AE"/>
    <w:rsid w:val="000237B2"/>
    <w:rsid w:val="000237C2"/>
    <w:rsid w:val="000238AD"/>
    <w:rsid w:val="0002396B"/>
    <w:rsid w:val="00023E27"/>
    <w:rsid w:val="00023E65"/>
    <w:rsid w:val="00024608"/>
    <w:rsid w:val="0002467A"/>
    <w:rsid w:val="000255D2"/>
    <w:rsid w:val="00026255"/>
    <w:rsid w:val="00026963"/>
    <w:rsid w:val="00026D74"/>
    <w:rsid w:val="00027875"/>
    <w:rsid w:val="0002789A"/>
    <w:rsid w:val="00031D57"/>
    <w:rsid w:val="000322E3"/>
    <w:rsid w:val="0003330E"/>
    <w:rsid w:val="0003360C"/>
    <w:rsid w:val="0003383F"/>
    <w:rsid w:val="00033D19"/>
    <w:rsid w:val="00034600"/>
    <w:rsid w:val="00034A35"/>
    <w:rsid w:val="00035151"/>
    <w:rsid w:val="00035742"/>
    <w:rsid w:val="000357E0"/>
    <w:rsid w:val="00036B8C"/>
    <w:rsid w:val="000374CC"/>
    <w:rsid w:val="00037615"/>
    <w:rsid w:val="0003777F"/>
    <w:rsid w:val="00037BBC"/>
    <w:rsid w:val="000405F4"/>
    <w:rsid w:val="00040D24"/>
    <w:rsid w:val="00040ED9"/>
    <w:rsid w:val="0004129C"/>
    <w:rsid w:val="00041F2C"/>
    <w:rsid w:val="0004270F"/>
    <w:rsid w:val="000436BC"/>
    <w:rsid w:val="00043F13"/>
    <w:rsid w:val="000447A8"/>
    <w:rsid w:val="00044980"/>
    <w:rsid w:val="0004552A"/>
    <w:rsid w:val="00045E81"/>
    <w:rsid w:val="000464F0"/>
    <w:rsid w:val="00046666"/>
    <w:rsid w:val="000470FD"/>
    <w:rsid w:val="00047CC7"/>
    <w:rsid w:val="000502E6"/>
    <w:rsid w:val="000514A8"/>
    <w:rsid w:val="00051813"/>
    <w:rsid w:val="00052897"/>
    <w:rsid w:val="00053195"/>
    <w:rsid w:val="000537D6"/>
    <w:rsid w:val="00053CB9"/>
    <w:rsid w:val="00054413"/>
    <w:rsid w:val="00055A63"/>
    <w:rsid w:val="00056739"/>
    <w:rsid w:val="0005729E"/>
    <w:rsid w:val="000577F1"/>
    <w:rsid w:val="00057B36"/>
    <w:rsid w:val="00057EB8"/>
    <w:rsid w:val="00060382"/>
    <w:rsid w:val="000605FB"/>
    <w:rsid w:val="00060655"/>
    <w:rsid w:val="00060C79"/>
    <w:rsid w:val="000617D6"/>
    <w:rsid w:val="00061A8B"/>
    <w:rsid w:val="00061B21"/>
    <w:rsid w:val="00062774"/>
    <w:rsid w:val="00062848"/>
    <w:rsid w:val="00063930"/>
    <w:rsid w:val="00063DCC"/>
    <w:rsid w:val="000641A8"/>
    <w:rsid w:val="000650D0"/>
    <w:rsid w:val="000656E2"/>
    <w:rsid w:val="00065B84"/>
    <w:rsid w:val="00067FD3"/>
    <w:rsid w:val="000706DB"/>
    <w:rsid w:val="000708D7"/>
    <w:rsid w:val="00070907"/>
    <w:rsid w:val="00070E42"/>
    <w:rsid w:val="000725E5"/>
    <w:rsid w:val="00072D0A"/>
    <w:rsid w:val="00072D2C"/>
    <w:rsid w:val="000731D4"/>
    <w:rsid w:val="00074D21"/>
    <w:rsid w:val="00075792"/>
    <w:rsid w:val="000767C3"/>
    <w:rsid w:val="00076BB6"/>
    <w:rsid w:val="0007797F"/>
    <w:rsid w:val="00077E9B"/>
    <w:rsid w:val="00080070"/>
    <w:rsid w:val="00080412"/>
    <w:rsid w:val="000816E2"/>
    <w:rsid w:val="00081E7F"/>
    <w:rsid w:val="00082AE6"/>
    <w:rsid w:val="00082C63"/>
    <w:rsid w:val="00082E81"/>
    <w:rsid w:val="0008393B"/>
    <w:rsid w:val="00083B43"/>
    <w:rsid w:val="000843BB"/>
    <w:rsid w:val="00084640"/>
    <w:rsid w:val="00084B5F"/>
    <w:rsid w:val="00084DF6"/>
    <w:rsid w:val="00084E75"/>
    <w:rsid w:val="0008574C"/>
    <w:rsid w:val="00085CB0"/>
    <w:rsid w:val="00086027"/>
    <w:rsid w:val="00086092"/>
    <w:rsid w:val="000868F2"/>
    <w:rsid w:val="000869A8"/>
    <w:rsid w:val="00086BD6"/>
    <w:rsid w:val="00087351"/>
    <w:rsid w:val="0008780A"/>
    <w:rsid w:val="00087A75"/>
    <w:rsid w:val="00087C83"/>
    <w:rsid w:val="0009167C"/>
    <w:rsid w:val="00091902"/>
    <w:rsid w:val="00091B3B"/>
    <w:rsid w:val="000928A1"/>
    <w:rsid w:val="00092C2F"/>
    <w:rsid w:val="000930A5"/>
    <w:rsid w:val="000937FC"/>
    <w:rsid w:val="000939B1"/>
    <w:rsid w:val="00093E14"/>
    <w:rsid w:val="00093F4F"/>
    <w:rsid w:val="000944F7"/>
    <w:rsid w:val="0009553B"/>
    <w:rsid w:val="00096868"/>
    <w:rsid w:val="00096A7E"/>
    <w:rsid w:val="000970E2"/>
    <w:rsid w:val="00097647"/>
    <w:rsid w:val="00097CEF"/>
    <w:rsid w:val="00097D64"/>
    <w:rsid w:val="00097EB0"/>
    <w:rsid w:val="000A0021"/>
    <w:rsid w:val="000A0A5B"/>
    <w:rsid w:val="000A1589"/>
    <w:rsid w:val="000A1A2A"/>
    <w:rsid w:val="000A2A05"/>
    <w:rsid w:val="000A2A5D"/>
    <w:rsid w:val="000A31C3"/>
    <w:rsid w:val="000A38DA"/>
    <w:rsid w:val="000A3BF8"/>
    <w:rsid w:val="000A3E8E"/>
    <w:rsid w:val="000A458E"/>
    <w:rsid w:val="000A5166"/>
    <w:rsid w:val="000A517E"/>
    <w:rsid w:val="000A5C86"/>
    <w:rsid w:val="000A6728"/>
    <w:rsid w:val="000A6823"/>
    <w:rsid w:val="000A6867"/>
    <w:rsid w:val="000A6BFF"/>
    <w:rsid w:val="000A6F6D"/>
    <w:rsid w:val="000A74DF"/>
    <w:rsid w:val="000A7986"/>
    <w:rsid w:val="000A7E3E"/>
    <w:rsid w:val="000B0519"/>
    <w:rsid w:val="000B0D3E"/>
    <w:rsid w:val="000B10A5"/>
    <w:rsid w:val="000B177D"/>
    <w:rsid w:val="000B19B2"/>
    <w:rsid w:val="000B23E8"/>
    <w:rsid w:val="000B2911"/>
    <w:rsid w:val="000B29DD"/>
    <w:rsid w:val="000B38FD"/>
    <w:rsid w:val="000B3A72"/>
    <w:rsid w:val="000B3C0E"/>
    <w:rsid w:val="000B4B54"/>
    <w:rsid w:val="000B4FD9"/>
    <w:rsid w:val="000B5377"/>
    <w:rsid w:val="000B601B"/>
    <w:rsid w:val="000B66C5"/>
    <w:rsid w:val="000B7BD7"/>
    <w:rsid w:val="000C0835"/>
    <w:rsid w:val="000C15EF"/>
    <w:rsid w:val="000C1DBF"/>
    <w:rsid w:val="000C2646"/>
    <w:rsid w:val="000C3421"/>
    <w:rsid w:val="000C34F1"/>
    <w:rsid w:val="000C3B41"/>
    <w:rsid w:val="000C4833"/>
    <w:rsid w:val="000C5BA7"/>
    <w:rsid w:val="000C5C9C"/>
    <w:rsid w:val="000C5CE2"/>
    <w:rsid w:val="000C5EB1"/>
    <w:rsid w:val="000C62BB"/>
    <w:rsid w:val="000C63C2"/>
    <w:rsid w:val="000C7153"/>
    <w:rsid w:val="000C74E9"/>
    <w:rsid w:val="000C7B6E"/>
    <w:rsid w:val="000C7C70"/>
    <w:rsid w:val="000C7FF7"/>
    <w:rsid w:val="000D0BE2"/>
    <w:rsid w:val="000D16D9"/>
    <w:rsid w:val="000D20B7"/>
    <w:rsid w:val="000D22FF"/>
    <w:rsid w:val="000D2A2B"/>
    <w:rsid w:val="000D339D"/>
    <w:rsid w:val="000D4B3A"/>
    <w:rsid w:val="000D5291"/>
    <w:rsid w:val="000D52F1"/>
    <w:rsid w:val="000D58A4"/>
    <w:rsid w:val="000D62FF"/>
    <w:rsid w:val="000D6B7F"/>
    <w:rsid w:val="000D6E1B"/>
    <w:rsid w:val="000D71A1"/>
    <w:rsid w:val="000D75CB"/>
    <w:rsid w:val="000D77C7"/>
    <w:rsid w:val="000D7B8D"/>
    <w:rsid w:val="000E002D"/>
    <w:rsid w:val="000E031B"/>
    <w:rsid w:val="000E0870"/>
    <w:rsid w:val="000E0CB6"/>
    <w:rsid w:val="000E1043"/>
    <w:rsid w:val="000E113B"/>
    <w:rsid w:val="000E2468"/>
    <w:rsid w:val="000E271F"/>
    <w:rsid w:val="000E28D6"/>
    <w:rsid w:val="000E2B2F"/>
    <w:rsid w:val="000E2CE4"/>
    <w:rsid w:val="000E2D19"/>
    <w:rsid w:val="000E3522"/>
    <w:rsid w:val="000E3BF2"/>
    <w:rsid w:val="000E4974"/>
    <w:rsid w:val="000E5926"/>
    <w:rsid w:val="000E68AB"/>
    <w:rsid w:val="000E6DC6"/>
    <w:rsid w:val="000E6F84"/>
    <w:rsid w:val="000E72C8"/>
    <w:rsid w:val="000E73DC"/>
    <w:rsid w:val="000E77DD"/>
    <w:rsid w:val="000E7988"/>
    <w:rsid w:val="000E7CCF"/>
    <w:rsid w:val="000F0165"/>
    <w:rsid w:val="000F0A14"/>
    <w:rsid w:val="000F17CD"/>
    <w:rsid w:val="000F1FEF"/>
    <w:rsid w:val="000F25C3"/>
    <w:rsid w:val="000F286C"/>
    <w:rsid w:val="000F2D16"/>
    <w:rsid w:val="000F2D8D"/>
    <w:rsid w:val="000F2E8A"/>
    <w:rsid w:val="000F414D"/>
    <w:rsid w:val="000F47A2"/>
    <w:rsid w:val="000F53DF"/>
    <w:rsid w:val="000F5EA7"/>
    <w:rsid w:val="000F6462"/>
    <w:rsid w:val="000F69A2"/>
    <w:rsid w:val="000F6F3A"/>
    <w:rsid w:val="000F754C"/>
    <w:rsid w:val="001000F0"/>
    <w:rsid w:val="00100319"/>
    <w:rsid w:val="00100B28"/>
    <w:rsid w:val="00100BB9"/>
    <w:rsid w:val="00101061"/>
    <w:rsid w:val="00101514"/>
    <w:rsid w:val="00101824"/>
    <w:rsid w:val="001018AA"/>
    <w:rsid w:val="00101D34"/>
    <w:rsid w:val="00101EBA"/>
    <w:rsid w:val="001021B2"/>
    <w:rsid w:val="0010230E"/>
    <w:rsid w:val="00103402"/>
    <w:rsid w:val="00103B58"/>
    <w:rsid w:val="00104557"/>
    <w:rsid w:val="00104640"/>
    <w:rsid w:val="00104C03"/>
    <w:rsid w:val="0010505F"/>
    <w:rsid w:val="001055F5"/>
    <w:rsid w:val="00105C79"/>
    <w:rsid w:val="00106724"/>
    <w:rsid w:val="00107B58"/>
    <w:rsid w:val="00111544"/>
    <w:rsid w:val="00111E74"/>
    <w:rsid w:val="00111FB9"/>
    <w:rsid w:val="00112803"/>
    <w:rsid w:val="00112C48"/>
    <w:rsid w:val="00112E6D"/>
    <w:rsid w:val="0011326D"/>
    <w:rsid w:val="001135D5"/>
    <w:rsid w:val="0011384D"/>
    <w:rsid w:val="00114482"/>
    <w:rsid w:val="00114779"/>
    <w:rsid w:val="001147DB"/>
    <w:rsid w:val="001151A7"/>
    <w:rsid w:val="0011526F"/>
    <w:rsid w:val="001158A5"/>
    <w:rsid w:val="00116116"/>
    <w:rsid w:val="001166F1"/>
    <w:rsid w:val="001203A2"/>
    <w:rsid w:val="001205DD"/>
    <w:rsid w:val="001209E2"/>
    <w:rsid w:val="0012169C"/>
    <w:rsid w:val="00121B32"/>
    <w:rsid w:val="001225B9"/>
    <w:rsid w:val="00123297"/>
    <w:rsid w:val="0012395F"/>
    <w:rsid w:val="00124749"/>
    <w:rsid w:val="00124C3C"/>
    <w:rsid w:val="001259B7"/>
    <w:rsid w:val="00125D85"/>
    <w:rsid w:val="00125EBF"/>
    <w:rsid w:val="0012626F"/>
    <w:rsid w:val="00126F92"/>
    <w:rsid w:val="001276E4"/>
    <w:rsid w:val="00130957"/>
    <w:rsid w:val="0013237A"/>
    <w:rsid w:val="001325FD"/>
    <w:rsid w:val="00132BA2"/>
    <w:rsid w:val="0013330E"/>
    <w:rsid w:val="00133FD2"/>
    <w:rsid w:val="00134705"/>
    <w:rsid w:val="0013473D"/>
    <w:rsid w:val="00135208"/>
    <w:rsid w:val="0013537D"/>
    <w:rsid w:val="0013573A"/>
    <w:rsid w:val="00136CB5"/>
    <w:rsid w:val="00137A36"/>
    <w:rsid w:val="001406A2"/>
    <w:rsid w:val="0014096D"/>
    <w:rsid w:val="00140FB2"/>
    <w:rsid w:val="001427C5"/>
    <w:rsid w:val="00143ACC"/>
    <w:rsid w:val="00143C98"/>
    <w:rsid w:val="00144048"/>
    <w:rsid w:val="00144FE3"/>
    <w:rsid w:val="0014523F"/>
    <w:rsid w:val="001452B1"/>
    <w:rsid w:val="00146158"/>
    <w:rsid w:val="001465E6"/>
    <w:rsid w:val="001465EF"/>
    <w:rsid w:val="00146A16"/>
    <w:rsid w:val="00146EB0"/>
    <w:rsid w:val="00147168"/>
    <w:rsid w:val="00147482"/>
    <w:rsid w:val="00151D60"/>
    <w:rsid w:val="00151F55"/>
    <w:rsid w:val="0015271B"/>
    <w:rsid w:val="00152B88"/>
    <w:rsid w:val="0015398A"/>
    <w:rsid w:val="001539CE"/>
    <w:rsid w:val="00153FB3"/>
    <w:rsid w:val="00154749"/>
    <w:rsid w:val="00154AB2"/>
    <w:rsid w:val="001550A5"/>
    <w:rsid w:val="00155A53"/>
    <w:rsid w:val="00157A2A"/>
    <w:rsid w:val="00157F41"/>
    <w:rsid w:val="001601D9"/>
    <w:rsid w:val="00160316"/>
    <w:rsid w:val="0016047A"/>
    <w:rsid w:val="00160B00"/>
    <w:rsid w:val="00161FF4"/>
    <w:rsid w:val="0016302F"/>
    <w:rsid w:val="00163254"/>
    <w:rsid w:val="0016471F"/>
    <w:rsid w:val="00164BDD"/>
    <w:rsid w:val="0016590D"/>
    <w:rsid w:val="00166405"/>
    <w:rsid w:val="0016667F"/>
    <w:rsid w:val="001667EC"/>
    <w:rsid w:val="00167D3F"/>
    <w:rsid w:val="00167DB4"/>
    <w:rsid w:val="0017083A"/>
    <w:rsid w:val="00171BDD"/>
    <w:rsid w:val="00171C28"/>
    <w:rsid w:val="00171F39"/>
    <w:rsid w:val="0017252A"/>
    <w:rsid w:val="001726DE"/>
    <w:rsid w:val="00172EAD"/>
    <w:rsid w:val="00173820"/>
    <w:rsid w:val="001741A1"/>
    <w:rsid w:val="001745DA"/>
    <w:rsid w:val="00174E8B"/>
    <w:rsid w:val="00175A2D"/>
    <w:rsid w:val="00175F07"/>
    <w:rsid w:val="001766CC"/>
    <w:rsid w:val="00176921"/>
    <w:rsid w:val="00176D8D"/>
    <w:rsid w:val="0017719A"/>
    <w:rsid w:val="00177AFA"/>
    <w:rsid w:val="00180F94"/>
    <w:rsid w:val="0018337F"/>
    <w:rsid w:val="001833A1"/>
    <w:rsid w:val="00183AC3"/>
    <w:rsid w:val="00184072"/>
    <w:rsid w:val="001841D1"/>
    <w:rsid w:val="0018434F"/>
    <w:rsid w:val="00184DCE"/>
    <w:rsid w:val="0018613F"/>
    <w:rsid w:val="0018641C"/>
    <w:rsid w:val="001866BC"/>
    <w:rsid w:val="00186C1C"/>
    <w:rsid w:val="00186D77"/>
    <w:rsid w:val="00186F0E"/>
    <w:rsid w:val="00186FFA"/>
    <w:rsid w:val="001873F3"/>
    <w:rsid w:val="0019002E"/>
    <w:rsid w:val="00191C41"/>
    <w:rsid w:val="00192A97"/>
    <w:rsid w:val="00192BC1"/>
    <w:rsid w:val="00192F39"/>
    <w:rsid w:val="001933E6"/>
    <w:rsid w:val="00193C13"/>
    <w:rsid w:val="00193C9C"/>
    <w:rsid w:val="001945EF"/>
    <w:rsid w:val="001949AC"/>
    <w:rsid w:val="00194B42"/>
    <w:rsid w:val="00195886"/>
    <w:rsid w:val="00196436"/>
    <w:rsid w:val="00196B88"/>
    <w:rsid w:val="00196D0C"/>
    <w:rsid w:val="00197BF9"/>
    <w:rsid w:val="00197F91"/>
    <w:rsid w:val="001A0060"/>
    <w:rsid w:val="001A0772"/>
    <w:rsid w:val="001A14DD"/>
    <w:rsid w:val="001A1A0A"/>
    <w:rsid w:val="001A21BB"/>
    <w:rsid w:val="001A29F7"/>
    <w:rsid w:val="001A346B"/>
    <w:rsid w:val="001A3471"/>
    <w:rsid w:val="001A3568"/>
    <w:rsid w:val="001A389E"/>
    <w:rsid w:val="001A4BFC"/>
    <w:rsid w:val="001A4C9F"/>
    <w:rsid w:val="001A51BC"/>
    <w:rsid w:val="001A563F"/>
    <w:rsid w:val="001A60E1"/>
    <w:rsid w:val="001A63E9"/>
    <w:rsid w:val="001A69E4"/>
    <w:rsid w:val="001A6D27"/>
    <w:rsid w:val="001A7452"/>
    <w:rsid w:val="001A7CBE"/>
    <w:rsid w:val="001B00FB"/>
    <w:rsid w:val="001B1A98"/>
    <w:rsid w:val="001B2722"/>
    <w:rsid w:val="001B2EFB"/>
    <w:rsid w:val="001B3312"/>
    <w:rsid w:val="001B386D"/>
    <w:rsid w:val="001B3AF6"/>
    <w:rsid w:val="001B4009"/>
    <w:rsid w:val="001B5231"/>
    <w:rsid w:val="001B5968"/>
    <w:rsid w:val="001B5DFE"/>
    <w:rsid w:val="001B67A3"/>
    <w:rsid w:val="001B6983"/>
    <w:rsid w:val="001B75DE"/>
    <w:rsid w:val="001C0DA1"/>
    <w:rsid w:val="001C0F1B"/>
    <w:rsid w:val="001C1A9A"/>
    <w:rsid w:val="001C23E3"/>
    <w:rsid w:val="001C2D34"/>
    <w:rsid w:val="001C3105"/>
    <w:rsid w:val="001C3738"/>
    <w:rsid w:val="001C38B3"/>
    <w:rsid w:val="001C3D35"/>
    <w:rsid w:val="001C3DA9"/>
    <w:rsid w:val="001C470E"/>
    <w:rsid w:val="001C5DFE"/>
    <w:rsid w:val="001C5E84"/>
    <w:rsid w:val="001C5F6C"/>
    <w:rsid w:val="001C601B"/>
    <w:rsid w:val="001C620B"/>
    <w:rsid w:val="001C6691"/>
    <w:rsid w:val="001C6744"/>
    <w:rsid w:val="001C6C3E"/>
    <w:rsid w:val="001C71B3"/>
    <w:rsid w:val="001C7348"/>
    <w:rsid w:val="001D0681"/>
    <w:rsid w:val="001D09B4"/>
    <w:rsid w:val="001D1772"/>
    <w:rsid w:val="001D23BE"/>
    <w:rsid w:val="001D2652"/>
    <w:rsid w:val="001D26B4"/>
    <w:rsid w:val="001D2876"/>
    <w:rsid w:val="001D2EC3"/>
    <w:rsid w:val="001D33F8"/>
    <w:rsid w:val="001D4780"/>
    <w:rsid w:val="001D4932"/>
    <w:rsid w:val="001D4972"/>
    <w:rsid w:val="001D4C65"/>
    <w:rsid w:val="001D4F2D"/>
    <w:rsid w:val="001D50FD"/>
    <w:rsid w:val="001D527D"/>
    <w:rsid w:val="001D583B"/>
    <w:rsid w:val="001D5A75"/>
    <w:rsid w:val="001D5D9E"/>
    <w:rsid w:val="001D70D8"/>
    <w:rsid w:val="001D7312"/>
    <w:rsid w:val="001D7CAC"/>
    <w:rsid w:val="001D7F87"/>
    <w:rsid w:val="001E0740"/>
    <w:rsid w:val="001E18CF"/>
    <w:rsid w:val="001E1D78"/>
    <w:rsid w:val="001E24BC"/>
    <w:rsid w:val="001E25E9"/>
    <w:rsid w:val="001E3002"/>
    <w:rsid w:val="001E30F6"/>
    <w:rsid w:val="001E4280"/>
    <w:rsid w:val="001E465E"/>
    <w:rsid w:val="001E498F"/>
    <w:rsid w:val="001E541F"/>
    <w:rsid w:val="001E5743"/>
    <w:rsid w:val="001E6043"/>
    <w:rsid w:val="001E615D"/>
    <w:rsid w:val="001E6207"/>
    <w:rsid w:val="001E621F"/>
    <w:rsid w:val="001E6685"/>
    <w:rsid w:val="001E6F8F"/>
    <w:rsid w:val="001E726C"/>
    <w:rsid w:val="001E7D4E"/>
    <w:rsid w:val="001F0340"/>
    <w:rsid w:val="001F0B2D"/>
    <w:rsid w:val="001F0E05"/>
    <w:rsid w:val="001F1B7B"/>
    <w:rsid w:val="001F1DBA"/>
    <w:rsid w:val="001F2BCB"/>
    <w:rsid w:val="001F2E05"/>
    <w:rsid w:val="001F347C"/>
    <w:rsid w:val="001F3725"/>
    <w:rsid w:val="001F3811"/>
    <w:rsid w:val="001F3A04"/>
    <w:rsid w:val="001F42B9"/>
    <w:rsid w:val="001F512B"/>
    <w:rsid w:val="001F5E84"/>
    <w:rsid w:val="001F5EC3"/>
    <w:rsid w:val="001F6131"/>
    <w:rsid w:val="001F651A"/>
    <w:rsid w:val="001F73CE"/>
    <w:rsid w:val="001F7AF8"/>
    <w:rsid w:val="001F7E2D"/>
    <w:rsid w:val="00200923"/>
    <w:rsid w:val="002009DF"/>
    <w:rsid w:val="00202930"/>
    <w:rsid w:val="002029C2"/>
    <w:rsid w:val="00202CD5"/>
    <w:rsid w:val="00202E15"/>
    <w:rsid w:val="00202F00"/>
    <w:rsid w:val="002034D2"/>
    <w:rsid w:val="00203845"/>
    <w:rsid w:val="00204D39"/>
    <w:rsid w:val="002054AA"/>
    <w:rsid w:val="002060DC"/>
    <w:rsid w:val="002065D1"/>
    <w:rsid w:val="00206A04"/>
    <w:rsid w:val="002078FF"/>
    <w:rsid w:val="00207995"/>
    <w:rsid w:val="00207CAD"/>
    <w:rsid w:val="00207E6D"/>
    <w:rsid w:val="00207FF7"/>
    <w:rsid w:val="0021062C"/>
    <w:rsid w:val="002108E7"/>
    <w:rsid w:val="00210D08"/>
    <w:rsid w:val="00211407"/>
    <w:rsid w:val="0021140F"/>
    <w:rsid w:val="002121D5"/>
    <w:rsid w:val="002136BB"/>
    <w:rsid w:val="00213740"/>
    <w:rsid w:val="0021381C"/>
    <w:rsid w:val="00213CEC"/>
    <w:rsid w:val="002141D1"/>
    <w:rsid w:val="00214345"/>
    <w:rsid w:val="00214FF6"/>
    <w:rsid w:val="00215A94"/>
    <w:rsid w:val="00215F78"/>
    <w:rsid w:val="00216A69"/>
    <w:rsid w:val="00216C03"/>
    <w:rsid w:val="00216C3B"/>
    <w:rsid w:val="0021756D"/>
    <w:rsid w:val="002200E7"/>
    <w:rsid w:val="00220467"/>
    <w:rsid w:val="00220CEC"/>
    <w:rsid w:val="00221009"/>
    <w:rsid w:val="002211A7"/>
    <w:rsid w:val="002211DB"/>
    <w:rsid w:val="00221BAF"/>
    <w:rsid w:val="00222070"/>
    <w:rsid w:val="00222A26"/>
    <w:rsid w:val="002238D8"/>
    <w:rsid w:val="00223E6D"/>
    <w:rsid w:val="00224B76"/>
    <w:rsid w:val="00224EE2"/>
    <w:rsid w:val="00225380"/>
    <w:rsid w:val="00225B9C"/>
    <w:rsid w:val="00225BDA"/>
    <w:rsid w:val="00225D37"/>
    <w:rsid w:val="002263A3"/>
    <w:rsid w:val="002265A0"/>
    <w:rsid w:val="0022660F"/>
    <w:rsid w:val="002267DF"/>
    <w:rsid w:val="00226D5D"/>
    <w:rsid w:val="00226DDD"/>
    <w:rsid w:val="00227BDB"/>
    <w:rsid w:val="00227C73"/>
    <w:rsid w:val="00227D7F"/>
    <w:rsid w:val="00230671"/>
    <w:rsid w:val="002307CF"/>
    <w:rsid w:val="0023146C"/>
    <w:rsid w:val="0023268D"/>
    <w:rsid w:val="0023582B"/>
    <w:rsid w:val="00235910"/>
    <w:rsid w:val="00236143"/>
    <w:rsid w:val="00236744"/>
    <w:rsid w:val="00236845"/>
    <w:rsid w:val="00236D8C"/>
    <w:rsid w:val="00236EF6"/>
    <w:rsid w:val="002374DF"/>
    <w:rsid w:val="00237CEC"/>
    <w:rsid w:val="002407C5"/>
    <w:rsid w:val="00240B9A"/>
    <w:rsid w:val="0024109A"/>
    <w:rsid w:val="0024211F"/>
    <w:rsid w:val="002423FF"/>
    <w:rsid w:val="00242B19"/>
    <w:rsid w:val="00243100"/>
    <w:rsid w:val="00243609"/>
    <w:rsid w:val="00243C84"/>
    <w:rsid w:val="00244174"/>
    <w:rsid w:val="002442B5"/>
    <w:rsid w:val="002446F1"/>
    <w:rsid w:val="002457A4"/>
    <w:rsid w:val="0024747A"/>
    <w:rsid w:val="00247E57"/>
    <w:rsid w:val="00250BF3"/>
    <w:rsid w:val="00250C3F"/>
    <w:rsid w:val="002518C9"/>
    <w:rsid w:val="002529F6"/>
    <w:rsid w:val="002538BD"/>
    <w:rsid w:val="0025443F"/>
    <w:rsid w:val="0025582F"/>
    <w:rsid w:val="00255ABC"/>
    <w:rsid w:val="00256C85"/>
    <w:rsid w:val="00256E14"/>
    <w:rsid w:val="00256E99"/>
    <w:rsid w:val="00257296"/>
    <w:rsid w:val="002572EE"/>
    <w:rsid w:val="00257B2A"/>
    <w:rsid w:val="0026049C"/>
    <w:rsid w:val="00260A48"/>
    <w:rsid w:val="00260A9C"/>
    <w:rsid w:val="00260F5D"/>
    <w:rsid w:val="00261210"/>
    <w:rsid w:val="00261CCE"/>
    <w:rsid w:val="00263036"/>
    <w:rsid w:val="002637F0"/>
    <w:rsid w:val="002643C2"/>
    <w:rsid w:val="00264404"/>
    <w:rsid w:val="00265DFA"/>
    <w:rsid w:val="00265EFE"/>
    <w:rsid w:val="0026655A"/>
    <w:rsid w:val="00267314"/>
    <w:rsid w:val="00267A88"/>
    <w:rsid w:val="00270CF9"/>
    <w:rsid w:val="002713C5"/>
    <w:rsid w:val="002714AE"/>
    <w:rsid w:val="00272476"/>
    <w:rsid w:val="00272707"/>
    <w:rsid w:val="00273499"/>
    <w:rsid w:val="00273DAF"/>
    <w:rsid w:val="00273F30"/>
    <w:rsid w:val="00274F26"/>
    <w:rsid w:val="00274FA7"/>
    <w:rsid w:val="00275097"/>
    <w:rsid w:val="002759AB"/>
    <w:rsid w:val="002776B3"/>
    <w:rsid w:val="00277C7E"/>
    <w:rsid w:val="00277D7C"/>
    <w:rsid w:val="00280820"/>
    <w:rsid w:val="00280D8F"/>
    <w:rsid w:val="00280DB0"/>
    <w:rsid w:val="00281981"/>
    <w:rsid w:val="00281D66"/>
    <w:rsid w:val="00282009"/>
    <w:rsid w:val="00282127"/>
    <w:rsid w:val="00283DB3"/>
    <w:rsid w:val="0028661E"/>
    <w:rsid w:val="00287324"/>
    <w:rsid w:val="00287D64"/>
    <w:rsid w:val="002900F2"/>
    <w:rsid w:val="002911D0"/>
    <w:rsid w:val="00291B62"/>
    <w:rsid w:val="00292517"/>
    <w:rsid w:val="00292941"/>
    <w:rsid w:val="00292AA0"/>
    <w:rsid w:val="00292AD1"/>
    <w:rsid w:val="002932E2"/>
    <w:rsid w:val="002941FE"/>
    <w:rsid w:val="002942F0"/>
    <w:rsid w:val="00294F61"/>
    <w:rsid w:val="002951A8"/>
    <w:rsid w:val="00295298"/>
    <w:rsid w:val="002963EE"/>
    <w:rsid w:val="002966C3"/>
    <w:rsid w:val="0029698B"/>
    <w:rsid w:val="00297235"/>
    <w:rsid w:val="002976D4"/>
    <w:rsid w:val="0029771A"/>
    <w:rsid w:val="00297993"/>
    <w:rsid w:val="002A0624"/>
    <w:rsid w:val="002A081E"/>
    <w:rsid w:val="002A1C82"/>
    <w:rsid w:val="002A2904"/>
    <w:rsid w:val="002A2A61"/>
    <w:rsid w:val="002A3B62"/>
    <w:rsid w:val="002A3B9A"/>
    <w:rsid w:val="002A40D8"/>
    <w:rsid w:val="002A4762"/>
    <w:rsid w:val="002A5E9C"/>
    <w:rsid w:val="002A5FA1"/>
    <w:rsid w:val="002A6E86"/>
    <w:rsid w:val="002A6F85"/>
    <w:rsid w:val="002A7DE0"/>
    <w:rsid w:val="002B0BBD"/>
    <w:rsid w:val="002B125C"/>
    <w:rsid w:val="002B13F9"/>
    <w:rsid w:val="002B13FC"/>
    <w:rsid w:val="002B1BF3"/>
    <w:rsid w:val="002B26D6"/>
    <w:rsid w:val="002B2D7C"/>
    <w:rsid w:val="002B2FBF"/>
    <w:rsid w:val="002B3571"/>
    <w:rsid w:val="002B3DB4"/>
    <w:rsid w:val="002B43A7"/>
    <w:rsid w:val="002B43EA"/>
    <w:rsid w:val="002B4F16"/>
    <w:rsid w:val="002B4F89"/>
    <w:rsid w:val="002B50F6"/>
    <w:rsid w:val="002B51CC"/>
    <w:rsid w:val="002B5D80"/>
    <w:rsid w:val="002B67D8"/>
    <w:rsid w:val="002B6996"/>
    <w:rsid w:val="002B719C"/>
    <w:rsid w:val="002B7206"/>
    <w:rsid w:val="002B7625"/>
    <w:rsid w:val="002C0F83"/>
    <w:rsid w:val="002C1740"/>
    <w:rsid w:val="002C19AB"/>
    <w:rsid w:val="002C1A60"/>
    <w:rsid w:val="002C2392"/>
    <w:rsid w:val="002C24B6"/>
    <w:rsid w:val="002C25D6"/>
    <w:rsid w:val="002C389B"/>
    <w:rsid w:val="002C3A5F"/>
    <w:rsid w:val="002C4149"/>
    <w:rsid w:val="002C46F9"/>
    <w:rsid w:val="002C493D"/>
    <w:rsid w:val="002C4A14"/>
    <w:rsid w:val="002C4C08"/>
    <w:rsid w:val="002C4FEC"/>
    <w:rsid w:val="002C5010"/>
    <w:rsid w:val="002C5808"/>
    <w:rsid w:val="002D1467"/>
    <w:rsid w:val="002D16EB"/>
    <w:rsid w:val="002D22BE"/>
    <w:rsid w:val="002D2638"/>
    <w:rsid w:val="002D29C0"/>
    <w:rsid w:val="002D2BC5"/>
    <w:rsid w:val="002D3854"/>
    <w:rsid w:val="002D3869"/>
    <w:rsid w:val="002D38C2"/>
    <w:rsid w:val="002D4E70"/>
    <w:rsid w:val="002D502F"/>
    <w:rsid w:val="002D5B85"/>
    <w:rsid w:val="002D5F6F"/>
    <w:rsid w:val="002D636F"/>
    <w:rsid w:val="002D7414"/>
    <w:rsid w:val="002D7C26"/>
    <w:rsid w:val="002E0080"/>
    <w:rsid w:val="002E011B"/>
    <w:rsid w:val="002E14EE"/>
    <w:rsid w:val="002E1817"/>
    <w:rsid w:val="002E258E"/>
    <w:rsid w:val="002E2CFA"/>
    <w:rsid w:val="002E3518"/>
    <w:rsid w:val="002E3987"/>
    <w:rsid w:val="002E4A42"/>
    <w:rsid w:val="002E5263"/>
    <w:rsid w:val="002E6463"/>
    <w:rsid w:val="002E7400"/>
    <w:rsid w:val="002E7F00"/>
    <w:rsid w:val="002F1975"/>
    <w:rsid w:val="002F1CC2"/>
    <w:rsid w:val="002F2046"/>
    <w:rsid w:val="002F2179"/>
    <w:rsid w:val="002F2CA8"/>
    <w:rsid w:val="002F3AC2"/>
    <w:rsid w:val="002F3B15"/>
    <w:rsid w:val="002F3BB1"/>
    <w:rsid w:val="002F3BCE"/>
    <w:rsid w:val="002F41F7"/>
    <w:rsid w:val="002F56C8"/>
    <w:rsid w:val="002F5E22"/>
    <w:rsid w:val="002F5F7B"/>
    <w:rsid w:val="002F6539"/>
    <w:rsid w:val="002F6DBA"/>
    <w:rsid w:val="002F79A6"/>
    <w:rsid w:val="0030132A"/>
    <w:rsid w:val="00301C79"/>
    <w:rsid w:val="00302984"/>
    <w:rsid w:val="003035D9"/>
    <w:rsid w:val="0030381A"/>
    <w:rsid w:val="00303C84"/>
    <w:rsid w:val="003057F5"/>
    <w:rsid w:val="003076CF"/>
    <w:rsid w:val="00307B04"/>
    <w:rsid w:val="00310576"/>
    <w:rsid w:val="003109B6"/>
    <w:rsid w:val="003117BE"/>
    <w:rsid w:val="003118FE"/>
    <w:rsid w:val="00311B1F"/>
    <w:rsid w:val="003120AC"/>
    <w:rsid w:val="00312286"/>
    <w:rsid w:val="00312CF3"/>
    <w:rsid w:val="00312E4F"/>
    <w:rsid w:val="00314A29"/>
    <w:rsid w:val="00315301"/>
    <w:rsid w:val="003162E5"/>
    <w:rsid w:val="0031659D"/>
    <w:rsid w:val="00316837"/>
    <w:rsid w:val="003175EB"/>
    <w:rsid w:val="003212D1"/>
    <w:rsid w:val="003217DB"/>
    <w:rsid w:val="00321B37"/>
    <w:rsid w:val="0032240E"/>
    <w:rsid w:val="00322472"/>
    <w:rsid w:val="00322710"/>
    <w:rsid w:val="00322FF2"/>
    <w:rsid w:val="003230F5"/>
    <w:rsid w:val="003239DC"/>
    <w:rsid w:val="00323CED"/>
    <w:rsid w:val="00323D50"/>
    <w:rsid w:val="0032403F"/>
    <w:rsid w:val="0032428C"/>
    <w:rsid w:val="003249DB"/>
    <w:rsid w:val="00324BE2"/>
    <w:rsid w:val="00324DBA"/>
    <w:rsid w:val="003254DF"/>
    <w:rsid w:val="003255E2"/>
    <w:rsid w:val="00325C66"/>
    <w:rsid w:val="003260E0"/>
    <w:rsid w:val="0032614F"/>
    <w:rsid w:val="00326F7A"/>
    <w:rsid w:val="003275BE"/>
    <w:rsid w:val="00327BD3"/>
    <w:rsid w:val="00330703"/>
    <w:rsid w:val="00330F18"/>
    <w:rsid w:val="003310C4"/>
    <w:rsid w:val="0033113E"/>
    <w:rsid w:val="00331952"/>
    <w:rsid w:val="00331FE0"/>
    <w:rsid w:val="00332638"/>
    <w:rsid w:val="003349AA"/>
    <w:rsid w:val="00334AE4"/>
    <w:rsid w:val="00334C15"/>
    <w:rsid w:val="00334D08"/>
    <w:rsid w:val="0033501C"/>
    <w:rsid w:val="00335FCD"/>
    <w:rsid w:val="003367B1"/>
    <w:rsid w:val="00336EEE"/>
    <w:rsid w:val="00337236"/>
    <w:rsid w:val="00337299"/>
    <w:rsid w:val="00337AA5"/>
    <w:rsid w:val="00337FDF"/>
    <w:rsid w:val="00340389"/>
    <w:rsid w:val="00340488"/>
    <w:rsid w:val="00340647"/>
    <w:rsid w:val="0034161F"/>
    <w:rsid w:val="00342348"/>
    <w:rsid w:val="00342E91"/>
    <w:rsid w:val="00343603"/>
    <w:rsid w:val="00343727"/>
    <w:rsid w:val="00343CFD"/>
    <w:rsid w:val="00344A78"/>
    <w:rsid w:val="00346A96"/>
    <w:rsid w:val="00346C6D"/>
    <w:rsid w:val="00346E35"/>
    <w:rsid w:val="003477A9"/>
    <w:rsid w:val="00350184"/>
    <w:rsid w:val="00350CC5"/>
    <w:rsid w:val="003510E4"/>
    <w:rsid w:val="003517C4"/>
    <w:rsid w:val="00351D43"/>
    <w:rsid w:val="0035244C"/>
    <w:rsid w:val="003524AB"/>
    <w:rsid w:val="0035253A"/>
    <w:rsid w:val="0035291E"/>
    <w:rsid w:val="00352953"/>
    <w:rsid w:val="00352D0D"/>
    <w:rsid w:val="003549DB"/>
    <w:rsid w:val="00354F6A"/>
    <w:rsid w:val="003551E9"/>
    <w:rsid w:val="003557A9"/>
    <w:rsid w:val="00355AD3"/>
    <w:rsid w:val="00355B9D"/>
    <w:rsid w:val="00355FA9"/>
    <w:rsid w:val="00356059"/>
    <w:rsid w:val="003566E0"/>
    <w:rsid w:val="00357E01"/>
    <w:rsid w:val="003602CF"/>
    <w:rsid w:val="0036056D"/>
    <w:rsid w:val="0036257F"/>
    <w:rsid w:val="00362B47"/>
    <w:rsid w:val="00362C8B"/>
    <w:rsid w:val="00362D4D"/>
    <w:rsid w:val="0036362B"/>
    <w:rsid w:val="00363905"/>
    <w:rsid w:val="00363D70"/>
    <w:rsid w:val="00363EAC"/>
    <w:rsid w:val="003645A4"/>
    <w:rsid w:val="00364DBE"/>
    <w:rsid w:val="00364E8F"/>
    <w:rsid w:val="003651E2"/>
    <w:rsid w:val="0036576F"/>
    <w:rsid w:val="00365838"/>
    <w:rsid w:val="00365EB1"/>
    <w:rsid w:val="003666B5"/>
    <w:rsid w:val="00367FC8"/>
    <w:rsid w:val="00370081"/>
    <w:rsid w:val="0037054E"/>
    <w:rsid w:val="003706E4"/>
    <w:rsid w:val="003707E4"/>
    <w:rsid w:val="00370A71"/>
    <w:rsid w:val="0037151E"/>
    <w:rsid w:val="00371976"/>
    <w:rsid w:val="00371BAF"/>
    <w:rsid w:val="003720F8"/>
    <w:rsid w:val="00372286"/>
    <w:rsid w:val="00372850"/>
    <w:rsid w:val="00373969"/>
    <w:rsid w:val="00373F28"/>
    <w:rsid w:val="00374A78"/>
    <w:rsid w:val="00374C31"/>
    <w:rsid w:val="00374E7F"/>
    <w:rsid w:val="003750B5"/>
    <w:rsid w:val="00375CDA"/>
    <w:rsid w:val="0037611C"/>
    <w:rsid w:val="003763D8"/>
    <w:rsid w:val="00377618"/>
    <w:rsid w:val="0038074C"/>
    <w:rsid w:val="00380984"/>
    <w:rsid w:val="00381113"/>
    <w:rsid w:val="003812E7"/>
    <w:rsid w:val="003817E7"/>
    <w:rsid w:val="003820D4"/>
    <w:rsid w:val="003827CB"/>
    <w:rsid w:val="00382BE0"/>
    <w:rsid w:val="00383290"/>
    <w:rsid w:val="0038341B"/>
    <w:rsid w:val="003835AD"/>
    <w:rsid w:val="00383A03"/>
    <w:rsid w:val="00384051"/>
    <w:rsid w:val="003844D6"/>
    <w:rsid w:val="00384C14"/>
    <w:rsid w:val="00384C64"/>
    <w:rsid w:val="003858C6"/>
    <w:rsid w:val="0038656F"/>
    <w:rsid w:val="00386A96"/>
    <w:rsid w:val="00387B95"/>
    <w:rsid w:val="003909AF"/>
    <w:rsid w:val="00391237"/>
    <w:rsid w:val="00392064"/>
    <w:rsid w:val="003924E3"/>
    <w:rsid w:val="00392771"/>
    <w:rsid w:val="00392E50"/>
    <w:rsid w:val="00393D02"/>
    <w:rsid w:val="00393FE6"/>
    <w:rsid w:val="00395939"/>
    <w:rsid w:val="0039628A"/>
    <w:rsid w:val="00396343"/>
    <w:rsid w:val="00396960"/>
    <w:rsid w:val="00396F53"/>
    <w:rsid w:val="003971CE"/>
    <w:rsid w:val="003976F0"/>
    <w:rsid w:val="00397EB5"/>
    <w:rsid w:val="00397F17"/>
    <w:rsid w:val="003A01EE"/>
    <w:rsid w:val="003A076A"/>
    <w:rsid w:val="003A08F8"/>
    <w:rsid w:val="003A17DE"/>
    <w:rsid w:val="003A2352"/>
    <w:rsid w:val="003A23EF"/>
    <w:rsid w:val="003A28EB"/>
    <w:rsid w:val="003A29A3"/>
    <w:rsid w:val="003A3C5B"/>
    <w:rsid w:val="003A3D79"/>
    <w:rsid w:val="003A4A78"/>
    <w:rsid w:val="003A4B3F"/>
    <w:rsid w:val="003A4BD3"/>
    <w:rsid w:val="003A5217"/>
    <w:rsid w:val="003A52A9"/>
    <w:rsid w:val="003A5A55"/>
    <w:rsid w:val="003A5A92"/>
    <w:rsid w:val="003A5C2C"/>
    <w:rsid w:val="003A7CA5"/>
    <w:rsid w:val="003B015D"/>
    <w:rsid w:val="003B039B"/>
    <w:rsid w:val="003B0A4E"/>
    <w:rsid w:val="003B118B"/>
    <w:rsid w:val="003B154C"/>
    <w:rsid w:val="003B16A5"/>
    <w:rsid w:val="003B1A77"/>
    <w:rsid w:val="003B1F9C"/>
    <w:rsid w:val="003B2280"/>
    <w:rsid w:val="003B2C70"/>
    <w:rsid w:val="003B400A"/>
    <w:rsid w:val="003B441B"/>
    <w:rsid w:val="003B487C"/>
    <w:rsid w:val="003B51B4"/>
    <w:rsid w:val="003B5716"/>
    <w:rsid w:val="003B66A9"/>
    <w:rsid w:val="003B6AFD"/>
    <w:rsid w:val="003B7C3C"/>
    <w:rsid w:val="003C1A1F"/>
    <w:rsid w:val="003C25ED"/>
    <w:rsid w:val="003C385C"/>
    <w:rsid w:val="003C3BF4"/>
    <w:rsid w:val="003C4B15"/>
    <w:rsid w:val="003C512A"/>
    <w:rsid w:val="003C6489"/>
    <w:rsid w:val="003C6F36"/>
    <w:rsid w:val="003C733F"/>
    <w:rsid w:val="003C74AB"/>
    <w:rsid w:val="003C7977"/>
    <w:rsid w:val="003D0AB6"/>
    <w:rsid w:val="003D12F9"/>
    <w:rsid w:val="003D28CC"/>
    <w:rsid w:val="003D2C3F"/>
    <w:rsid w:val="003D2D44"/>
    <w:rsid w:val="003D2ED5"/>
    <w:rsid w:val="003D39BA"/>
    <w:rsid w:val="003D3ACD"/>
    <w:rsid w:val="003D3F76"/>
    <w:rsid w:val="003D4128"/>
    <w:rsid w:val="003D4836"/>
    <w:rsid w:val="003D494F"/>
    <w:rsid w:val="003D4BC7"/>
    <w:rsid w:val="003D5F0D"/>
    <w:rsid w:val="003D5F7F"/>
    <w:rsid w:val="003D66C8"/>
    <w:rsid w:val="003D78BF"/>
    <w:rsid w:val="003D7A13"/>
    <w:rsid w:val="003E0166"/>
    <w:rsid w:val="003E077A"/>
    <w:rsid w:val="003E2DB6"/>
    <w:rsid w:val="003E36AE"/>
    <w:rsid w:val="003E3A54"/>
    <w:rsid w:val="003E3C54"/>
    <w:rsid w:val="003E4480"/>
    <w:rsid w:val="003E487C"/>
    <w:rsid w:val="003E58BF"/>
    <w:rsid w:val="003E5B3C"/>
    <w:rsid w:val="003E6A84"/>
    <w:rsid w:val="003E780A"/>
    <w:rsid w:val="003F0910"/>
    <w:rsid w:val="003F0EAA"/>
    <w:rsid w:val="003F26F4"/>
    <w:rsid w:val="003F2990"/>
    <w:rsid w:val="003F2AED"/>
    <w:rsid w:val="003F2BE1"/>
    <w:rsid w:val="003F345F"/>
    <w:rsid w:val="003F36B3"/>
    <w:rsid w:val="003F37E6"/>
    <w:rsid w:val="003F39B1"/>
    <w:rsid w:val="003F47AD"/>
    <w:rsid w:val="003F4A9E"/>
    <w:rsid w:val="003F600A"/>
    <w:rsid w:val="003F65C4"/>
    <w:rsid w:val="003F66AF"/>
    <w:rsid w:val="003F6A2E"/>
    <w:rsid w:val="003F6F38"/>
    <w:rsid w:val="003F7236"/>
    <w:rsid w:val="003F7524"/>
    <w:rsid w:val="003F779D"/>
    <w:rsid w:val="003F7D58"/>
    <w:rsid w:val="00400959"/>
    <w:rsid w:val="00400DAC"/>
    <w:rsid w:val="00400EDF"/>
    <w:rsid w:val="0040136F"/>
    <w:rsid w:val="0040169A"/>
    <w:rsid w:val="00402170"/>
    <w:rsid w:val="0040244F"/>
    <w:rsid w:val="004024C3"/>
    <w:rsid w:val="00402792"/>
    <w:rsid w:val="0040297E"/>
    <w:rsid w:val="0040309E"/>
    <w:rsid w:val="0040370D"/>
    <w:rsid w:val="00404C5E"/>
    <w:rsid w:val="00405CCC"/>
    <w:rsid w:val="00406596"/>
    <w:rsid w:val="00407197"/>
    <w:rsid w:val="00407E22"/>
    <w:rsid w:val="00410FD2"/>
    <w:rsid w:val="00411D98"/>
    <w:rsid w:val="004120C7"/>
    <w:rsid w:val="004123F8"/>
    <w:rsid w:val="00412E7F"/>
    <w:rsid w:val="004131C9"/>
    <w:rsid w:val="004131DF"/>
    <w:rsid w:val="004132E2"/>
    <w:rsid w:val="00413D82"/>
    <w:rsid w:val="004147FF"/>
    <w:rsid w:val="00414E65"/>
    <w:rsid w:val="00415171"/>
    <w:rsid w:val="00415C0D"/>
    <w:rsid w:val="00416523"/>
    <w:rsid w:val="004167CC"/>
    <w:rsid w:val="00416CFC"/>
    <w:rsid w:val="0041753C"/>
    <w:rsid w:val="00417F47"/>
    <w:rsid w:val="00417F49"/>
    <w:rsid w:val="004200B3"/>
    <w:rsid w:val="004203C0"/>
    <w:rsid w:val="00420A7A"/>
    <w:rsid w:val="00420FAA"/>
    <w:rsid w:val="004211CF"/>
    <w:rsid w:val="00421C52"/>
    <w:rsid w:val="00422857"/>
    <w:rsid w:val="00423ECE"/>
    <w:rsid w:val="0042442E"/>
    <w:rsid w:val="00424BA8"/>
    <w:rsid w:val="00424C67"/>
    <w:rsid w:val="00424F89"/>
    <w:rsid w:val="004256FE"/>
    <w:rsid w:val="0042581B"/>
    <w:rsid w:val="00426025"/>
    <w:rsid w:val="004271AC"/>
    <w:rsid w:val="0042785A"/>
    <w:rsid w:val="00430917"/>
    <w:rsid w:val="00430B7F"/>
    <w:rsid w:val="00430C6E"/>
    <w:rsid w:val="004311A8"/>
    <w:rsid w:val="0043143A"/>
    <w:rsid w:val="004323DB"/>
    <w:rsid w:val="0043255F"/>
    <w:rsid w:val="004328F7"/>
    <w:rsid w:val="00432B90"/>
    <w:rsid w:val="00433232"/>
    <w:rsid w:val="00433D80"/>
    <w:rsid w:val="004349C8"/>
    <w:rsid w:val="004356AF"/>
    <w:rsid w:val="0043619F"/>
    <w:rsid w:val="00436B92"/>
    <w:rsid w:val="00436D0B"/>
    <w:rsid w:val="0043711D"/>
    <w:rsid w:val="004376EF"/>
    <w:rsid w:val="00437DD2"/>
    <w:rsid w:val="00437FD6"/>
    <w:rsid w:val="00440278"/>
    <w:rsid w:val="0044045C"/>
    <w:rsid w:val="004404B5"/>
    <w:rsid w:val="0044052B"/>
    <w:rsid w:val="004408DC"/>
    <w:rsid w:val="00440C20"/>
    <w:rsid w:val="00440D0B"/>
    <w:rsid w:val="00441A2A"/>
    <w:rsid w:val="0044231B"/>
    <w:rsid w:val="00442C49"/>
    <w:rsid w:val="00442C84"/>
    <w:rsid w:val="004430BC"/>
    <w:rsid w:val="00443981"/>
    <w:rsid w:val="00444675"/>
    <w:rsid w:val="004447A5"/>
    <w:rsid w:val="0044503D"/>
    <w:rsid w:val="0044671F"/>
    <w:rsid w:val="00446808"/>
    <w:rsid w:val="00447198"/>
    <w:rsid w:val="0044752B"/>
    <w:rsid w:val="00450507"/>
    <w:rsid w:val="00450C59"/>
    <w:rsid w:val="004511CD"/>
    <w:rsid w:val="00451208"/>
    <w:rsid w:val="0045179F"/>
    <w:rsid w:val="0045238A"/>
    <w:rsid w:val="004528E3"/>
    <w:rsid w:val="0045307E"/>
    <w:rsid w:val="00453AA2"/>
    <w:rsid w:val="004540D9"/>
    <w:rsid w:val="00454101"/>
    <w:rsid w:val="0045440A"/>
    <w:rsid w:val="00454DCE"/>
    <w:rsid w:val="00454E40"/>
    <w:rsid w:val="0045561A"/>
    <w:rsid w:val="00455F05"/>
    <w:rsid w:val="00456016"/>
    <w:rsid w:val="00456E28"/>
    <w:rsid w:val="0045735E"/>
    <w:rsid w:val="00457759"/>
    <w:rsid w:val="00457DB6"/>
    <w:rsid w:val="00457F3B"/>
    <w:rsid w:val="0046002B"/>
    <w:rsid w:val="00460B7B"/>
    <w:rsid w:val="004623F4"/>
    <w:rsid w:val="00462ACA"/>
    <w:rsid w:val="00462D31"/>
    <w:rsid w:val="00462F9D"/>
    <w:rsid w:val="004638BF"/>
    <w:rsid w:val="00463FE0"/>
    <w:rsid w:val="00464181"/>
    <w:rsid w:val="004656F6"/>
    <w:rsid w:val="004657ED"/>
    <w:rsid w:val="00466EA8"/>
    <w:rsid w:val="0047010D"/>
    <w:rsid w:val="00472163"/>
    <w:rsid w:val="004722EE"/>
    <w:rsid w:val="00472B1C"/>
    <w:rsid w:val="00472FF8"/>
    <w:rsid w:val="00473368"/>
    <w:rsid w:val="00474025"/>
    <w:rsid w:val="004748CE"/>
    <w:rsid w:val="0047527A"/>
    <w:rsid w:val="00476100"/>
    <w:rsid w:val="00476CAC"/>
    <w:rsid w:val="00477AD6"/>
    <w:rsid w:val="00477D0F"/>
    <w:rsid w:val="004814D9"/>
    <w:rsid w:val="00482D42"/>
    <w:rsid w:val="00483C50"/>
    <w:rsid w:val="00483DB7"/>
    <w:rsid w:val="00483DE9"/>
    <w:rsid w:val="00485ED8"/>
    <w:rsid w:val="004872FA"/>
    <w:rsid w:val="00487FB7"/>
    <w:rsid w:val="00490049"/>
    <w:rsid w:val="004903FF"/>
    <w:rsid w:val="0049058D"/>
    <w:rsid w:val="00490927"/>
    <w:rsid w:val="00491652"/>
    <w:rsid w:val="00491AD1"/>
    <w:rsid w:val="00491F56"/>
    <w:rsid w:val="00492054"/>
    <w:rsid w:val="004933CF"/>
    <w:rsid w:val="004936F4"/>
    <w:rsid w:val="004937B7"/>
    <w:rsid w:val="004939A9"/>
    <w:rsid w:val="00494803"/>
    <w:rsid w:val="00494DEE"/>
    <w:rsid w:val="00495279"/>
    <w:rsid w:val="00495907"/>
    <w:rsid w:val="00495A05"/>
    <w:rsid w:val="00495AE4"/>
    <w:rsid w:val="0049620F"/>
    <w:rsid w:val="00496431"/>
    <w:rsid w:val="004965BF"/>
    <w:rsid w:val="00497597"/>
    <w:rsid w:val="0049789D"/>
    <w:rsid w:val="00497A27"/>
    <w:rsid w:val="00497C1C"/>
    <w:rsid w:val="004A05FB"/>
    <w:rsid w:val="004A07F8"/>
    <w:rsid w:val="004A12B2"/>
    <w:rsid w:val="004A149F"/>
    <w:rsid w:val="004A14F1"/>
    <w:rsid w:val="004A1B0D"/>
    <w:rsid w:val="004A1D2E"/>
    <w:rsid w:val="004A2782"/>
    <w:rsid w:val="004A4995"/>
    <w:rsid w:val="004A4CBE"/>
    <w:rsid w:val="004A53D1"/>
    <w:rsid w:val="004A5FAE"/>
    <w:rsid w:val="004A6CAB"/>
    <w:rsid w:val="004A7BB2"/>
    <w:rsid w:val="004B0272"/>
    <w:rsid w:val="004B0C6A"/>
    <w:rsid w:val="004B17F1"/>
    <w:rsid w:val="004B1809"/>
    <w:rsid w:val="004B1842"/>
    <w:rsid w:val="004B217B"/>
    <w:rsid w:val="004B277D"/>
    <w:rsid w:val="004B2BD0"/>
    <w:rsid w:val="004B312F"/>
    <w:rsid w:val="004B315E"/>
    <w:rsid w:val="004B3BCE"/>
    <w:rsid w:val="004B3C4D"/>
    <w:rsid w:val="004B4061"/>
    <w:rsid w:val="004B6248"/>
    <w:rsid w:val="004B638C"/>
    <w:rsid w:val="004B7256"/>
    <w:rsid w:val="004C0F10"/>
    <w:rsid w:val="004C109A"/>
    <w:rsid w:val="004C1176"/>
    <w:rsid w:val="004C1553"/>
    <w:rsid w:val="004C1685"/>
    <w:rsid w:val="004C1D9D"/>
    <w:rsid w:val="004C289A"/>
    <w:rsid w:val="004C39AA"/>
    <w:rsid w:val="004C3DD2"/>
    <w:rsid w:val="004C4199"/>
    <w:rsid w:val="004C5663"/>
    <w:rsid w:val="004C59AB"/>
    <w:rsid w:val="004C74AE"/>
    <w:rsid w:val="004C7FB2"/>
    <w:rsid w:val="004D1C09"/>
    <w:rsid w:val="004D1FA7"/>
    <w:rsid w:val="004D21FE"/>
    <w:rsid w:val="004D2F45"/>
    <w:rsid w:val="004D3003"/>
    <w:rsid w:val="004D31B4"/>
    <w:rsid w:val="004D46B4"/>
    <w:rsid w:val="004D60AA"/>
    <w:rsid w:val="004D634C"/>
    <w:rsid w:val="004D66D1"/>
    <w:rsid w:val="004D6A72"/>
    <w:rsid w:val="004D6C07"/>
    <w:rsid w:val="004D6C3B"/>
    <w:rsid w:val="004D758F"/>
    <w:rsid w:val="004D7DB7"/>
    <w:rsid w:val="004E04F4"/>
    <w:rsid w:val="004E0EF2"/>
    <w:rsid w:val="004E1301"/>
    <w:rsid w:val="004E1A6F"/>
    <w:rsid w:val="004E1FC4"/>
    <w:rsid w:val="004E2151"/>
    <w:rsid w:val="004E2AC1"/>
    <w:rsid w:val="004E2E59"/>
    <w:rsid w:val="004E31B6"/>
    <w:rsid w:val="004E3779"/>
    <w:rsid w:val="004E4197"/>
    <w:rsid w:val="004E4B3E"/>
    <w:rsid w:val="004E6216"/>
    <w:rsid w:val="004E6AAB"/>
    <w:rsid w:val="004E7103"/>
    <w:rsid w:val="004E740A"/>
    <w:rsid w:val="004E7998"/>
    <w:rsid w:val="004F0A2D"/>
    <w:rsid w:val="004F0B54"/>
    <w:rsid w:val="004F104A"/>
    <w:rsid w:val="004F1985"/>
    <w:rsid w:val="004F1A7D"/>
    <w:rsid w:val="004F1B73"/>
    <w:rsid w:val="004F2194"/>
    <w:rsid w:val="004F289C"/>
    <w:rsid w:val="004F367C"/>
    <w:rsid w:val="004F367F"/>
    <w:rsid w:val="004F4769"/>
    <w:rsid w:val="004F49C7"/>
    <w:rsid w:val="004F640C"/>
    <w:rsid w:val="004F7AB0"/>
    <w:rsid w:val="004F7C74"/>
    <w:rsid w:val="00500121"/>
    <w:rsid w:val="005008C9"/>
    <w:rsid w:val="005020BA"/>
    <w:rsid w:val="00502290"/>
    <w:rsid w:val="005022C4"/>
    <w:rsid w:val="0050238D"/>
    <w:rsid w:val="005029D4"/>
    <w:rsid w:val="00502A8E"/>
    <w:rsid w:val="00502D67"/>
    <w:rsid w:val="00502DA5"/>
    <w:rsid w:val="00503A76"/>
    <w:rsid w:val="005058F5"/>
    <w:rsid w:val="005059FD"/>
    <w:rsid w:val="005061F7"/>
    <w:rsid w:val="00506BE8"/>
    <w:rsid w:val="00507C15"/>
    <w:rsid w:val="005106AC"/>
    <w:rsid w:val="00510893"/>
    <w:rsid w:val="00510BF8"/>
    <w:rsid w:val="00511637"/>
    <w:rsid w:val="00511DBA"/>
    <w:rsid w:val="005123A9"/>
    <w:rsid w:val="00513A0F"/>
    <w:rsid w:val="00514535"/>
    <w:rsid w:val="00514D6B"/>
    <w:rsid w:val="005150B3"/>
    <w:rsid w:val="005154F3"/>
    <w:rsid w:val="0051550C"/>
    <w:rsid w:val="0051584B"/>
    <w:rsid w:val="005160A2"/>
    <w:rsid w:val="00516913"/>
    <w:rsid w:val="0051746D"/>
    <w:rsid w:val="00520050"/>
    <w:rsid w:val="00520971"/>
    <w:rsid w:val="00520A19"/>
    <w:rsid w:val="00520C84"/>
    <w:rsid w:val="00520FBF"/>
    <w:rsid w:val="00521643"/>
    <w:rsid w:val="00521E42"/>
    <w:rsid w:val="005232F8"/>
    <w:rsid w:val="00523EB1"/>
    <w:rsid w:val="00524258"/>
    <w:rsid w:val="0052562C"/>
    <w:rsid w:val="00525FF2"/>
    <w:rsid w:val="005276A4"/>
    <w:rsid w:val="0053013F"/>
    <w:rsid w:val="00530221"/>
    <w:rsid w:val="0053076C"/>
    <w:rsid w:val="00530B6B"/>
    <w:rsid w:val="00530ED6"/>
    <w:rsid w:val="00531303"/>
    <w:rsid w:val="00531738"/>
    <w:rsid w:val="005318DD"/>
    <w:rsid w:val="00531E51"/>
    <w:rsid w:val="005323B1"/>
    <w:rsid w:val="00532D43"/>
    <w:rsid w:val="00532D92"/>
    <w:rsid w:val="005332DB"/>
    <w:rsid w:val="00533437"/>
    <w:rsid w:val="0053343A"/>
    <w:rsid w:val="00533C25"/>
    <w:rsid w:val="005342AB"/>
    <w:rsid w:val="005350D2"/>
    <w:rsid w:val="005355C6"/>
    <w:rsid w:val="005366F6"/>
    <w:rsid w:val="005367A6"/>
    <w:rsid w:val="00536AA0"/>
    <w:rsid w:val="00536C89"/>
    <w:rsid w:val="0053763B"/>
    <w:rsid w:val="00537B70"/>
    <w:rsid w:val="005408FE"/>
    <w:rsid w:val="00540C26"/>
    <w:rsid w:val="0054121C"/>
    <w:rsid w:val="005418C2"/>
    <w:rsid w:val="005423F8"/>
    <w:rsid w:val="00542D89"/>
    <w:rsid w:val="00543DE7"/>
    <w:rsid w:val="00544253"/>
    <w:rsid w:val="005442B7"/>
    <w:rsid w:val="00544C32"/>
    <w:rsid w:val="00545931"/>
    <w:rsid w:val="005460D0"/>
    <w:rsid w:val="005476C9"/>
    <w:rsid w:val="0055052F"/>
    <w:rsid w:val="005505A8"/>
    <w:rsid w:val="0055070B"/>
    <w:rsid w:val="00551E4B"/>
    <w:rsid w:val="00551F06"/>
    <w:rsid w:val="005526A2"/>
    <w:rsid w:val="00552702"/>
    <w:rsid w:val="005535E3"/>
    <w:rsid w:val="00554190"/>
    <w:rsid w:val="005544C7"/>
    <w:rsid w:val="00554589"/>
    <w:rsid w:val="00554668"/>
    <w:rsid w:val="00554951"/>
    <w:rsid w:val="00554ADF"/>
    <w:rsid w:val="00554E5F"/>
    <w:rsid w:val="00555DB3"/>
    <w:rsid w:val="00556DAD"/>
    <w:rsid w:val="005578DE"/>
    <w:rsid w:val="00557DDB"/>
    <w:rsid w:val="00560790"/>
    <w:rsid w:val="00560932"/>
    <w:rsid w:val="00560A44"/>
    <w:rsid w:val="00560D2B"/>
    <w:rsid w:val="00560E82"/>
    <w:rsid w:val="005614E5"/>
    <w:rsid w:val="00561B02"/>
    <w:rsid w:val="0056224C"/>
    <w:rsid w:val="00562620"/>
    <w:rsid w:val="0056290C"/>
    <w:rsid w:val="00562AF7"/>
    <w:rsid w:val="005637D9"/>
    <w:rsid w:val="005645AF"/>
    <w:rsid w:val="00565C41"/>
    <w:rsid w:val="0056640A"/>
    <w:rsid w:val="00566465"/>
    <w:rsid w:val="00566C52"/>
    <w:rsid w:val="005675CB"/>
    <w:rsid w:val="00570A51"/>
    <w:rsid w:val="00570B9E"/>
    <w:rsid w:val="0057181C"/>
    <w:rsid w:val="005723A0"/>
    <w:rsid w:val="00572F88"/>
    <w:rsid w:val="00574093"/>
    <w:rsid w:val="005742AC"/>
    <w:rsid w:val="005743CB"/>
    <w:rsid w:val="0057441D"/>
    <w:rsid w:val="00574939"/>
    <w:rsid w:val="00574E70"/>
    <w:rsid w:val="00575350"/>
    <w:rsid w:val="0057594B"/>
    <w:rsid w:val="005766A4"/>
    <w:rsid w:val="00576FBC"/>
    <w:rsid w:val="00577B27"/>
    <w:rsid w:val="00577BDF"/>
    <w:rsid w:val="00577E4C"/>
    <w:rsid w:val="005802AE"/>
    <w:rsid w:val="005804C0"/>
    <w:rsid w:val="00580D72"/>
    <w:rsid w:val="00580E72"/>
    <w:rsid w:val="00581511"/>
    <w:rsid w:val="0058165D"/>
    <w:rsid w:val="00581A5D"/>
    <w:rsid w:val="005822E4"/>
    <w:rsid w:val="0058243D"/>
    <w:rsid w:val="0058288B"/>
    <w:rsid w:val="005834F3"/>
    <w:rsid w:val="005840B7"/>
    <w:rsid w:val="00584199"/>
    <w:rsid w:val="0058480B"/>
    <w:rsid w:val="00585055"/>
    <w:rsid w:val="005851C9"/>
    <w:rsid w:val="00585313"/>
    <w:rsid w:val="00585B34"/>
    <w:rsid w:val="00585CEC"/>
    <w:rsid w:val="00586711"/>
    <w:rsid w:val="00586724"/>
    <w:rsid w:val="005872AC"/>
    <w:rsid w:val="0059035C"/>
    <w:rsid w:val="00591602"/>
    <w:rsid w:val="00591912"/>
    <w:rsid w:val="00592CD0"/>
    <w:rsid w:val="00593083"/>
    <w:rsid w:val="005941B5"/>
    <w:rsid w:val="0059421E"/>
    <w:rsid w:val="005943E8"/>
    <w:rsid w:val="005946D0"/>
    <w:rsid w:val="005948A8"/>
    <w:rsid w:val="005948FE"/>
    <w:rsid w:val="00594E1C"/>
    <w:rsid w:val="005956B3"/>
    <w:rsid w:val="005958C6"/>
    <w:rsid w:val="00595A6F"/>
    <w:rsid w:val="00595AAC"/>
    <w:rsid w:val="00595DFD"/>
    <w:rsid w:val="005969AA"/>
    <w:rsid w:val="00596B1B"/>
    <w:rsid w:val="00597679"/>
    <w:rsid w:val="00597B65"/>
    <w:rsid w:val="00597EBE"/>
    <w:rsid w:val="005A0834"/>
    <w:rsid w:val="005A0B15"/>
    <w:rsid w:val="005A0E9E"/>
    <w:rsid w:val="005A0F7E"/>
    <w:rsid w:val="005A1003"/>
    <w:rsid w:val="005A10D5"/>
    <w:rsid w:val="005A15D6"/>
    <w:rsid w:val="005A1629"/>
    <w:rsid w:val="005A2097"/>
    <w:rsid w:val="005A33E8"/>
    <w:rsid w:val="005A362E"/>
    <w:rsid w:val="005A5372"/>
    <w:rsid w:val="005A5ABB"/>
    <w:rsid w:val="005A5EAA"/>
    <w:rsid w:val="005A6044"/>
    <w:rsid w:val="005A6D05"/>
    <w:rsid w:val="005A7BF2"/>
    <w:rsid w:val="005B0124"/>
    <w:rsid w:val="005B0583"/>
    <w:rsid w:val="005B0815"/>
    <w:rsid w:val="005B1564"/>
    <w:rsid w:val="005B197E"/>
    <w:rsid w:val="005B2236"/>
    <w:rsid w:val="005B2CA0"/>
    <w:rsid w:val="005B3B27"/>
    <w:rsid w:val="005B45B6"/>
    <w:rsid w:val="005B4B3E"/>
    <w:rsid w:val="005B5488"/>
    <w:rsid w:val="005B584E"/>
    <w:rsid w:val="005B5A09"/>
    <w:rsid w:val="005B5A2D"/>
    <w:rsid w:val="005B603E"/>
    <w:rsid w:val="005B68FA"/>
    <w:rsid w:val="005B6F8E"/>
    <w:rsid w:val="005B7C71"/>
    <w:rsid w:val="005C01C4"/>
    <w:rsid w:val="005C03CC"/>
    <w:rsid w:val="005C044F"/>
    <w:rsid w:val="005C1584"/>
    <w:rsid w:val="005C17E1"/>
    <w:rsid w:val="005C2A57"/>
    <w:rsid w:val="005C344D"/>
    <w:rsid w:val="005C3487"/>
    <w:rsid w:val="005C4783"/>
    <w:rsid w:val="005C4C24"/>
    <w:rsid w:val="005C5AE4"/>
    <w:rsid w:val="005C5CB6"/>
    <w:rsid w:val="005C5E4E"/>
    <w:rsid w:val="005C628F"/>
    <w:rsid w:val="005C64C6"/>
    <w:rsid w:val="005C6614"/>
    <w:rsid w:val="005C6FF0"/>
    <w:rsid w:val="005C70CE"/>
    <w:rsid w:val="005C71A3"/>
    <w:rsid w:val="005D051C"/>
    <w:rsid w:val="005D05C1"/>
    <w:rsid w:val="005D0798"/>
    <w:rsid w:val="005D0D1F"/>
    <w:rsid w:val="005D0DF5"/>
    <w:rsid w:val="005D0FC0"/>
    <w:rsid w:val="005D1023"/>
    <w:rsid w:val="005D2673"/>
    <w:rsid w:val="005D2C15"/>
    <w:rsid w:val="005D2D1F"/>
    <w:rsid w:val="005D2FE2"/>
    <w:rsid w:val="005D43BE"/>
    <w:rsid w:val="005D490D"/>
    <w:rsid w:val="005D4A45"/>
    <w:rsid w:val="005D5675"/>
    <w:rsid w:val="005D600E"/>
    <w:rsid w:val="005D61C6"/>
    <w:rsid w:val="005D62DD"/>
    <w:rsid w:val="005D6472"/>
    <w:rsid w:val="005D742A"/>
    <w:rsid w:val="005E0556"/>
    <w:rsid w:val="005E0BCB"/>
    <w:rsid w:val="005E0D1D"/>
    <w:rsid w:val="005E0DEC"/>
    <w:rsid w:val="005E3115"/>
    <w:rsid w:val="005E33C4"/>
    <w:rsid w:val="005E595F"/>
    <w:rsid w:val="005E6109"/>
    <w:rsid w:val="005E61D8"/>
    <w:rsid w:val="005E69C0"/>
    <w:rsid w:val="005E6C87"/>
    <w:rsid w:val="005E7A51"/>
    <w:rsid w:val="005E7BDE"/>
    <w:rsid w:val="005F03E3"/>
    <w:rsid w:val="005F0660"/>
    <w:rsid w:val="005F0ED2"/>
    <w:rsid w:val="005F1138"/>
    <w:rsid w:val="005F20AB"/>
    <w:rsid w:val="005F41EA"/>
    <w:rsid w:val="005F43E8"/>
    <w:rsid w:val="005F5481"/>
    <w:rsid w:val="005F5BA6"/>
    <w:rsid w:val="005F5E58"/>
    <w:rsid w:val="005F6932"/>
    <w:rsid w:val="005F741D"/>
    <w:rsid w:val="005F77F9"/>
    <w:rsid w:val="00600550"/>
    <w:rsid w:val="006009E0"/>
    <w:rsid w:val="00600BC9"/>
    <w:rsid w:val="00600E96"/>
    <w:rsid w:val="0060198D"/>
    <w:rsid w:val="00601E78"/>
    <w:rsid w:val="006029C8"/>
    <w:rsid w:val="00603EFA"/>
    <w:rsid w:val="006052C4"/>
    <w:rsid w:val="006058FB"/>
    <w:rsid w:val="006062BF"/>
    <w:rsid w:val="006062D4"/>
    <w:rsid w:val="00606F4F"/>
    <w:rsid w:val="0060700D"/>
    <w:rsid w:val="00607749"/>
    <w:rsid w:val="00607D21"/>
    <w:rsid w:val="00610266"/>
    <w:rsid w:val="006110FA"/>
    <w:rsid w:val="00611397"/>
    <w:rsid w:val="00613195"/>
    <w:rsid w:val="0061338A"/>
    <w:rsid w:val="006133FC"/>
    <w:rsid w:val="00613A45"/>
    <w:rsid w:val="006140A8"/>
    <w:rsid w:val="0061448A"/>
    <w:rsid w:val="006148E1"/>
    <w:rsid w:val="006156D5"/>
    <w:rsid w:val="0061574C"/>
    <w:rsid w:val="00615971"/>
    <w:rsid w:val="006160DC"/>
    <w:rsid w:val="00616B6B"/>
    <w:rsid w:val="00616B6E"/>
    <w:rsid w:val="006178C9"/>
    <w:rsid w:val="00617966"/>
    <w:rsid w:val="00617DD1"/>
    <w:rsid w:val="00617DE8"/>
    <w:rsid w:val="006207B6"/>
    <w:rsid w:val="006209E6"/>
    <w:rsid w:val="0062157D"/>
    <w:rsid w:val="00622EC2"/>
    <w:rsid w:val="00623943"/>
    <w:rsid w:val="00624A1A"/>
    <w:rsid w:val="00625352"/>
    <w:rsid w:val="00626065"/>
    <w:rsid w:val="00626A16"/>
    <w:rsid w:val="00626FA8"/>
    <w:rsid w:val="006272E4"/>
    <w:rsid w:val="006273BD"/>
    <w:rsid w:val="006302E4"/>
    <w:rsid w:val="00630556"/>
    <w:rsid w:val="0063089C"/>
    <w:rsid w:val="0063162A"/>
    <w:rsid w:val="00631B9C"/>
    <w:rsid w:val="00631CA2"/>
    <w:rsid w:val="00632D5A"/>
    <w:rsid w:val="00632EE5"/>
    <w:rsid w:val="00632F31"/>
    <w:rsid w:val="006335CD"/>
    <w:rsid w:val="00633AF6"/>
    <w:rsid w:val="00633DC4"/>
    <w:rsid w:val="00633E75"/>
    <w:rsid w:val="006340BC"/>
    <w:rsid w:val="0063414C"/>
    <w:rsid w:val="00634F43"/>
    <w:rsid w:val="0063531D"/>
    <w:rsid w:val="00635514"/>
    <w:rsid w:val="00635B9A"/>
    <w:rsid w:val="00635BD3"/>
    <w:rsid w:val="006363C8"/>
    <w:rsid w:val="00636D26"/>
    <w:rsid w:val="00637BF1"/>
    <w:rsid w:val="00640968"/>
    <w:rsid w:val="006413D2"/>
    <w:rsid w:val="00641675"/>
    <w:rsid w:val="006424F0"/>
    <w:rsid w:val="006439FF"/>
    <w:rsid w:val="00643C2C"/>
    <w:rsid w:val="006443D2"/>
    <w:rsid w:val="006448EE"/>
    <w:rsid w:val="0064529C"/>
    <w:rsid w:val="00645804"/>
    <w:rsid w:val="00646429"/>
    <w:rsid w:val="00646A39"/>
    <w:rsid w:val="00646F63"/>
    <w:rsid w:val="00647BED"/>
    <w:rsid w:val="00647C4A"/>
    <w:rsid w:val="00647D2E"/>
    <w:rsid w:val="00647F79"/>
    <w:rsid w:val="0065025C"/>
    <w:rsid w:val="0065063B"/>
    <w:rsid w:val="006507B4"/>
    <w:rsid w:val="00650F8F"/>
    <w:rsid w:val="0065261D"/>
    <w:rsid w:val="006528F7"/>
    <w:rsid w:val="0065342B"/>
    <w:rsid w:val="0065351A"/>
    <w:rsid w:val="006535AB"/>
    <w:rsid w:val="006535BD"/>
    <w:rsid w:val="00653F41"/>
    <w:rsid w:val="0065438B"/>
    <w:rsid w:val="00654595"/>
    <w:rsid w:val="00654700"/>
    <w:rsid w:val="00654753"/>
    <w:rsid w:val="00654A09"/>
    <w:rsid w:val="00654FEB"/>
    <w:rsid w:val="00655085"/>
    <w:rsid w:val="00655C9C"/>
    <w:rsid w:val="00656AC1"/>
    <w:rsid w:val="00656D94"/>
    <w:rsid w:val="006578F4"/>
    <w:rsid w:val="00657D2C"/>
    <w:rsid w:val="00660EB4"/>
    <w:rsid w:val="00661454"/>
    <w:rsid w:val="006616BF"/>
    <w:rsid w:val="00661E5D"/>
    <w:rsid w:val="00662C0A"/>
    <w:rsid w:val="00663BB3"/>
    <w:rsid w:val="00664253"/>
    <w:rsid w:val="00665001"/>
    <w:rsid w:val="0066552E"/>
    <w:rsid w:val="00665EAF"/>
    <w:rsid w:val="006662BE"/>
    <w:rsid w:val="00666F35"/>
    <w:rsid w:val="006675C4"/>
    <w:rsid w:val="00667BBA"/>
    <w:rsid w:val="006701C8"/>
    <w:rsid w:val="00671C08"/>
    <w:rsid w:val="0067200C"/>
    <w:rsid w:val="00672196"/>
    <w:rsid w:val="00672385"/>
    <w:rsid w:val="00672ECF"/>
    <w:rsid w:val="00673454"/>
    <w:rsid w:val="00673D2D"/>
    <w:rsid w:val="006748A4"/>
    <w:rsid w:val="00674E9E"/>
    <w:rsid w:val="00675A48"/>
    <w:rsid w:val="006766BB"/>
    <w:rsid w:val="00677012"/>
    <w:rsid w:val="00677440"/>
    <w:rsid w:val="0067759B"/>
    <w:rsid w:val="006802EE"/>
    <w:rsid w:val="00680835"/>
    <w:rsid w:val="0068108E"/>
    <w:rsid w:val="006810A8"/>
    <w:rsid w:val="0068123C"/>
    <w:rsid w:val="0068133D"/>
    <w:rsid w:val="0068151A"/>
    <w:rsid w:val="006818E8"/>
    <w:rsid w:val="00681A74"/>
    <w:rsid w:val="00681DAA"/>
    <w:rsid w:val="00681F92"/>
    <w:rsid w:val="006831FB"/>
    <w:rsid w:val="00683535"/>
    <w:rsid w:val="00683541"/>
    <w:rsid w:val="00683C6B"/>
    <w:rsid w:val="00683F46"/>
    <w:rsid w:val="00684E2C"/>
    <w:rsid w:val="006863D6"/>
    <w:rsid w:val="0068703C"/>
    <w:rsid w:val="00687078"/>
    <w:rsid w:val="00687E16"/>
    <w:rsid w:val="006902EE"/>
    <w:rsid w:val="006903B7"/>
    <w:rsid w:val="0069087F"/>
    <w:rsid w:val="006910C9"/>
    <w:rsid w:val="006917B6"/>
    <w:rsid w:val="00691CF6"/>
    <w:rsid w:val="0069256D"/>
    <w:rsid w:val="00692A4E"/>
    <w:rsid w:val="00692EB7"/>
    <w:rsid w:val="00693085"/>
    <w:rsid w:val="0069339D"/>
    <w:rsid w:val="006940A9"/>
    <w:rsid w:val="006942AF"/>
    <w:rsid w:val="006942CC"/>
    <w:rsid w:val="006947B3"/>
    <w:rsid w:val="00694A48"/>
    <w:rsid w:val="00695AB2"/>
    <w:rsid w:val="00696060"/>
    <w:rsid w:val="00696739"/>
    <w:rsid w:val="006A039C"/>
    <w:rsid w:val="006A0DBA"/>
    <w:rsid w:val="006A1A3B"/>
    <w:rsid w:val="006A3B1F"/>
    <w:rsid w:val="006A3DBF"/>
    <w:rsid w:val="006A4775"/>
    <w:rsid w:val="006A4FE2"/>
    <w:rsid w:val="006A5033"/>
    <w:rsid w:val="006A562F"/>
    <w:rsid w:val="006A5769"/>
    <w:rsid w:val="006A60AA"/>
    <w:rsid w:val="006A6E98"/>
    <w:rsid w:val="006A7858"/>
    <w:rsid w:val="006B01E9"/>
    <w:rsid w:val="006B027E"/>
    <w:rsid w:val="006B0F78"/>
    <w:rsid w:val="006B0FBA"/>
    <w:rsid w:val="006B177D"/>
    <w:rsid w:val="006B1820"/>
    <w:rsid w:val="006B19F1"/>
    <w:rsid w:val="006B1AA3"/>
    <w:rsid w:val="006B1B93"/>
    <w:rsid w:val="006B230C"/>
    <w:rsid w:val="006B24FD"/>
    <w:rsid w:val="006B260D"/>
    <w:rsid w:val="006B2887"/>
    <w:rsid w:val="006B3481"/>
    <w:rsid w:val="006B371E"/>
    <w:rsid w:val="006B45B9"/>
    <w:rsid w:val="006B461E"/>
    <w:rsid w:val="006B4B65"/>
    <w:rsid w:val="006B4DDE"/>
    <w:rsid w:val="006B5132"/>
    <w:rsid w:val="006B5396"/>
    <w:rsid w:val="006B6A3D"/>
    <w:rsid w:val="006B72C9"/>
    <w:rsid w:val="006B746F"/>
    <w:rsid w:val="006C01B1"/>
    <w:rsid w:val="006C0B05"/>
    <w:rsid w:val="006C337A"/>
    <w:rsid w:val="006C3428"/>
    <w:rsid w:val="006C48CA"/>
    <w:rsid w:val="006C60CE"/>
    <w:rsid w:val="006C728F"/>
    <w:rsid w:val="006D0337"/>
    <w:rsid w:val="006D155B"/>
    <w:rsid w:val="006D16B8"/>
    <w:rsid w:val="006D2F9C"/>
    <w:rsid w:val="006D3CEF"/>
    <w:rsid w:val="006D407D"/>
    <w:rsid w:val="006D42BD"/>
    <w:rsid w:val="006D4BD3"/>
    <w:rsid w:val="006D4E48"/>
    <w:rsid w:val="006D50BB"/>
    <w:rsid w:val="006D513D"/>
    <w:rsid w:val="006D5352"/>
    <w:rsid w:val="006D5907"/>
    <w:rsid w:val="006D612D"/>
    <w:rsid w:val="006D6221"/>
    <w:rsid w:val="006D730A"/>
    <w:rsid w:val="006D7346"/>
    <w:rsid w:val="006D7574"/>
    <w:rsid w:val="006D7745"/>
    <w:rsid w:val="006D7C44"/>
    <w:rsid w:val="006E0788"/>
    <w:rsid w:val="006E1848"/>
    <w:rsid w:val="006E1A50"/>
    <w:rsid w:val="006E21B8"/>
    <w:rsid w:val="006E373F"/>
    <w:rsid w:val="006E3858"/>
    <w:rsid w:val="006E4269"/>
    <w:rsid w:val="006E4B6C"/>
    <w:rsid w:val="006E4CC6"/>
    <w:rsid w:val="006E4FC1"/>
    <w:rsid w:val="006E5747"/>
    <w:rsid w:val="006E5973"/>
    <w:rsid w:val="006E7A59"/>
    <w:rsid w:val="006E7E9E"/>
    <w:rsid w:val="006F0035"/>
    <w:rsid w:val="006F1464"/>
    <w:rsid w:val="006F165D"/>
    <w:rsid w:val="006F25BB"/>
    <w:rsid w:val="006F2692"/>
    <w:rsid w:val="006F2B6E"/>
    <w:rsid w:val="006F39EE"/>
    <w:rsid w:val="006F4066"/>
    <w:rsid w:val="006F4542"/>
    <w:rsid w:val="006F45E8"/>
    <w:rsid w:val="006F5337"/>
    <w:rsid w:val="006F62C0"/>
    <w:rsid w:val="006F6B20"/>
    <w:rsid w:val="006F71FC"/>
    <w:rsid w:val="006F73BE"/>
    <w:rsid w:val="006F73C9"/>
    <w:rsid w:val="006F75CA"/>
    <w:rsid w:val="006F7E48"/>
    <w:rsid w:val="006F7F4C"/>
    <w:rsid w:val="007005C0"/>
    <w:rsid w:val="007011AB"/>
    <w:rsid w:val="0070132A"/>
    <w:rsid w:val="0070167C"/>
    <w:rsid w:val="007019F7"/>
    <w:rsid w:val="00702868"/>
    <w:rsid w:val="007029F5"/>
    <w:rsid w:val="00702EAC"/>
    <w:rsid w:val="007032D4"/>
    <w:rsid w:val="00703397"/>
    <w:rsid w:val="0070371B"/>
    <w:rsid w:val="00704CC1"/>
    <w:rsid w:val="00705099"/>
    <w:rsid w:val="007064AC"/>
    <w:rsid w:val="00706B05"/>
    <w:rsid w:val="00706D77"/>
    <w:rsid w:val="00707AB3"/>
    <w:rsid w:val="00707EAE"/>
    <w:rsid w:val="00707EFD"/>
    <w:rsid w:val="00710CCD"/>
    <w:rsid w:val="00711994"/>
    <w:rsid w:val="007123CA"/>
    <w:rsid w:val="007127C6"/>
    <w:rsid w:val="00712CA2"/>
    <w:rsid w:val="00712E70"/>
    <w:rsid w:val="00714084"/>
    <w:rsid w:val="00715197"/>
    <w:rsid w:val="00715A3F"/>
    <w:rsid w:val="00716640"/>
    <w:rsid w:val="00716BA5"/>
    <w:rsid w:val="007211AE"/>
    <w:rsid w:val="00721A6E"/>
    <w:rsid w:val="00721F06"/>
    <w:rsid w:val="00723D3C"/>
    <w:rsid w:val="0072431C"/>
    <w:rsid w:val="0072464A"/>
    <w:rsid w:val="00724A47"/>
    <w:rsid w:val="0072516E"/>
    <w:rsid w:val="007254B7"/>
    <w:rsid w:val="00726FBA"/>
    <w:rsid w:val="007302FE"/>
    <w:rsid w:val="00730395"/>
    <w:rsid w:val="0073048E"/>
    <w:rsid w:val="00730A77"/>
    <w:rsid w:val="00731B23"/>
    <w:rsid w:val="00731C73"/>
    <w:rsid w:val="00731F9B"/>
    <w:rsid w:val="00732553"/>
    <w:rsid w:val="00732792"/>
    <w:rsid w:val="007328F5"/>
    <w:rsid w:val="00732E1D"/>
    <w:rsid w:val="00732EAF"/>
    <w:rsid w:val="007333F2"/>
    <w:rsid w:val="00735AA3"/>
    <w:rsid w:val="0073611C"/>
    <w:rsid w:val="0073651A"/>
    <w:rsid w:val="00737B30"/>
    <w:rsid w:val="00740DA5"/>
    <w:rsid w:val="00740E90"/>
    <w:rsid w:val="007410E4"/>
    <w:rsid w:val="007420F2"/>
    <w:rsid w:val="007426DD"/>
    <w:rsid w:val="00742D78"/>
    <w:rsid w:val="0074334B"/>
    <w:rsid w:val="00743579"/>
    <w:rsid w:val="00743A61"/>
    <w:rsid w:val="00743EF3"/>
    <w:rsid w:val="00744BB4"/>
    <w:rsid w:val="00744D32"/>
    <w:rsid w:val="007452CD"/>
    <w:rsid w:val="0074536C"/>
    <w:rsid w:val="00746315"/>
    <w:rsid w:val="00746F64"/>
    <w:rsid w:val="007478A7"/>
    <w:rsid w:val="00752108"/>
    <w:rsid w:val="00752205"/>
    <w:rsid w:val="007525A0"/>
    <w:rsid w:val="00752760"/>
    <w:rsid w:val="00752B8C"/>
    <w:rsid w:val="00752C48"/>
    <w:rsid w:val="00753DFA"/>
    <w:rsid w:val="00753EDF"/>
    <w:rsid w:val="007544A7"/>
    <w:rsid w:val="00755DB3"/>
    <w:rsid w:val="00755F8F"/>
    <w:rsid w:val="007561B1"/>
    <w:rsid w:val="00757382"/>
    <w:rsid w:val="00757C1F"/>
    <w:rsid w:val="00757E0D"/>
    <w:rsid w:val="00760218"/>
    <w:rsid w:val="0076043C"/>
    <w:rsid w:val="00760AF5"/>
    <w:rsid w:val="007613E7"/>
    <w:rsid w:val="00761EA1"/>
    <w:rsid w:val="00762230"/>
    <w:rsid w:val="00763EE6"/>
    <w:rsid w:val="00764DB9"/>
    <w:rsid w:val="00764E8C"/>
    <w:rsid w:val="007656F9"/>
    <w:rsid w:val="00765926"/>
    <w:rsid w:val="0076709D"/>
    <w:rsid w:val="007708E2"/>
    <w:rsid w:val="00770934"/>
    <w:rsid w:val="00770EC1"/>
    <w:rsid w:val="007713CD"/>
    <w:rsid w:val="00771C2F"/>
    <w:rsid w:val="00771E44"/>
    <w:rsid w:val="00772038"/>
    <w:rsid w:val="007720BC"/>
    <w:rsid w:val="00773C63"/>
    <w:rsid w:val="00773E00"/>
    <w:rsid w:val="0077407C"/>
    <w:rsid w:val="00774B33"/>
    <w:rsid w:val="007752E8"/>
    <w:rsid w:val="00775793"/>
    <w:rsid w:val="00776746"/>
    <w:rsid w:val="00776B59"/>
    <w:rsid w:val="007773A7"/>
    <w:rsid w:val="00777B8C"/>
    <w:rsid w:val="00777B97"/>
    <w:rsid w:val="0078080B"/>
    <w:rsid w:val="0078253A"/>
    <w:rsid w:val="00782A04"/>
    <w:rsid w:val="00782A38"/>
    <w:rsid w:val="00782E19"/>
    <w:rsid w:val="00783301"/>
    <w:rsid w:val="0078481D"/>
    <w:rsid w:val="00784A0E"/>
    <w:rsid w:val="00784A34"/>
    <w:rsid w:val="00785E71"/>
    <w:rsid w:val="00786A9E"/>
    <w:rsid w:val="00786B28"/>
    <w:rsid w:val="007907E9"/>
    <w:rsid w:val="00790C35"/>
    <w:rsid w:val="00791CAB"/>
    <w:rsid w:val="007923D5"/>
    <w:rsid w:val="007926DE"/>
    <w:rsid w:val="00793223"/>
    <w:rsid w:val="0079322A"/>
    <w:rsid w:val="00793235"/>
    <w:rsid w:val="007932F0"/>
    <w:rsid w:val="00794058"/>
    <w:rsid w:val="00794825"/>
    <w:rsid w:val="00794C0C"/>
    <w:rsid w:val="00795A2C"/>
    <w:rsid w:val="0079602E"/>
    <w:rsid w:val="0079625B"/>
    <w:rsid w:val="00796449"/>
    <w:rsid w:val="0079798B"/>
    <w:rsid w:val="00797A2C"/>
    <w:rsid w:val="00797BBA"/>
    <w:rsid w:val="00797E3D"/>
    <w:rsid w:val="007A02BD"/>
    <w:rsid w:val="007A1C61"/>
    <w:rsid w:val="007A208C"/>
    <w:rsid w:val="007A2B98"/>
    <w:rsid w:val="007A313E"/>
    <w:rsid w:val="007A4292"/>
    <w:rsid w:val="007A4773"/>
    <w:rsid w:val="007A4971"/>
    <w:rsid w:val="007A5B77"/>
    <w:rsid w:val="007A7652"/>
    <w:rsid w:val="007B016B"/>
    <w:rsid w:val="007B0B98"/>
    <w:rsid w:val="007B11AA"/>
    <w:rsid w:val="007B1A55"/>
    <w:rsid w:val="007B22F1"/>
    <w:rsid w:val="007B2315"/>
    <w:rsid w:val="007B25FF"/>
    <w:rsid w:val="007B284A"/>
    <w:rsid w:val="007B28C2"/>
    <w:rsid w:val="007B37C3"/>
    <w:rsid w:val="007B3E3F"/>
    <w:rsid w:val="007B4334"/>
    <w:rsid w:val="007B4BB0"/>
    <w:rsid w:val="007B4E3A"/>
    <w:rsid w:val="007B5AD7"/>
    <w:rsid w:val="007B605E"/>
    <w:rsid w:val="007B614A"/>
    <w:rsid w:val="007B63B0"/>
    <w:rsid w:val="007B6C44"/>
    <w:rsid w:val="007B7A0B"/>
    <w:rsid w:val="007C0274"/>
    <w:rsid w:val="007C0496"/>
    <w:rsid w:val="007C101A"/>
    <w:rsid w:val="007C11C8"/>
    <w:rsid w:val="007C1BE3"/>
    <w:rsid w:val="007C22C2"/>
    <w:rsid w:val="007C2A91"/>
    <w:rsid w:val="007C2E76"/>
    <w:rsid w:val="007C3541"/>
    <w:rsid w:val="007C3564"/>
    <w:rsid w:val="007C38FC"/>
    <w:rsid w:val="007C3A18"/>
    <w:rsid w:val="007C4682"/>
    <w:rsid w:val="007C4857"/>
    <w:rsid w:val="007C4F38"/>
    <w:rsid w:val="007C5516"/>
    <w:rsid w:val="007C5782"/>
    <w:rsid w:val="007C5AA5"/>
    <w:rsid w:val="007C69FC"/>
    <w:rsid w:val="007C6BCD"/>
    <w:rsid w:val="007C753F"/>
    <w:rsid w:val="007C7D91"/>
    <w:rsid w:val="007C7E9A"/>
    <w:rsid w:val="007D0614"/>
    <w:rsid w:val="007D0AFD"/>
    <w:rsid w:val="007D10AE"/>
    <w:rsid w:val="007D1163"/>
    <w:rsid w:val="007D1479"/>
    <w:rsid w:val="007D1F9F"/>
    <w:rsid w:val="007D290A"/>
    <w:rsid w:val="007D2AA8"/>
    <w:rsid w:val="007D2EBC"/>
    <w:rsid w:val="007D323C"/>
    <w:rsid w:val="007D3784"/>
    <w:rsid w:val="007D4120"/>
    <w:rsid w:val="007D4279"/>
    <w:rsid w:val="007D4979"/>
    <w:rsid w:val="007D52A3"/>
    <w:rsid w:val="007D575B"/>
    <w:rsid w:val="007D5D15"/>
    <w:rsid w:val="007D6A63"/>
    <w:rsid w:val="007D76DC"/>
    <w:rsid w:val="007E0094"/>
    <w:rsid w:val="007E1D1C"/>
    <w:rsid w:val="007E1FD0"/>
    <w:rsid w:val="007E29A8"/>
    <w:rsid w:val="007E29B0"/>
    <w:rsid w:val="007E3B65"/>
    <w:rsid w:val="007E45C2"/>
    <w:rsid w:val="007E4C84"/>
    <w:rsid w:val="007E6062"/>
    <w:rsid w:val="007E6310"/>
    <w:rsid w:val="007E64E1"/>
    <w:rsid w:val="007E765E"/>
    <w:rsid w:val="007E7A64"/>
    <w:rsid w:val="007F0C39"/>
    <w:rsid w:val="007F0E49"/>
    <w:rsid w:val="007F0F98"/>
    <w:rsid w:val="007F15B2"/>
    <w:rsid w:val="007F1B31"/>
    <w:rsid w:val="007F1E09"/>
    <w:rsid w:val="007F1FA9"/>
    <w:rsid w:val="007F20E2"/>
    <w:rsid w:val="007F2DA2"/>
    <w:rsid w:val="007F3170"/>
    <w:rsid w:val="007F3A35"/>
    <w:rsid w:val="007F3AC8"/>
    <w:rsid w:val="007F3BDE"/>
    <w:rsid w:val="007F4058"/>
    <w:rsid w:val="007F4492"/>
    <w:rsid w:val="007F4A35"/>
    <w:rsid w:val="007F4EE8"/>
    <w:rsid w:val="007F531B"/>
    <w:rsid w:val="007F5951"/>
    <w:rsid w:val="007F654E"/>
    <w:rsid w:val="007F7397"/>
    <w:rsid w:val="007F7F08"/>
    <w:rsid w:val="008001BE"/>
    <w:rsid w:val="008008CE"/>
    <w:rsid w:val="008010DC"/>
    <w:rsid w:val="008010F0"/>
    <w:rsid w:val="008012F2"/>
    <w:rsid w:val="008014EB"/>
    <w:rsid w:val="008015E8"/>
    <w:rsid w:val="00801B12"/>
    <w:rsid w:val="0080227F"/>
    <w:rsid w:val="0080242E"/>
    <w:rsid w:val="008029F6"/>
    <w:rsid w:val="00802C37"/>
    <w:rsid w:val="0080361B"/>
    <w:rsid w:val="00804AE7"/>
    <w:rsid w:val="00805A1C"/>
    <w:rsid w:val="008069C0"/>
    <w:rsid w:val="00807778"/>
    <w:rsid w:val="00807B03"/>
    <w:rsid w:val="00807B87"/>
    <w:rsid w:val="00810021"/>
    <w:rsid w:val="00810A75"/>
    <w:rsid w:val="0081362A"/>
    <w:rsid w:val="00813B4B"/>
    <w:rsid w:val="008142B8"/>
    <w:rsid w:val="0081445F"/>
    <w:rsid w:val="00814B81"/>
    <w:rsid w:val="00814D90"/>
    <w:rsid w:val="008155D7"/>
    <w:rsid w:val="00815BF6"/>
    <w:rsid w:val="00815DC3"/>
    <w:rsid w:val="0081601E"/>
    <w:rsid w:val="00816EF4"/>
    <w:rsid w:val="008172D9"/>
    <w:rsid w:val="00817476"/>
    <w:rsid w:val="00817F1E"/>
    <w:rsid w:val="00817FA4"/>
    <w:rsid w:val="0082000E"/>
    <w:rsid w:val="0082006B"/>
    <w:rsid w:val="00820D91"/>
    <w:rsid w:val="00821289"/>
    <w:rsid w:val="0082210E"/>
    <w:rsid w:val="00822B27"/>
    <w:rsid w:val="00822CFE"/>
    <w:rsid w:val="00822F03"/>
    <w:rsid w:val="00823FC7"/>
    <w:rsid w:val="0082472E"/>
    <w:rsid w:val="00826773"/>
    <w:rsid w:val="00826804"/>
    <w:rsid w:val="00826B66"/>
    <w:rsid w:val="00826D2C"/>
    <w:rsid w:val="00827643"/>
    <w:rsid w:val="008277F0"/>
    <w:rsid w:val="008312A1"/>
    <w:rsid w:val="00831914"/>
    <w:rsid w:val="00831B0E"/>
    <w:rsid w:val="00832235"/>
    <w:rsid w:val="00832435"/>
    <w:rsid w:val="00834E53"/>
    <w:rsid w:val="00834FBA"/>
    <w:rsid w:val="0083585A"/>
    <w:rsid w:val="00835AA5"/>
    <w:rsid w:val="0083658D"/>
    <w:rsid w:val="008373D7"/>
    <w:rsid w:val="00837911"/>
    <w:rsid w:val="0083794A"/>
    <w:rsid w:val="008404CE"/>
    <w:rsid w:val="00840CA4"/>
    <w:rsid w:val="0084113B"/>
    <w:rsid w:val="00841B83"/>
    <w:rsid w:val="00842E39"/>
    <w:rsid w:val="008430FB"/>
    <w:rsid w:val="00843280"/>
    <w:rsid w:val="00844236"/>
    <w:rsid w:val="008443EA"/>
    <w:rsid w:val="00844664"/>
    <w:rsid w:val="00844B0C"/>
    <w:rsid w:val="008454E7"/>
    <w:rsid w:val="00846482"/>
    <w:rsid w:val="0084681C"/>
    <w:rsid w:val="00846872"/>
    <w:rsid w:val="008471ED"/>
    <w:rsid w:val="00847821"/>
    <w:rsid w:val="00847C50"/>
    <w:rsid w:val="00847F8E"/>
    <w:rsid w:val="008511CE"/>
    <w:rsid w:val="00851CAA"/>
    <w:rsid w:val="00851F90"/>
    <w:rsid w:val="00852C51"/>
    <w:rsid w:val="00852DB6"/>
    <w:rsid w:val="008534C8"/>
    <w:rsid w:val="00853A66"/>
    <w:rsid w:val="008547B6"/>
    <w:rsid w:val="00854FD9"/>
    <w:rsid w:val="00855719"/>
    <w:rsid w:val="00855AAA"/>
    <w:rsid w:val="00856342"/>
    <w:rsid w:val="00856B62"/>
    <w:rsid w:val="008570A1"/>
    <w:rsid w:val="00857589"/>
    <w:rsid w:val="00860AB4"/>
    <w:rsid w:val="0086117F"/>
    <w:rsid w:val="00862150"/>
    <w:rsid w:val="0086231B"/>
    <w:rsid w:val="0086283B"/>
    <w:rsid w:val="00863014"/>
    <w:rsid w:val="008633BC"/>
    <w:rsid w:val="008637B0"/>
    <w:rsid w:val="00864161"/>
    <w:rsid w:val="0086531E"/>
    <w:rsid w:val="00865DF4"/>
    <w:rsid w:val="00865E25"/>
    <w:rsid w:val="00865E39"/>
    <w:rsid w:val="00865FCB"/>
    <w:rsid w:val="008661B9"/>
    <w:rsid w:val="008666B4"/>
    <w:rsid w:val="00866CFB"/>
    <w:rsid w:val="008676DB"/>
    <w:rsid w:val="00867A13"/>
    <w:rsid w:val="00867AA2"/>
    <w:rsid w:val="00867E0A"/>
    <w:rsid w:val="00870197"/>
    <w:rsid w:val="0087019B"/>
    <w:rsid w:val="00870B44"/>
    <w:rsid w:val="00870B9E"/>
    <w:rsid w:val="0087143F"/>
    <w:rsid w:val="00871C17"/>
    <w:rsid w:val="00872B5F"/>
    <w:rsid w:val="0087311A"/>
    <w:rsid w:val="008735D7"/>
    <w:rsid w:val="00873A0B"/>
    <w:rsid w:val="00873C92"/>
    <w:rsid w:val="0087683E"/>
    <w:rsid w:val="00876A7E"/>
    <w:rsid w:val="0087700F"/>
    <w:rsid w:val="0087702C"/>
    <w:rsid w:val="0087778C"/>
    <w:rsid w:val="00880FB6"/>
    <w:rsid w:val="008824F1"/>
    <w:rsid w:val="008844E1"/>
    <w:rsid w:val="008846ED"/>
    <w:rsid w:val="00884EE3"/>
    <w:rsid w:val="00885364"/>
    <w:rsid w:val="008860FC"/>
    <w:rsid w:val="008864FE"/>
    <w:rsid w:val="0088693E"/>
    <w:rsid w:val="0088709B"/>
    <w:rsid w:val="00887107"/>
    <w:rsid w:val="0088746D"/>
    <w:rsid w:val="0088749D"/>
    <w:rsid w:val="0088753A"/>
    <w:rsid w:val="00887577"/>
    <w:rsid w:val="008878E6"/>
    <w:rsid w:val="00887CAE"/>
    <w:rsid w:val="00887E76"/>
    <w:rsid w:val="0089032E"/>
    <w:rsid w:val="00890509"/>
    <w:rsid w:val="00890763"/>
    <w:rsid w:val="00890960"/>
    <w:rsid w:val="00890E7A"/>
    <w:rsid w:val="00891C96"/>
    <w:rsid w:val="00892763"/>
    <w:rsid w:val="008929FE"/>
    <w:rsid w:val="008934B4"/>
    <w:rsid w:val="0089352A"/>
    <w:rsid w:val="00893D62"/>
    <w:rsid w:val="00894591"/>
    <w:rsid w:val="00894867"/>
    <w:rsid w:val="00894AF9"/>
    <w:rsid w:val="00895A39"/>
    <w:rsid w:val="00895A8E"/>
    <w:rsid w:val="00897136"/>
    <w:rsid w:val="00897851"/>
    <w:rsid w:val="00897930"/>
    <w:rsid w:val="008A09BC"/>
    <w:rsid w:val="008A17BD"/>
    <w:rsid w:val="008A19D0"/>
    <w:rsid w:val="008A27D7"/>
    <w:rsid w:val="008A3172"/>
    <w:rsid w:val="008A409F"/>
    <w:rsid w:val="008A43CC"/>
    <w:rsid w:val="008A48B8"/>
    <w:rsid w:val="008A4E16"/>
    <w:rsid w:val="008A6925"/>
    <w:rsid w:val="008A7158"/>
    <w:rsid w:val="008A7E5C"/>
    <w:rsid w:val="008B014F"/>
    <w:rsid w:val="008B1145"/>
    <w:rsid w:val="008B14E2"/>
    <w:rsid w:val="008B18B5"/>
    <w:rsid w:val="008B2486"/>
    <w:rsid w:val="008B248A"/>
    <w:rsid w:val="008B2BA3"/>
    <w:rsid w:val="008B2E70"/>
    <w:rsid w:val="008B3B69"/>
    <w:rsid w:val="008B4BC0"/>
    <w:rsid w:val="008B5551"/>
    <w:rsid w:val="008B5A0E"/>
    <w:rsid w:val="008B5D03"/>
    <w:rsid w:val="008B6B50"/>
    <w:rsid w:val="008B6F98"/>
    <w:rsid w:val="008B7146"/>
    <w:rsid w:val="008B789C"/>
    <w:rsid w:val="008B7B9D"/>
    <w:rsid w:val="008B7D4F"/>
    <w:rsid w:val="008C11F7"/>
    <w:rsid w:val="008C1437"/>
    <w:rsid w:val="008C2181"/>
    <w:rsid w:val="008C23CB"/>
    <w:rsid w:val="008C2678"/>
    <w:rsid w:val="008C4040"/>
    <w:rsid w:val="008C409D"/>
    <w:rsid w:val="008C488E"/>
    <w:rsid w:val="008C67EC"/>
    <w:rsid w:val="008C6CA2"/>
    <w:rsid w:val="008C6E12"/>
    <w:rsid w:val="008D02C8"/>
    <w:rsid w:val="008D0CF0"/>
    <w:rsid w:val="008D176D"/>
    <w:rsid w:val="008D1D79"/>
    <w:rsid w:val="008D27A5"/>
    <w:rsid w:val="008D3B5E"/>
    <w:rsid w:val="008D3EA2"/>
    <w:rsid w:val="008D4312"/>
    <w:rsid w:val="008D480D"/>
    <w:rsid w:val="008D4A39"/>
    <w:rsid w:val="008D4DD5"/>
    <w:rsid w:val="008D4FA9"/>
    <w:rsid w:val="008D5784"/>
    <w:rsid w:val="008D5C1D"/>
    <w:rsid w:val="008D6106"/>
    <w:rsid w:val="008D7069"/>
    <w:rsid w:val="008D7132"/>
    <w:rsid w:val="008D7173"/>
    <w:rsid w:val="008D7447"/>
    <w:rsid w:val="008D7D3E"/>
    <w:rsid w:val="008D7DEA"/>
    <w:rsid w:val="008E014A"/>
    <w:rsid w:val="008E03D1"/>
    <w:rsid w:val="008E0D78"/>
    <w:rsid w:val="008E20D2"/>
    <w:rsid w:val="008E30B5"/>
    <w:rsid w:val="008E353B"/>
    <w:rsid w:val="008E4BF6"/>
    <w:rsid w:val="008E4D24"/>
    <w:rsid w:val="008E56E0"/>
    <w:rsid w:val="008E721F"/>
    <w:rsid w:val="008F023E"/>
    <w:rsid w:val="008F0508"/>
    <w:rsid w:val="008F0813"/>
    <w:rsid w:val="008F0D7B"/>
    <w:rsid w:val="008F0DB2"/>
    <w:rsid w:val="008F2379"/>
    <w:rsid w:val="008F2649"/>
    <w:rsid w:val="008F32C0"/>
    <w:rsid w:val="008F3870"/>
    <w:rsid w:val="008F5EB6"/>
    <w:rsid w:val="008F615E"/>
    <w:rsid w:val="008F677B"/>
    <w:rsid w:val="008F6A04"/>
    <w:rsid w:val="008F7ED6"/>
    <w:rsid w:val="00900235"/>
    <w:rsid w:val="00900B1B"/>
    <w:rsid w:val="00901377"/>
    <w:rsid w:val="00901BF2"/>
    <w:rsid w:val="00903A6D"/>
    <w:rsid w:val="00903B6C"/>
    <w:rsid w:val="00903B86"/>
    <w:rsid w:val="009041C0"/>
    <w:rsid w:val="00904469"/>
    <w:rsid w:val="00904DAD"/>
    <w:rsid w:val="00905E08"/>
    <w:rsid w:val="00905FA8"/>
    <w:rsid w:val="00906D59"/>
    <w:rsid w:val="009071DB"/>
    <w:rsid w:val="00907714"/>
    <w:rsid w:val="0090790E"/>
    <w:rsid w:val="0090794B"/>
    <w:rsid w:val="00907C41"/>
    <w:rsid w:val="00907D07"/>
    <w:rsid w:val="0091104E"/>
    <w:rsid w:val="009113F6"/>
    <w:rsid w:val="0091150B"/>
    <w:rsid w:val="00911A72"/>
    <w:rsid w:val="00911FB9"/>
    <w:rsid w:val="00912370"/>
    <w:rsid w:val="00912774"/>
    <w:rsid w:val="009128FB"/>
    <w:rsid w:val="00913EC1"/>
    <w:rsid w:val="00914225"/>
    <w:rsid w:val="009143F3"/>
    <w:rsid w:val="0091487C"/>
    <w:rsid w:val="00914AA5"/>
    <w:rsid w:val="00914F82"/>
    <w:rsid w:val="0091572B"/>
    <w:rsid w:val="00915BDA"/>
    <w:rsid w:val="00916458"/>
    <w:rsid w:val="00916D69"/>
    <w:rsid w:val="00916E75"/>
    <w:rsid w:val="0091756E"/>
    <w:rsid w:val="00920065"/>
    <w:rsid w:val="00920854"/>
    <w:rsid w:val="00920A46"/>
    <w:rsid w:val="00920C8A"/>
    <w:rsid w:val="009210A4"/>
    <w:rsid w:val="00921443"/>
    <w:rsid w:val="00921FA2"/>
    <w:rsid w:val="00922101"/>
    <w:rsid w:val="00922325"/>
    <w:rsid w:val="00922A7F"/>
    <w:rsid w:val="00922DBC"/>
    <w:rsid w:val="009235B3"/>
    <w:rsid w:val="00923814"/>
    <w:rsid w:val="00923A2F"/>
    <w:rsid w:val="00923D8A"/>
    <w:rsid w:val="009257FC"/>
    <w:rsid w:val="009271C1"/>
    <w:rsid w:val="009277D8"/>
    <w:rsid w:val="00927AE7"/>
    <w:rsid w:val="00927AF2"/>
    <w:rsid w:val="00930126"/>
    <w:rsid w:val="00930705"/>
    <w:rsid w:val="00930E0A"/>
    <w:rsid w:val="00930EBE"/>
    <w:rsid w:val="00930ECB"/>
    <w:rsid w:val="00931195"/>
    <w:rsid w:val="009312D6"/>
    <w:rsid w:val="009316F2"/>
    <w:rsid w:val="00931AB3"/>
    <w:rsid w:val="00931EBD"/>
    <w:rsid w:val="0093215C"/>
    <w:rsid w:val="00932F47"/>
    <w:rsid w:val="009337DC"/>
    <w:rsid w:val="009339F6"/>
    <w:rsid w:val="009355A9"/>
    <w:rsid w:val="009357E0"/>
    <w:rsid w:val="00935930"/>
    <w:rsid w:val="0093634D"/>
    <w:rsid w:val="009366CD"/>
    <w:rsid w:val="009372D0"/>
    <w:rsid w:val="009378C7"/>
    <w:rsid w:val="0094047D"/>
    <w:rsid w:val="00940926"/>
    <w:rsid w:val="00940B41"/>
    <w:rsid w:val="00941329"/>
    <w:rsid w:val="00941869"/>
    <w:rsid w:val="00941931"/>
    <w:rsid w:val="009429F7"/>
    <w:rsid w:val="00942CAE"/>
    <w:rsid w:val="009437A6"/>
    <w:rsid w:val="009451CF"/>
    <w:rsid w:val="009452A8"/>
    <w:rsid w:val="00946001"/>
    <w:rsid w:val="00946895"/>
    <w:rsid w:val="00946C28"/>
    <w:rsid w:val="00947C22"/>
    <w:rsid w:val="009509B6"/>
    <w:rsid w:val="00950B11"/>
    <w:rsid w:val="00950BD0"/>
    <w:rsid w:val="0095223E"/>
    <w:rsid w:val="00952705"/>
    <w:rsid w:val="00952E79"/>
    <w:rsid w:val="00952FD0"/>
    <w:rsid w:val="00953A89"/>
    <w:rsid w:val="009554C7"/>
    <w:rsid w:val="00956E7A"/>
    <w:rsid w:val="00957974"/>
    <w:rsid w:val="00957C4E"/>
    <w:rsid w:val="00957DDD"/>
    <w:rsid w:val="0096088A"/>
    <w:rsid w:val="00960FF6"/>
    <w:rsid w:val="009619BC"/>
    <w:rsid w:val="00961F1C"/>
    <w:rsid w:val="009623E8"/>
    <w:rsid w:val="00963334"/>
    <w:rsid w:val="00963E2E"/>
    <w:rsid w:val="00964C74"/>
    <w:rsid w:val="00964E20"/>
    <w:rsid w:val="00964E25"/>
    <w:rsid w:val="009653F1"/>
    <w:rsid w:val="00965AEE"/>
    <w:rsid w:val="009666D5"/>
    <w:rsid w:val="009720D7"/>
    <w:rsid w:val="00972245"/>
    <w:rsid w:val="009726E8"/>
    <w:rsid w:val="009734D5"/>
    <w:rsid w:val="00974BD7"/>
    <w:rsid w:val="00974C4A"/>
    <w:rsid w:val="009751BC"/>
    <w:rsid w:val="00975E21"/>
    <w:rsid w:val="00976A4F"/>
    <w:rsid w:val="0097753C"/>
    <w:rsid w:val="00977649"/>
    <w:rsid w:val="00977E76"/>
    <w:rsid w:val="00980459"/>
    <w:rsid w:val="00980795"/>
    <w:rsid w:val="00980A7D"/>
    <w:rsid w:val="00980ED7"/>
    <w:rsid w:val="00981C19"/>
    <w:rsid w:val="00982127"/>
    <w:rsid w:val="00982188"/>
    <w:rsid w:val="0098237E"/>
    <w:rsid w:val="00983314"/>
    <w:rsid w:val="009836B0"/>
    <w:rsid w:val="00983B09"/>
    <w:rsid w:val="00983E7B"/>
    <w:rsid w:val="009842B0"/>
    <w:rsid w:val="0098451C"/>
    <w:rsid w:val="00984EE3"/>
    <w:rsid w:val="009850A7"/>
    <w:rsid w:val="009850F8"/>
    <w:rsid w:val="0098512E"/>
    <w:rsid w:val="00985754"/>
    <w:rsid w:val="009858D3"/>
    <w:rsid w:val="00985A59"/>
    <w:rsid w:val="00985CDB"/>
    <w:rsid w:val="00985F27"/>
    <w:rsid w:val="0098652D"/>
    <w:rsid w:val="009865E2"/>
    <w:rsid w:val="009867CF"/>
    <w:rsid w:val="00986A9B"/>
    <w:rsid w:val="009874E1"/>
    <w:rsid w:val="00987931"/>
    <w:rsid w:val="00987985"/>
    <w:rsid w:val="00987BC0"/>
    <w:rsid w:val="00987E3C"/>
    <w:rsid w:val="009925E3"/>
    <w:rsid w:val="00993028"/>
    <w:rsid w:val="009939FA"/>
    <w:rsid w:val="009940B2"/>
    <w:rsid w:val="009941EA"/>
    <w:rsid w:val="00994F0C"/>
    <w:rsid w:val="00995DED"/>
    <w:rsid w:val="00996120"/>
    <w:rsid w:val="0099659F"/>
    <w:rsid w:val="00996B5F"/>
    <w:rsid w:val="009974DA"/>
    <w:rsid w:val="00997A29"/>
    <w:rsid w:val="009A0305"/>
    <w:rsid w:val="009A0892"/>
    <w:rsid w:val="009A0A4B"/>
    <w:rsid w:val="009A1023"/>
    <w:rsid w:val="009A18F8"/>
    <w:rsid w:val="009A1EE6"/>
    <w:rsid w:val="009A2021"/>
    <w:rsid w:val="009A2262"/>
    <w:rsid w:val="009A36A8"/>
    <w:rsid w:val="009A38CD"/>
    <w:rsid w:val="009A41C0"/>
    <w:rsid w:val="009A4446"/>
    <w:rsid w:val="009A4AFE"/>
    <w:rsid w:val="009A505D"/>
    <w:rsid w:val="009A5067"/>
    <w:rsid w:val="009A5B59"/>
    <w:rsid w:val="009A5FBA"/>
    <w:rsid w:val="009A6F3F"/>
    <w:rsid w:val="009B081B"/>
    <w:rsid w:val="009B0AE0"/>
    <w:rsid w:val="009B0C53"/>
    <w:rsid w:val="009B10E1"/>
    <w:rsid w:val="009B13F8"/>
    <w:rsid w:val="009B2BE3"/>
    <w:rsid w:val="009B2D5F"/>
    <w:rsid w:val="009B3605"/>
    <w:rsid w:val="009B38D6"/>
    <w:rsid w:val="009B3F8A"/>
    <w:rsid w:val="009B4149"/>
    <w:rsid w:val="009B41EB"/>
    <w:rsid w:val="009B4D62"/>
    <w:rsid w:val="009B5424"/>
    <w:rsid w:val="009B5F09"/>
    <w:rsid w:val="009B609E"/>
    <w:rsid w:val="009B6872"/>
    <w:rsid w:val="009B6A55"/>
    <w:rsid w:val="009B7036"/>
    <w:rsid w:val="009B7251"/>
    <w:rsid w:val="009B7A43"/>
    <w:rsid w:val="009C0217"/>
    <w:rsid w:val="009C163D"/>
    <w:rsid w:val="009C1B09"/>
    <w:rsid w:val="009C1C81"/>
    <w:rsid w:val="009C1E0E"/>
    <w:rsid w:val="009C2053"/>
    <w:rsid w:val="009C2C9D"/>
    <w:rsid w:val="009C2FF1"/>
    <w:rsid w:val="009C3154"/>
    <w:rsid w:val="009C3B5D"/>
    <w:rsid w:val="009C446A"/>
    <w:rsid w:val="009C4F99"/>
    <w:rsid w:val="009C59B4"/>
    <w:rsid w:val="009C5CB3"/>
    <w:rsid w:val="009C5F5E"/>
    <w:rsid w:val="009C6448"/>
    <w:rsid w:val="009C684F"/>
    <w:rsid w:val="009C6959"/>
    <w:rsid w:val="009C6B5F"/>
    <w:rsid w:val="009C7111"/>
    <w:rsid w:val="009C7DDB"/>
    <w:rsid w:val="009C7FFC"/>
    <w:rsid w:val="009D05B9"/>
    <w:rsid w:val="009D06A1"/>
    <w:rsid w:val="009D0B0C"/>
    <w:rsid w:val="009D381E"/>
    <w:rsid w:val="009D3AC0"/>
    <w:rsid w:val="009D3BBD"/>
    <w:rsid w:val="009D3D3F"/>
    <w:rsid w:val="009D4320"/>
    <w:rsid w:val="009D4741"/>
    <w:rsid w:val="009D4BE2"/>
    <w:rsid w:val="009D5557"/>
    <w:rsid w:val="009D60ED"/>
    <w:rsid w:val="009D63A8"/>
    <w:rsid w:val="009D657A"/>
    <w:rsid w:val="009D747B"/>
    <w:rsid w:val="009D7BBF"/>
    <w:rsid w:val="009E0386"/>
    <w:rsid w:val="009E0F25"/>
    <w:rsid w:val="009E1379"/>
    <w:rsid w:val="009E1492"/>
    <w:rsid w:val="009E1534"/>
    <w:rsid w:val="009E18D4"/>
    <w:rsid w:val="009E1958"/>
    <w:rsid w:val="009E230E"/>
    <w:rsid w:val="009E463B"/>
    <w:rsid w:val="009E4AED"/>
    <w:rsid w:val="009E509C"/>
    <w:rsid w:val="009E50A2"/>
    <w:rsid w:val="009E512C"/>
    <w:rsid w:val="009E51E9"/>
    <w:rsid w:val="009E532C"/>
    <w:rsid w:val="009E6529"/>
    <w:rsid w:val="009E6581"/>
    <w:rsid w:val="009E7C2F"/>
    <w:rsid w:val="009F00A2"/>
    <w:rsid w:val="009F1508"/>
    <w:rsid w:val="009F2869"/>
    <w:rsid w:val="009F32CB"/>
    <w:rsid w:val="009F3CF2"/>
    <w:rsid w:val="009F412B"/>
    <w:rsid w:val="009F4289"/>
    <w:rsid w:val="009F52C4"/>
    <w:rsid w:val="009F5BD9"/>
    <w:rsid w:val="009F7EDF"/>
    <w:rsid w:val="00A003F2"/>
    <w:rsid w:val="00A00A05"/>
    <w:rsid w:val="00A012BC"/>
    <w:rsid w:val="00A01A75"/>
    <w:rsid w:val="00A01DD1"/>
    <w:rsid w:val="00A01F15"/>
    <w:rsid w:val="00A02238"/>
    <w:rsid w:val="00A031E1"/>
    <w:rsid w:val="00A03C9A"/>
    <w:rsid w:val="00A03D30"/>
    <w:rsid w:val="00A058AE"/>
    <w:rsid w:val="00A059D6"/>
    <w:rsid w:val="00A06254"/>
    <w:rsid w:val="00A06537"/>
    <w:rsid w:val="00A06AED"/>
    <w:rsid w:val="00A07936"/>
    <w:rsid w:val="00A07CA3"/>
    <w:rsid w:val="00A101BE"/>
    <w:rsid w:val="00A10487"/>
    <w:rsid w:val="00A105BA"/>
    <w:rsid w:val="00A1081B"/>
    <w:rsid w:val="00A10B59"/>
    <w:rsid w:val="00A10F2D"/>
    <w:rsid w:val="00A116B0"/>
    <w:rsid w:val="00A118AD"/>
    <w:rsid w:val="00A119BD"/>
    <w:rsid w:val="00A12120"/>
    <w:rsid w:val="00A12156"/>
    <w:rsid w:val="00A13190"/>
    <w:rsid w:val="00A13A59"/>
    <w:rsid w:val="00A1406D"/>
    <w:rsid w:val="00A15A1B"/>
    <w:rsid w:val="00A168EC"/>
    <w:rsid w:val="00A16D26"/>
    <w:rsid w:val="00A202C2"/>
    <w:rsid w:val="00A20912"/>
    <w:rsid w:val="00A20D5D"/>
    <w:rsid w:val="00A2100D"/>
    <w:rsid w:val="00A210FB"/>
    <w:rsid w:val="00A21320"/>
    <w:rsid w:val="00A2145D"/>
    <w:rsid w:val="00A21496"/>
    <w:rsid w:val="00A22543"/>
    <w:rsid w:val="00A226DE"/>
    <w:rsid w:val="00A22A38"/>
    <w:rsid w:val="00A22AF4"/>
    <w:rsid w:val="00A245C7"/>
    <w:rsid w:val="00A246D3"/>
    <w:rsid w:val="00A24999"/>
    <w:rsid w:val="00A24BB0"/>
    <w:rsid w:val="00A252A5"/>
    <w:rsid w:val="00A253C0"/>
    <w:rsid w:val="00A2598D"/>
    <w:rsid w:val="00A25FA6"/>
    <w:rsid w:val="00A26F7E"/>
    <w:rsid w:val="00A27117"/>
    <w:rsid w:val="00A277F6"/>
    <w:rsid w:val="00A27AE2"/>
    <w:rsid w:val="00A3058D"/>
    <w:rsid w:val="00A30BC4"/>
    <w:rsid w:val="00A315CA"/>
    <w:rsid w:val="00A31785"/>
    <w:rsid w:val="00A3259D"/>
    <w:rsid w:val="00A3337F"/>
    <w:rsid w:val="00A33938"/>
    <w:rsid w:val="00A33D4C"/>
    <w:rsid w:val="00A341D7"/>
    <w:rsid w:val="00A34881"/>
    <w:rsid w:val="00A350F4"/>
    <w:rsid w:val="00A35452"/>
    <w:rsid w:val="00A354C7"/>
    <w:rsid w:val="00A3571F"/>
    <w:rsid w:val="00A35759"/>
    <w:rsid w:val="00A35AC4"/>
    <w:rsid w:val="00A35B68"/>
    <w:rsid w:val="00A35D67"/>
    <w:rsid w:val="00A3620C"/>
    <w:rsid w:val="00A36DB7"/>
    <w:rsid w:val="00A36F85"/>
    <w:rsid w:val="00A37116"/>
    <w:rsid w:val="00A37ED1"/>
    <w:rsid w:val="00A406FA"/>
    <w:rsid w:val="00A40767"/>
    <w:rsid w:val="00A4133D"/>
    <w:rsid w:val="00A4189E"/>
    <w:rsid w:val="00A41BE7"/>
    <w:rsid w:val="00A42CF6"/>
    <w:rsid w:val="00A42FC2"/>
    <w:rsid w:val="00A43323"/>
    <w:rsid w:val="00A43335"/>
    <w:rsid w:val="00A43BBB"/>
    <w:rsid w:val="00A43C78"/>
    <w:rsid w:val="00A44D32"/>
    <w:rsid w:val="00A44FA4"/>
    <w:rsid w:val="00A45C4E"/>
    <w:rsid w:val="00A4668E"/>
    <w:rsid w:val="00A46A8F"/>
    <w:rsid w:val="00A46BF5"/>
    <w:rsid w:val="00A47526"/>
    <w:rsid w:val="00A476AD"/>
    <w:rsid w:val="00A47797"/>
    <w:rsid w:val="00A47C8E"/>
    <w:rsid w:val="00A47D37"/>
    <w:rsid w:val="00A500F0"/>
    <w:rsid w:val="00A50B3D"/>
    <w:rsid w:val="00A51B8A"/>
    <w:rsid w:val="00A5245F"/>
    <w:rsid w:val="00A529E8"/>
    <w:rsid w:val="00A52BE9"/>
    <w:rsid w:val="00A530B7"/>
    <w:rsid w:val="00A53300"/>
    <w:rsid w:val="00A5343A"/>
    <w:rsid w:val="00A5347E"/>
    <w:rsid w:val="00A5368C"/>
    <w:rsid w:val="00A53B29"/>
    <w:rsid w:val="00A54222"/>
    <w:rsid w:val="00A5427F"/>
    <w:rsid w:val="00A546A9"/>
    <w:rsid w:val="00A5487B"/>
    <w:rsid w:val="00A5545D"/>
    <w:rsid w:val="00A557A6"/>
    <w:rsid w:val="00A559E5"/>
    <w:rsid w:val="00A55AC7"/>
    <w:rsid w:val="00A55AF5"/>
    <w:rsid w:val="00A569C6"/>
    <w:rsid w:val="00A56D3B"/>
    <w:rsid w:val="00A56DAF"/>
    <w:rsid w:val="00A56F04"/>
    <w:rsid w:val="00A57235"/>
    <w:rsid w:val="00A57435"/>
    <w:rsid w:val="00A57D52"/>
    <w:rsid w:val="00A57FFB"/>
    <w:rsid w:val="00A61F56"/>
    <w:rsid w:val="00A62124"/>
    <w:rsid w:val="00A622C2"/>
    <w:rsid w:val="00A6291C"/>
    <w:rsid w:val="00A63008"/>
    <w:rsid w:val="00A6355F"/>
    <w:rsid w:val="00A6397D"/>
    <w:rsid w:val="00A63E6B"/>
    <w:rsid w:val="00A63F83"/>
    <w:rsid w:val="00A6461A"/>
    <w:rsid w:val="00A650B0"/>
    <w:rsid w:val="00A653AC"/>
    <w:rsid w:val="00A6561B"/>
    <w:rsid w:val="00A7003A"/>
    <w:rsid w:val="00A700DF"/>
    <w:rsid w:val="00A70720"/>
    <w:rsid w:val="00A7077E"/>
    <w:rsid w:val="00A71A10"/>
    <w:rsid w:val="00A72158"/>
    <w:rsid w:val="00A72215"/>
    <w:rsid w:val="00A723F0"/>
    <w:rsid w:val="00A724BF"/>
    <w:rsid w:val="00A73EAE"/>
    <w:rsid w:val="00A73EE8"/>
    <w:rsid w:val="00A74420"/>
    <w:rsid w:val="00A74E52"/>
    <w:rsid w:val="00A754E8"/>
    <w:rsid w:val="00A75EFA"/>
    <w:rsid w:val="00A76043"/>
    <w:rsid w:val="00A76831"/>
    <w:rsid w:val="00A773DD"/>
    <w:rsid w:val="00A7781D"/>
    <w:rsid w:val="00A77A60"/>
    <w:rsid w:val="00A80109"/>
    <w:rsid w:val="00A80B14"/>
    <w:rsid w:val="00A81A7D"/>
    <w:rsid w:val="00A81F66"/>
    <w:rsid w:val="00A82FCE"/>
    <w:rsid w:val="00A83017"/>
    <w:rsid w:val="00A83C8E"/>
    <w:rsid w:val="00A8541A"/>
    <w:rsid w:val="00A85C45"/>
    <w:rsid w:val="00A86A3E"/>
    <w:rsid w:val="00A86BC5"/>
    <w:rsid w:val="00A8786F"/>
    <w:rsid w:val="00A87946"/>
    <w:rsid w:val="00A87AC6"/>
    <w:rsid w:val="00A9074B"/>
    <w:rsid w:val="00A907F8"/>
    <w:rsid w:val="00A90EE9"/>
    <w:rsid w:val="00A9198E"/>
    <w:rsid w:val="00A91AFD"/>
    <w:rsid w:val="00A91CE1"/>
    <w:rsid w:val="00A9217C"/>
    <w:rsid w:val="00A923CF"/>
    <w:rsid w:val="00A927C4"/>
    <w:rsid w:val="00A944FD"/>
    <w:rsid w:val="00A94CA2"/>
    <w:rsid w:val="00A95059"/>
    <w:rsid w:val="00A9509A"/>
    <w:rsid w:val="00A95DB8"/>
    <w:rsid w:val="00A960B0"/>
    <w:rsid w:val="00A960C0"/>
    <w:rsid w:val="00A96699"/>
    <w:rsid w:val="00A969B9"/>
    <w:rsid w:val="00A97059"/>
    <w:rsid w:val="00AA0055"/>
    <w:rsid w:val="00AA04E9"/>
    <w:rsid w:val="00AA0BA2"/>
    <w:rsid w:val="00AA1B7F"/>
    <w:rsid w:val="00AA1C58"/>
    <w:rsid w:val="00AA31A1"/>
    <w:rsid w:val="00AA42C5"/>
    <w:rsid w:val="00AA5807"/>
    <w:rsid w:val="00AA66B2"/>
    <w:rsid w:val="00AA6A73"/>
    <w:rsid w:val="00AA73CB"/>
    <w:rsid w:val="00AB0603"/>
    <w:rsid w:val="00AB0B67"/>
    <w:rsid w:val="00AB169B"/>
    <w:rsid w:val="00AB2489"/>
    <w:rsid w:val="00AB2BF1"/>
    <w:rsid w:val="00AB4389"/>
    <w:rsid w:val="00AB6049"/>
    <w:rsid w:val="00AB615C"/>
    <w:rsid w:val="00AB690C"/>
    <w:rsid w:val="00AB7540"/>
    <w:rsid w:val="00AB79D5"/>
    <w:rsid w:val="00AB7DB1"/>
    <w:rsid w:val="00AC0909"/>
    <w:rsid w:val="00AC1AC8"/>
    <w:rsid w:val="00AC2B91"/>
    <w:rsid w:val="00AC2DE0"/>
    <w:rsid w:val="00AC3A7F"/>
    <w:rsid w:val="00AC611F"/>
    <w:rsid w:val="00AC6634"/>
    <w:rsid w:val="00AC76A0"/>
    <w:rsid w:val="00AD06FF"/>
    <w:rsid w:val="00AD0D40"/>
    <w:rsid w:val="00AD174D"/>
    <w:rsid w:val="00AD18B9"/>
    <w:rsid w:val="00AD1AE6"/>
    <w:rsid w:val="00AD203F"/>
    <w:rsid w:val="00AD3515"/>
    <w:rsid w:val="00AD397A"/>
    <w:rsid w:val="00AD39CA"/>
    <w:rsid w:val="00AD3F6D"/>
    <w:rsid w:val="00AD3FD0"/>
    <w:rsid w:val="00AD473A"/>
    <w:rsid w:val="00AD57DD"/>
    <w:rsid w:val="00AD5A00"/>
    <w:rsid w:val="00AD70E2"/>
    <w:rsid w:val="00AD74D8"/>
    <w:rsid w:val="00AD78F5"/>
    <w:rsid w:val="00AD7DA6"/>
    <w:rsid w:val="00AE0289"/>
    <w:rsid w:val="00AE09D8"/>
    <w:rsid w:val="00AE0A71"/>
    <w:rsid w:val="00AE1536"/>
    <w:rsid w:val="00AE168C"/>
    <w:rsid w:val="00AE24FA"/>
    <w:rsid w:val="00AE27E6"/>
    <w:rsid w:val="00AE2F86"/>
    <w:rsid w:val="00AE4C27"/>
    <w:rsid w:val="00AE582D"/>
    <w:rsid w:val="00AE6391"/>
    <w:rsid w:val="00AE6430"/>
    <w:rsid w:val="00AE6882"/>
    <w:rsid w:val="00AE7473"/>
    <w:rsid w:val="00AE7B8C"/>
    <w:rsid w:val="00AF083D"/>
    <w:rsid w:val="00AF0859"/>
    <w:rsid w:val="00AF087F"/>
    <w:rsid w:val="00AF0C89"/>
    <w:rsid w:val="00AF0D90"/>
    <w:rsid w:val="00AF0DE7"/>
    <w:rsid w:val="00AF1764"/>
    <w:rsid w:val="00AF1D24"/>
    <w:rsid w:val="00AF1D28"/>
    <w:rsid w:val="00AF2CF3"/>
    <w:rsid w:val="00AF4633"/>
    <w:rsid w:val="00AF5A7F"/>
    <w:rsid w:val="00AF78A1"/>
    <w:rsid w:val="00B00708"/>
    <w:rsid w:val="00B0110F"/>
    <w:rsid w:val="00B011D9"/>
    <w:rsid w:val="00B021E1"/>
    <w:rsid w:val="00B02CC3"/>
    <w:rsid w:val="00B03850"/>
    <w:rsid w:val="00B04A4E"/>
    <w:rsid w:val="00B04A64"/>
    <w:rsid w:val="00B04B34"/>
    <w:rsid w:val="00B04DAF"/>
    <w:rsid w:val="00B058BB"/>
    <w:rsid w:val="00B07902"/>
    <w:rsid w:val="00B07991"/>
    <w:rsid w:val="00B07F92"/>
    <w:rsid w:val="00B107FA"/>
    <w:rsid w:val="00B1286B"/>
    <w:rsid w:val="00B12B6A"/>
    <w:rsid w:val="00B131B9"/>
    <w:rsid w:val="00B13D46"/>
    <w:rsid w:val="00B146E7"/>
    <w:rsid w:val="00B14813"/>
    <w:rsid w:val="00B151EB"/>
    <w:rsid w:val="00B15EB5"/>
    <w:rsid w:val="00B16159"/>
    <w:rsid w:val="00B16913"/>
    <w:rsid w:val="00B17464"/>
    <w:rsid w:val="00B177AB"/>
    <w:rsid w:val="00B20265"/>
    <w:rsid w:val="00B21676"/>
    <w:rsid w:val="00B21843"/>
    <w:rsid w:val="00B2198E"/>
    <w:rsid w:val="00B21CC0"/>
    <w:rsid w:val="00B21DB9"/>
    <w:rsid w:val="00B221E0"/>
    <w:rsid w:val="00B22A08"/>
    <w:rsid w:val="00B2378E"/>
    <w:rsid w:val="00B23E94"/>
    <w:rsid w:val="00B248DD"/>
    <w:rsid w:val="00B249E5"/>
    <w:rsid w:val="00B24DA1"/>
    <w:rsid w:val="00B250D7"/>
    <w:rsid w:val="00B25898"/>
    <w:rsid w:val="00B2650E"/>
    <w:rsid w:val="00B265AA"/>
    <w:rsid w:val="00B268A3"/>
    <w:rsid w:val="00B26BF5"/>
    <w:rsid w:val="00B26C0F"/>
    <w:rsid w:val="00B26E98"/>
    <w:rsid w:val="00B27AF8"/>
    <w:rsid w:val="00B30523"/>
    <w:rsid w:val="00B30655"/>
    <w:rsid w:val="00B30C0B"/>
    <w:rsid w:val="00B317B3"/>
    <w:rsid w:val="00B31996"/>
    <w:rsid w:val="00B32C06"/>
    <w:rsid w:val="00B33B6A"/>
    <w:rsid w:val="00B3519F"/>
    <w:rsid w:val="00B351E2"/>
    <w:rsid w:val="00B3656B"/>
    <w:rsid w:val="00B36A01"/>
    <w:rsid w:val="00B36A87"/>
    <w:rsid w:val="00B3703A"/>
    <w:rsid w:val="00B375C2"/>
    <w:rsid w:val="00B37650"/>
    <w:rsid w:val="00B37CB2"/>
    <w:rsid w:val="00B40563"/>
    <w:rsid w:val="00B40B99"/>
    <w:rsid w:val="00B40FC9"/>
    <w:rsid w:val="00B4186B"/>
    <w:rsid w:val="00B4192E"/>
    <w:rsid w:val="00B41AE1"/>
    <w:rsid w:val="00B41F94"/>
    <w:rsid w:val="00B42D6F"/>
    <w:rsid w:val="00B42DF9"/>
    <w:rsid w:val="00B42F03"/>
    <w:rsid w:val="00B43AC6"/>
    <w:rsid w:val="00B441EC"/>
    <w:rsid w:val="00B44C30"/>
    <w:rsid w:val="00B45A23"/>
    <w:rsid w:val="00B45C6C"/>
    <w:rsid w:val="00B4604F"/>
    <w:rsid w:val="00B4637A"/>
    <w:rsid w:val="00B46F01"/>
    <w:rsid w:val="00B503A2"/>
    <w:rsid w:val="00B50AE6"/>
    <w:rsid w:val="00B5129D"/>
    <w:rsid w:val="00B5154A"/>
    <w:rsid w:val="00B515CF"/>
    <w:rsid w:val="00B51AA8"/>
    <w:rsid w:val="00B5210C"/>
    <w:rsid w:val="00B52346"/>
    <w:rsid w:val="00B52619"/>
    <w:rsid w:val="00B52681"/>
    <w:rsid w:val="00B53DA7"/>
    <w:rsid w:val="00B54013"/>
    <w:rsid w:val="00B541C6"/>
    <w:rsid w:val="00B54A40"/>
    <w:rsid w:val="00B54B96"/>
    <w:rsid w:val="00B54C93"/>
    <w:rsid w:val="00B56469"/>
    <w:rsid w:val="00B564CD"/>
    <w:rsid w:val="00B56D37"/>
    <w:rsid w:val="00B57841"/>
    <w:rsid w:val="00B57BF7"/>
    <w:rsid w:val="00B60AC0"/>
    <w:rsid w:val="00B6101C"/>
    <w:rsid w:val="00B61683"/>
    <w:rsid w:val="00B61FF4"/>
    <w:rsid w:val="00B63179"/>
    <w:rsid w:val="00B63728"/>
    <w:rsid w:val="00B637D8"/>
    <w:rsid w:val="00B6415C"/>
    <w:rsid w:val="00B64E20"/>
    <w:rsid w:val="00B65D19"/>
    <w:rsid w:val="00B65F09"/>
    <w:rsid w:val="00B665E5"/>
    <w:rsid w:val="00B669DB"/>
    <w:rsid w:val="00B67BDA"/>
    <w:rsid w:val="00B707C1"/>
    <w:rsid w:val="00B70A11"/>
    <w:rsid w:val="00B71C59"/>
    <w:rsid w:val="00B73E4F"/>
    <w:rsid w:val="00B740E0"/>
    <w:rsid w:val="00B747E6"/>
    <w:rsid w:val="00B747FA"/>
    <w:rsid w:val="00B7510C"/>
    <w:rsid w:val="00B751CD"/>
    <w:rsid w:val="00B7527D"/>
    <w:rsid w:val="00B75353"/>
    <w:rsid w:val="00B75DED"/>
    <w:rsid w:val="00B75EF9"/>
    <w:rsid w:val="00B76022"/>
    <w:rsid w:val="00B7665E"/>
    <w:rsid w:val="00B767C3"/>
    <w:rsid w:val="00B76B3D"/>
    <w:rsid w:val="00B770E1"/>
    <w:rsid w:val="00B807D7"/>
    <w:rsid w:val="00B80800"/>
    <w:rsid w:val="00B80B0F"/>
    <w:rsid w:val="00B8137A"/>
    <w:rsid w:val="00B815B6"/>
    <w:rsid w:val="00B81A59"/>
    <w:rsid w:val="00B81DE7"/>
    <w:rsid w:val="00B81F1C"/>
    <w:rsid w:val="00B82540"/>
    <w:rsid w:val="00B82CD8"/>
    <w:rsid w:val="00B841D2"/>
    <w:rsid w:val="00B8421F"/>
    <w:rsid w:val="00B8477C"/>
    <w:rsid w:val="00B84907"/>
    <w:rsid w:val="00B857CB"/>
    <w:rsid w:val="00B85851"/>
    <w:rsid w:val="00B85D6D"/>
    <w:rsid w:val="00B86878"/>
    <w:rsid w:val="00B86881"/>
    <w:rsid w:val="00B868DF"/>
    <w:rsid w:val="00B87D4E"/>
    <w:rsid w:val="00B90131"/>
    <w:rsid w:val="00B902DE"/>
    <w:rsid w:val="00B90377"/>
    <w:rsid w:val="00B903A5"/>
    <w:rsid w:val="00B90AD1"/>
    <w:rsid w:val="00B914C9"/>
    <w:rsid w:val="00B9249D"/>
    <w:rsid w:val="00B939AF"/>
    <w:rsid w:val="00B93DEC"/>
    <w:rsid w:val="00B94223"/>
    <w:rsid w:val="00B942CD"/>
    <w:rsid w:val="00B942E5"/>
    <w:rsid w:val="00B94A40"/>
    <w:rsid w:val="00B94FC6"/>
    <w:rsid w:val="00B95148"/>
    <w:rsid w:val="00B954B0"/>
    <w:rsid w:val="00B957B2"/>
    <w:rsid w:val="00B95E96"/>
    <w:rsid w:val="00B9630A"/>
    <w:rsid w:val="00B964D2"/>
    <w:rsid w:val="00B96AD9"/>
    <w:rsid w:val="00B96DF5"/>
    <w:rsid w:val="00B970E6"/>
    <w:rsid w:val="00B97139"/>
    <w:rsid w:val="00B9747B"/>
    <w:rsid w:val="00BA131C"/>
    <w:rsid w:val="00BA1C37"/>
    <w:rsid w:val="00BA1F63"/>
    <w:rsid w:val="00BA2332"/>
    <w:rsid w:val="00BA2342"/>
    <w:rsid w:val="00BA2736"/>
    <w:rsid w:val="00BA388F"/>
    <w:rsid w:val="00BA389C"/>
    <w:rsid w:val="00BA3950"/>
    <w:rsid w:val="00BA400E"/>
    <w:rsid w:val="00BA44C9"/>
    <w:rsid w:val="00BA4A31"/>
    <w:rsid w:val="00BA4A93"/>
    <w:rsid w:val="00BA4CDB"/>
    <w:rsid w:val="00BA5D07"/>
    <w:rsid w:val="00BA5F15"/>
    <w:rsid w:val="00BA5FCD"/>
    <w:rsid w:val="00BB09B7"/>
    <w:rsid w:val="00BB0F67"/>
    <w:rsid w:val="00BB1466"/>
    <w:rsid w:val="00BB1605"/>
    <w:rsid w:val="00BB21DB"/>
    <w:rsid w:val="00BB2701"/>
    <w:rsid w:val="00BB2CC7"/>
    <w:rsid w:val="00BB495D"/>
    <w:rsid w:val="00BB552D"/>
    <w:rsid w:val="00BB57BE"/>
    <w:rsid w:val="00BB5D49"/>
    <w:rsid w:val="00BB5DD1"/>
    <w:rsid w:val="00BB6438"/>
    <w:rsid w:val="00BB6A02"/>
    <w:rsid w:val="00BB6D8D"/>
    <w:rsid w:val="00BB72BF"/>
    <w:rsid w:val="00BB7D01"/>
    <w:rsid w:val="00BC005C"/>
    <w:rsid w:val="00BC02DB"/>
    <w:rsid w:val="00BC17B1"/>
    <w:rsid w:val="00BC1CF5"/>
    <w:rsid w:val="00BC2123"/>
    <w:rsid w:val="00BC2152"/>
    <w:rsid w:val="00BC2695"/>
    <w:rsid w:val="00BC2FBE"/>
    <w:rsid w:val="00BC360C"/>
    <w:rsid w:val="00BC3779"/>
    <w:rsid w:val="00BC37E5"/>
    <w:rsid w:val="00BC3EAC"/>
    <w:rsid w:val="00BC4ABB"/>
    <w:rsid w:val="00BC501A"/>
    <w:rsid w:val="00BC58C1"/>
    <w:rsid w:val="00BC7072"/>
    <w:rsid w:val="00BD05B9"/>
    <w:rsid w:val="00BD14EC"/>
    <w:rsid w:val="00BD1F80"/>
    <w:rsid w:val="00BD20DA"/>
    <w:rsid w:val="00BD37EF"/>
    <w:rsid w:val="00BD39DA"/>
    <w:rsid w:val="00BD3B21"/>
    <w:rsid w:val="00BD464E"/>
    <w:rsid w:val="00BD4DAE"/>
    <w:rsid w:val="00BD4E67"/>
    <w:rsid w:val="00BD4EE4"/>
    <w:rsid w:val="00BD5900"/>
    <w:rsid w:val="00BD6A3B"/>
    <w:rsid w:val="00BD6E30"/>
    <w:rsid w:val="00BE0239"/>
    <w:rsid w:val="00BE0E95"/>
    <w:rsid w:val="00BE131B"/>
    <w:rsid w:val="00BE19C9"/>
    <w:rsid w:val="00BE2D71"/>
    <w:rsid w:val="00BE5149"/>
    <w:rsid w:val="00BE72E2"/>
    <w:rsid w:val="00BF0559"/>
    <w:rsid w:val="00BF0E3F"/>
    <w:rsid w:val="00BF1110"/>
    <w:rsid w:val="00BF1791"/>
    <w:rsid w:val="00BF1A8D"/>
    <w:rsid w:val="00BF1C92"/>
    <w:rsid w:val="00BF289D"/>
    <w:rsid w:val="00BF2D4E"/>
    <w:rsid w:val="00BF4031"/>
    <w:rsid w:val="00BF40A2"/>
    <w:rsid w:val="00BF4182"/>
    <w:rsid w:val="00BF4B8E"/>
    <w:rsid w:val="00BF4BF8"/>
    <w:rsid w:val="00BF5000"/>
    <w:rsid w:val="00BF5302"/>
    <w:rsid w:val="00BF5628"/>
    <w:rsid w:val="00BF562E"/>
    <w:rsid w:val="00BF6371"/>
    <w:rsid w:val="00BF6D41"/>
    <w:rsid w:val="00BF6E33"/>
    <w:rsid w:val="00BF6E47"/>
    <w:rsid w:val="00C0013B"/>
    <w:rsid w:val="00C00E70"/>
    <w:rsid w:val="00C01162"/>
    <w:rsid w:val="00C01166"/>
    <w:rsid w:val="00C026C9"/>
    <w:rsid w:val="00C02AB1"/>
    <w:rsid w:val="00C031AB"/>
    <w:rsid w:val="00C03716"/>
    <w:rsid w:val="00C05665"/>
    <w:rsid w:val="00C05B6E"/>
    <w:rsid w:val="00C060D4"/>
    <w:rsid w:val="00C06704"/>
    <w:rsid w:val="00C071CF"/>
    <w:rsid w:val="00C1005B"/>
    <w:rsid w:val="00C1009A"/>
    <w:rsid w:val="00C10A3E"/>
    <w:rsid w:val="00C10B20"/>
    <w:rsid w:val="00C10F3C"/>
    <w:rsid w:val="00C11096"/>
    <w:rsid w:val="00C112AF"/>
    <w:rsid w:val="00C121FC"/>
    <w:rsid w:val="00C12346"/>
    <w:rsid w:val="00C12510"/>
    <w:rsid w:val="00C12DDD"/>
    <w:rsid w:val="00C13040"/>
    <w:rsid w:val="00C137E5"/>
    <w:rsid w:val="00C14838"/>
    <w:rsid w:val="00C14BE7"/>
    <w:rsid w:val="00C15089"/>
    <w:rsid w:val="00C154BD"/>
    <w:rsid w:val="00C1565F"/>
    <w:rsid w:val="00C15CF6"/>
    <w:rsid w:val="00C15D40"/>
    <w:rsid w:val="00C15E9F"/>
    <w:rsid w:val="00C162B4"/>
    <w:rsid w:val="00C16615"/>
    <w:rsid w:val="00C169F1"/>
    <w:rsid w:val="00C16DC4"/>
    <w:rsid w:val="00C172B1"/>
    <w:rsid w:val="00C174C4"/>
    <w:rsid w:val="00C17921"/>
    <w:rsid w:val="00C17AA7"/>
    <w:rsid w:val="00C17B80"/>
    <w:rsid w:val="00C20835"/>
    <w:rsid w:val="00C2232E"/>
    <w:rsid w:val="00C223EA"/>
    <w:rsid w:val="00C2318F"/>
    <w:rsid w:val="00C23A43"/>
    <w:rsid w:val="00C23CBE"/>
    <w:rsid w:val="00C24433"/>
    <w:rsid w:val="00C26D0D"/>
    <w:rsid w:val="00C274DB"/>
    <w:rsid w:val="00C30662"/>
    <w:rsid w:val="00C30C75"/>
    <w:rsid w:val="00C31004"/>
    <w:rsid w:val="00C31D16"/>
    <w:rsid w:val="00C31F55"/>
    <w:rsid w:val="00C32502"/>
    <w:rsid w:val="00C32946"/>
    <w:rsid w:val="00C3322D"/>
    <w:rsid w:val="00C33295"/>
    <w:rsid w:val="00C33679"/>
    <w:rsid w:val="00C33DEE"/>
    <w:rsid w:val="00C342E0"/>
    <w:rsid w:val="00C346FC"/>
    <w:rsid w:val="00C34E69"/>
    <w:rsid w:val="00C358A6"/>
    <w:rsid w:val="00C35F0F"/>
    <w:rsid w:val="00C37343"/>
    <w:rsid w:val="00C373B7"/>
    <w:rsid w:val="00C3782D"/>
    <w:rsid w:val="00C37B98"/>
    <w:rsid w:val="00C407C9"/>
    <w:rsid w:val="00C40D5C"/>
    <w:rsid w:val="00C40EA4"/>
    <w:rsid w:val="00C41545"/>
    <w:rsid w:val="00C42919"/>
    <w:rsid w:val="00C42C7F"/>
    <w:rsid w:val="00C42D18"/>
    <w:rsid w:val="00C43252"/>
    <w:rsid w:val="00C43280"/>
    <w:rsid w:val="00C4362C"/>
    <w:rsid w:val="00C43865"/>
    <w:rsid w:val="00C43CC1"/>
    <w:rsid w:val="00C454B1"/>
    <w:rsid w:val="00C45F40"/>
    <w:rsid w:val="00C45FD2"/>
    <w:rsid w:val="00C46074"/>
    <w:rsid w:val="00C47985"/>
    <w:rsid w:val="00C47DF4"/>
    <w:rsid w:val="00C47E3A"/>
    <w:rsid w:val="00C51834"/>
    <w:rsid w:val="00C51983"/>
    <w:rsid w:val="00C51FF8"/>
    <w:rsid w:val="00C53D9A"/>
    <w:rsid w:val="00C5431A"/>
    <w:rsid w:val="00C546FF"/>
    <w:rsid w:val="00C54D22"/>
    <w:rsid w:val="00C5503E"/>
    <w:rsid w:val="00C557F6"/>
    <w:rsid w:val="00C559D1"/>
    <w:rsid w:val="00C55AD6"/>
    <w:rsid w:val="00C55ECD"/>
    <w:rsid w:val="00C55F25"/>
    <w:rsid w:val="00C56D2B"/>
    <w:rsid w:val="00C5707C"/>
    <w:rsid w:val="00C57B72"/>
    <w:rsid w:val="00C60994"/>
    <w:rsid w:val="00C60A63"/>
    <w:rsid w:val="00C60EF7"/>
    <w:rsid w:val="00C61484"/>
    <w:rsid w:val="00C61CF9"/>
    <w:rsid w:val="00C61F29"/>
    <w:rsid w:val="00C626F8"/>
    <w:rsid w:val="00C62D95"/>
    <w:rsid w:val="00C630F4"/>
    <w:rsid w:val="00C6313F"/>
    <w:rsid w:val="00C632F6"/>
    <w:rsid w:val="00C633AB"/>
    <w:rsid w:val="00C63850"/>
    <w:rsid w:val="00C63A5D"/>
    <w:rsid w:val="00C63CA1"/>
    <w:rsid w:val="00C63EC3"/>
    <w:rsid w:val="00C647F2"/>
    <w:rsid w:val="00C64D47"/>
    <w:rsid w:val="00C654B2"/>
    <w:rsid w:val="00C662AF"/>
    <w:rsid w:val="00C66B22"/>
    <w:rsid w:val="00C67701"/>
    <w:rsid w:val="00C67FE7"/>
    <w:rsid w:val="00C707C4"/>
    <w:rsid w:val="00C70AF5"/>
    <w:rsid w:val="00C70CA1"/>
    <w:rsid w:val="00C70F50"/>
    <w:rsid w:val="00C71292"/>
    <w:rsid w:val="00C7201D"/>
    <w:rsid w:val="00C736E7"/>
    <w:rsid w:val="00C73AA5"/>
    <w:rsid w:val="00C74A02"/>
    <w:rsid w:val="00C75559"/>
    <w:rsid w:val="00C7555B"/>
    <w:rsid w:val="00C755CC"/>
    <w:rsid w:val="00C756FA"/>
    <w:rsid w:val="00C75BE7"/>
    <w:rsid w:val="00C76741"/>
    <w:rsid w:val="00C76C5D"/>
    <w:rsid w:val="00C778CB"/>
    <w:rsid w:val="00C8019A"/>
    <w:rsid w:val="00C801EE"/>
    <w:rsid w:val="00C81869"/>
    <w:rsid w:val="00C81FD2"/>
    <w:rsid w:val="00C82C3D"/>
    <w:rsid w:val="00C83B78"/>
    <w:rsid w:val="00C84F4D"/>
    <w:rsid w:val="00C85AAA"/>
    <w:rsid w:val="00C86890"/>
    <w:rsid w:val="00C86FD2"/>
    <w:rsid w:val="00C870F4"/>
    <w:rsid w:val="00C87E0C"/>
    <w:rsid w:val="00C906A0"/>
    <w:rsid w:val="00C91416"/>
    <w:rsid w:val="00C915FD"/>
    <w:rsid w:val="00C91E89"/>
    <w:rsid w:val="00C924A0"/>
    <w:rsid w:val="00C92605"/>
    <w:rsid w:val="00C92732"/>
    <w:rsid w:val="00C93D46"/>
    <w:rsid w:val="00C94CE5"/>
    <w:rsid w:val="00C94E29"/>
    <w:rsid w:val="00C95561"/>
    <w:rsid w:val="00C958A4"/>
    <w:rsid w:val="00C96A24"/>
    <w:rsid w:val="00C96CDE"/>
    <w:rsid w:val="00C96DBA"/>
    <w:rsid w:val="00C97329"/>
    <w:rsid w:val="00CA1361"/>
    <w:rsid w:val="00CA1B97"/>
    <w:rsid w:val="00CA2158"/>
    <w:rsid w:val="00CA253E"/>
    <w:rsid w:val="00CA2788"/>
    <w:rsid w:val="00CA323A"/>
    <w:rsid w:val="00CA32FD"/>
    <w:rsid w:val="00CA344B"/>
    <w:rsid w:val="00CA3756"/>
    <w:rsid w:val="00CA452B"/>
    <w:rsid w:val="00CA470D"/>
    <w:rsid w:val="00CA4EAB"/>
    <w:rsid w:val="00CA4F56"/>
    <w:rsid w:val="00CA5897"/>
    <w:rsid w:val="00CA59C5"/>
    <w:rsid w:val="00CA6FE3"/>
    <w:rsid w:val="00CA7878"/>
    <w:rsid w:val="00CB0131"/>
    <w:rsid w:val="00CB1024"/>
    <w:rsid w:val="00CB11D1"/>
    <w:rsid w:val="00CB28CF"/>
    <w:rsid w:val="00CB2EA9"/>
    <w:rsid w:val="00CB2F73"/>
    <w:rsid w:val="00CB32CB"/>
    <w:rsid w:val="00CB36EE"/>
    <w:rsid w:val="00CB3D01"/>
    <w:rsid w:val="00CB4A22"/>
    <w:rsid w:val="00CB4DF4"/>
    <w:rsid w:val="00CB4E5C"/>
    <w:rsid w:val="00CB527C"/>
    <w:rsid w:val="00CB623B"/>
    <w:rsid w:val="00CB68A7"/>
    <w:rsid w:val="00CB6912"/>
    <w:rsid w:val="00CB6D36"/>
    <w:rsid w:val="00CB6E6E"/>
    <w:rsid w:val="00CB74C8"/>
    <w:rsid w:val="00CB76CE"/>
    <w:rsid w:val="00CC0439"/>
    <w:rsid w:val="00CC07DB"/>
    <w:rsid w:val="00CC0D7D"/>
    <w:rsid w:val="00CC1268"/>
    <w:rsid w:val="00CC14A9"/>
    <w:rsid w:val="00CC152D"/>
    <w:rsid w:val="00CC1555"/>
    <w:rsid w:val="00CC17F1"/>
    <w:rsid w:val="00CC3565"/>
    <w:rsid w:val="00CC39AF"/>
    <w:rsid w:val="00CC49FF"/>
    <w:rsid w:val="00CC4C7A"/>
    <w:rsid w:val="00CC5038"/>
    <w:rsid w:val="00CC5449"/>
    <w:rsid w:val="00CC5735"/>
    <w:rsid w:val="00CC5E55"/>
    <w:rsid w:val="00CC5E9A"/>
    <w:rsid w:val="00CD0DDC"/>
    <w:rsid w:val="00CD0E1D"/>
    <w:rsid w:val="00CD0F8C"/>
    <w:rsid w:val="00CD14E4"/>
    <w:rsid w:val="00CD1EBE"/>
    <w:rsid w:val="00CD309E"/>
    <w:rsid w:val="00CD38B9"/>
    <w:rsid w:val="00CD4269"/>
    <w:rsid w:val="00CD42C2"/>
    <w:rsid w:val="00CD4B9A"/>
    <w:rsid w:val="00CD4E4A"/>
    <w:rsid w:val="00CD502E"/>
    <w:rsid w:val="00CD5489"/>
    <w:rsid w:val="00CD63EE"/>
    <w:rsid w:val="00CD63FC"/>
    <w:rsid w:val="00CE05B3"/>
    <w:rsid w:val="00CE0D6F"/>
    <w:rsid w:val="00CE0DDA"/>
    <w:rsid w:val="00CE142C"/>
    <w:rsid w:val="00CE1C9D"/>
    <w:rsid w:val="00CE1E49"/>
    <w:rsid w:val="00CE1FCB"/>
    <w:rsid w:val="00CE267E"/>
    <w:rsid w:val="00CE2F4C"/>
    <w:rsid w:val="00CE332F"/>
    <w:rsid w:val="00CE374F"/>
    <w:rsid w:val="00CE3981"/>
    <w:rsid w:val="00CE39CD"/>
    <w:rsid w:val="00CE3CC9"/>
    <w:rsid w:val="00CE4218"/>
    <w:rsid w:val="00CE438D"/>
    <w:rsid w:val="00CE43D1"/>
    <w:rsid w:val="00CE4D61"/>
    <w:rsid w:val="00CE5256"/>
    <w:rsid w:val="00CE6D18"/>
    <w:rsid w:val="00CE7215"/>
    <w:rsid w:val="00CE7B60"/>
    <w:rsid w:val="00CE7DFF"/>
    <w:rsid w:val="00CE7FD9"/>
    <w:rsid w:val="00CF0547"/>
    <w:rsid w:val="00CF0A0C"/>
    <w:rsid w:val="00CF1629"/>
    <w:rsid w:val="00CF2CAF"/>
    <w:rsid w:val="00CF2E51"/>
    <w:rsid w:val="00CF360F"/>
    <w:rsid w:val="00CF38EA"/>
    <w:rsid w:val="00CF3BB5"/>
    <w:rsid w:val="00CF44DA"/>
    <w:rsid w:val="00CF473F"/>
    <w:rsid w:val="00CF4B3D"/>
    <w:rsid w:val="00CF5BCC"/>
    <w:rsid w:val="00CF6370"/>
    <w:rsid w:val="00CF6412"/>
    <w:rsid w:val="00CF78CE"/>
    <w:rsid w:val="00CF7B37"/>
    <w:rsid w:val="00D0008C"/>
    <w:rsid w:val="00D006C1"/>
    <w:rsid w:val="00D0247F"/>
    <w:rsid w:val="00D0389F"/>
    <w:rsid w:val="00D039E1"/>
    <w:rsid w:val="00D03B7D"/>
    <w:rsid w:val="00D03DDF"/>
    <w:rsid w:val="00D04772"/>
    <w:rsid w:val="00D055FE"/>
    <w:rsid w:val="00D0575A"/>
    <w:rsid w:val="00D0580C"/>
    <w:rsid w:val="00D05BC4"/>
    <w:rsid w:val="00D05FCA"/>
    <w:rsid w:val="00D072E0"/>
    <w:rsid w:val="00D07799"/>
    <w:rsid w:val="00D07BD5"/>
    <w:rsid w:val="00D07CE2"/>
    <w:rsid w:val="00D07DA3"/>
    <w:rsid w:val="00D10BCE"/>
    <w:rsid w:val="00D1213F"/>
    <w:rsid w:val="00D1218C"/>
    <w:rsid w:val="00D1279F"/>
    <w:rsid w:val="00D12898"/>
    <w:rsid w:val="00D12FE7"/>
    <w:rsid w:val="00D13825"/>
    <w:rsid w:val="00D146DB"/>
    <w:rsid w:val="00D14943"/>
    <w:rsid w:val="00D149F4"/>
    <w:rsid w:val="00D14E82"/>
    <w:rsid w:val="00D152DB"/>
    <w:rsid w:val="00D15400"/>
    <w:rsid w:val="00D15A53"/>
    <w:rsid w:val="00D15B56"/>
    <w:rsid w:val="00D15CF0"/>
    <w:rsid w:val="00D15FB0"/>
    <w:rsid w:val="00D17287"/>
    <w:rsid w:val="00D17497"/>
    <w:rsid w:val="00D17DBF"/>
    <w:rsid w:val="00D201F2"/>
    <w:rsid w:val="00D202C0"/>
    <w:rsid w:val="00D204E7"/>
    <w:rsid w:val="00D20A19"/>
    <w:rsid w:val="00D211EF"/>
    <w:rsid w:val="00D21898"/>
    <w:rsid w:val="00D21D3E"/>
    <w:rsid w:val="00D221F0"/>
    <w:rsid w:val="00D22B27"/>
    <w:rsid w:val="00D2399B"/>
    <w:rsid w:val="00D24071"/>
    <w:rsid w:val="00D2466B"/>
    <w:rsid w:val="00D24B86"/>
    <w:rsid w:val="00D24C11"/>
    <w:rsid w:val="00D24C7D"/>
    <w:rsid w:val="00D252CC"/>
    <w:rsid w:val="00D25817"/>
    <w:rsid w:val="00D25CE5"/>
    <w:rsid w:val="00D26596"/>
    <w:rsid w:val="00D266CC"/>
    <w:rsid w:val="00D26CAA"/>
    <w:rsid w:val="00D27B2C"/>
    <w:rsid w:val="00D27E0B"/>
    <w:rsid w:val="00D30967"/>
    <w:rsid w:val="00D31111"/>
    <w:rsid w:val="00D31771"/>
    <w:rsid w:val="00D32897"/>
    <w:rsid w:val="00D32F9E"/>
    <w:rsid w:val="00D33113"/>
    <w:rsid w:val="00D3432E"/>
    <w:rsid w:val="00D34454"/>
    <w:rsid w:val="00D3485B"/>
    <w:rsid w:val="00D34B30"/>
    <w:rsid w:val="00D34B86"/>
    <w:rsid w:val="00D357FE"/>
    <w:rsid w:val="00D35833"/>
    <w:rsid w:val="00D35910"/>
    <w:rsid w:val="00D35E35"/>
    <w:rsid w:val="00D35FA6"/>
    <w:rsid w:val="00D36B8F"/>
    <w:rsid w:val="00D36CCB"/>
    <w:rsid w:val="00D37091"/>
    <w:rsid w:val="00D37A32"/>
    <w:rsid w:val="00D37CDB"/>
    <w:rsid w:val="00D37E86"/>
    <w:rsid w:val="00D40035"/>
    <w:rsid w:val="00D41DE3"/>
    <w:rsid w:val="00D4204F"/>
    <w:rsid w:val="00D42287"/>
    <w:rsid w:val="00D428C7"/>
    <w:rsid w:val="00D42950"/>
    <w:rsid w:val="00D43300"/>
    <w:rsid w:val="00D437F2"/>
    <w:rsid w:val="00D4392D"/>
    <w:rsid w:val="00D440D6"/>
    <w:rsid w:val="00D4416E"/>
    <w:rsid w:val="00D44256"/>
    <w:rsid w:val="00D44349"/>
    <w:rsid w:val="00D445A3"/>
    <w:rsid w:val="00D44697"/>
    <w:rsid w:val="00D459B3"/>
    <w:rsid w:val="00D469F3"/>
    <w:rsid w:val="00D46AC2"/>
    <w:rsid w:val="00D4726C"/>
    <w:rsid w:val="00D47A55"/>
    <w:rsid w:val="00D47C54"/>
    <w:rsid w:val="00D47D9F"/>
    <w:rsid w:val="00D47E63"/>
    <w:rsid w:val="00D50159"/>
    <w:rsid w:val="00D5020E"/>
    <w:rsid w:val="00D50969"/>
    <w:rsid w:val="00D513A9"/>
    <w:rsid w:val="00D52934"/>
    <w:rsid w:val="00D53677"/>
    <w:rsid w:val="00D53D58"/>
    <w:rsid w:val="00D543A7"/>
    <w:rsid w:val="00D543C3"/>
    <w:rsid w:val="00D54535"/>
    <w:rsid w:val="00D546AC"/>
    <w:rsid w:val="00D54D7D"/>
    <w:rsid w:val="00D54F68"/>
    <w:rsid w:val="00D551CF"/>
    <w:rsid w:val="00D5560E"/>
    <w:rsid w:val="00D560C2"/>
    <w:rsid w:val="00D562A7"/>
    <w:rsid w:val="00D57B3A"/>
    <w:rsid w:val="00D57EC4"/>
    <w:rsid w:val="00D601E9"/>
    <w:rsid w:val="00D60A99"/>
    <w:rsid w:val="00D60FA5"/>
    <w:rsid w:val="00D6107E"/>
    <w:rsid w:val="00D61474"/>
    <w:rsid w:val="00D61863"/>
    <w:rsid w:val="00D6286C"/>
    <w:rsid w:val="00D628B1"/>
    <w:rsid w:val="00D63169"/>
    <w:rsid w:val="00D63296"/>
    <w:rsid w:val="00D6366F"/>
    <w:rsid w:val="00D63E41"/>
    <w:rsid w:val="00D63FD5"/>
    <w:rsid w:val="00D655E3"/>
    <w:rsid w:val="00D65881"/>
    <w:rsid w:val="00D65B78"/>
    <w:rsid w:val="00D66558"/>
    <w:rsid w:val="00D66636"/>
    <w:rsid w:val="00D6740D"/>
    <w:rsid w:val="00D6767E"/>
    <w:rsid w:val="00D70836"/>
    <w:rsid w:val="00D71278"/>
    <w:rsid w:val="00D715E7"/>
    <w:rsid w:val="00D7239C"/>
    <w:rsid w:val="00D72CC2"/>
    <w:rsid w:val="00D73272"/>
    <w:rsid w:val="00D73D3F"/>
    <w:rsid w:val="00D76220"/>
    <w:rsid w:val="00D76F34"/>
    <w:rsid w:val="00D77220"/>
    <w:rsid w:val="00D77707"/>
    <w:rsid w:val="00D8014E"/>
    <w:rsid w:val="00D8101E"/>
    <w:rsid w:val="00D810EF"/>
    <w:rsid w:val="00D812A8"/>
    <w:rsid w:val="00D83A3B"/>
    <w:rsid w:val="00D851DF"/>
    <w:rsid w:val="00D85DEA"/>
    <w:rsid w:val="00D86102"/>
    <w:rsid w:val="00D86455"/>
    <w:rsid w:val="00D86A25"/>
    <w:rsid w:val="00D871F6"/>
    <w:rsid w:val="00D873C4"/>
    <w:rsid w:val="00D87469"/>
    <w:rsid w:val="00D876C5"/>
    <w:rsid w:val="00D87A82"/>
    <w:rsid w:val="00D87B75"/>
    <w:rsid w:val="00D87BCF"/>
    <w:rsid w:val="00D87E5D"/>
    <w:rsid w:val="00D904B8"/>
    <w:rsid w:val="00D91B36"/>
    <w:rsid w:val="00D921C2"/>
    <w:rsid w:val="00D9244F"/>
    <w:rsid w:val="00D93B88"/>
    <w:rsid w:val="00D93CA1"/>
    <w:rsid w:val="00D958C4"/>
    <w:rsid w:val="00D95A4A"/>
    <w:rsid w:val="00D95C22"/>
    <w:rsid w:val="00D963BF"/>
    <w:rsid w:val="00D965B9"/>
    <w:rsid w:val="00D965DB"/>
    <w:rsid w:val="00D96871"/>
    <w:rsid w:val="00D97673"/>
    <w:rsid w:val="00D97758"/>
    <w:rsid w:val="00D97CCE"/>
    <w:rsid w:val="00D97FC5"/>
    <w:rsid w:val="00DA1C26"/>
    <w:rsid w:val="00DA297A"/>
    <w:rsid w:val="00DA29B8"/>
    <w:rsid w:val="00DA315D"/>
    <w:rsid w:val="00DA406B"/>
    <w:rsid w:val="00DA41D8"/>
    <w:rsid w:val="00DA55F2"/>
    <w:rsid w:val="00DA659F"/>
    <w:rsid w:val="00DA69E2"/>
    <w:rsid w:val="00DA6E8C"/>
    <w:rsid w:val="00DA740C"/>
    <w:rsid w:val="00DA7528"/>
    <w:rsid w:val="00DA7571"/>
    <w:rsid w:val="00DB07B1"/>
    <w:rsid w:val="00DB18C6"/>
    <w:rsid w:val="00DB1DA6"/>
    <w:rsid w:val="00DB1E9B"/>
    <w:rsid w:val="00DB1EDF"/>
    <w:rsid w:val="00DB2696"/>
    <w:rsid w:val="00DB3E9A"/>
    <w:rsid w:val="00DB42C7"/>
    <w:rsid w:val="00DB45C6"/>
    <w:rsid w:val="00DB51BC"/>
    <w:rsid w:val="00DB57A2"/>
    <w:rsid w:val="00DB589B"/>
    <w:rsid w:val="00DB5C6D"/>
    <w:rsid w:val="00DB6834"/>
    <w:rsid w:val="00DB70EF"/>
    <w:rsid w:val="00DB75DB"/>
    <w:rsid w:val="00DB7F35"/>
    <w:rsid w:val="00DC049A"/>
    <w:rsid w:val="00DC074D"/>
    <w:rsid w:val="00DC0FE9"/>
    <w:rsid w:val="00DC100D"/>
    <w:rsid w:val="00DC13CA"/>
    <w:rsid w:val="00DC19F1"/>
    <w:rsid w:val="00DC1BE8"/>
    <w:rsid w:val="00DC2131"/>
    <w:rsid w:val="00DC264C"/>
    <w:rsid w:val="00DC274E"/>
    <w:rsid w:val="00DC36B6"/>
    <w:rsid w:val="00DC42D7"/>
    <w:rsid w:val="00DC435C"/>
    <w:rsid w:val="00DC4CE4"/>
    <w:rsid w:val="00DC5380"/>
    <w:rsid w:val="00DC6D34"/>
    <w:rsid w:val="00DC6FFE"/>
    <w:rsid w:val="00DD0058"/>
    <w:rsid w:val="00DD010A"/>
    <w:rsid w:val="00DD18BD"/>
    <w:rsid w:val="00DD2F5C"/>
    <w:rsid w:val="00DD30DA"/>
    <w:rsid w:val="00DD3196"/>
    <w:rsid w:val="00DD352E"/>
    <w:rsid w:val="00DD3686"/>
    <w:rsid w:val="00DD3C07"/>
    <w:rsid w:val="00DD468A"/>
    <w:rsid w:val="00DD47E4"/>
    <w:rsid w:val="00DD4DA4"/>
    <w:rsid w:val="00DD5493"/>
    <w:rsid w:val="00DD59F6"/>
    <w:rsid w:val="00DD5E33"/>
    <w:rsid w:val="00DD6398"/>
    <w:rsid w:val="00DD670A"/>
    <w:rsid w:val="00DD6D50"/>
    <w:rsid w:val="00DD6D60"/>
    <w:rsid w:val="00DD7BEA"/>
    <w:rsid w:val="00DD7C38"/>
    <w:rsid w:val="00DE038B"/>
    <w:rsid w:val="00DE08A1"/>
    <w:rsid w:val="00DE1771"/>
    <w:rsid w:val="00DE183E"/>
    <w:rsid w:val="00DE20F3"/>
    <w:rsid w:val="00DE2426"/>
    <w:rsid w:val="00DE2861"/>
    <w:rsid w:val="00DE34C2"/>
    <w:rsid w:val="00DE37F7"/>
    <w:rsid w:val="00DE3A04"/>
    <w:rsid w:val="00DE42F0"/>
    <w:rsid w:val="00DE45D9"/>
    <w:rsid w:val="00DE4845"/>
    <w:rsid w:val="00DE4B69"/>
    <w:rsid w:val="00DE4C38"/>
    <w:rsid w:val="00DE535C"/>
    <w:rsid w:val="00DE697F"/>
    <w:rsid w:val="00DE6FE9"/>
    <w:rsid w:val="00DE711F"/>
    <w:rsid w:val="00DE72F1"/>
    <w:rsid w:val="00DE7533"/>
    <w:rsid w:val="00DE75CB"/>
    <w:rsid w:val="00DE79B9"/>
    <w:rsid w:val="00DE7CD2"/>
    <w:rsid w:val="00DF00A6"/>
    <w:rsid w:val="00DF0659"/>
    <w:rsid w:val="00DF0C79"/>
    <w:rsid w:val="00DF12CA"/>
    <w:rsid w:val="00DF1D13"/>
    <w:rsid w:val="00DF1E60"/>
    <w:rsid w:val="00DF26D9"/>
    <w:rsid w:val="00DF30AF"/>
    <w:rsid w:val="00DF33A2"/>
    <w:rsid w:val="00DF39CB"/>
    <w:rsid w:val="00DF4196"/>
    <w:rsid w:val="00DF4CAA"/>
    <w:rsid w:val="00DF4FA8"/>
    <w:rsid w:val="00DF5891"/>
    <w:rsid w:val="00DF675B"/>
    <w:rsid w:val="00DF68B9"/>
    <w:rsid w:val="00DF6EDB"/>
    <w:rsid w:val="00DF7476"/>
    <w:rsid w:val="00DF7B7F"/>
    <w:rsid w:val="00E013C7"/>
    <w:rsid w:val="00E01539"/>
    <w:rsid w:val="00E0189B"/>
    <w:rsid w:val="00E018C2"/>
    <w:rsid w:val="00E02CA2"/>
    <w:rsid w:val="00E02EB5"/>
    <w:rsid w:val="00E03429"/>
    <w:rsid w:val="00E043AF"/>
    <w:rsid w:val="00E04D99"/>
    <w:rsid w:val="00E05BE4"/>
    <w:rsid w:val="00E060A9"/>
    <w:rsid w:val="00E063BB"/>
    <w:rsid w:val="00E06B56"/>
    <w:rsid w:val="00E07D97"/>
    <w:rsid w:val="00E10329"/>
    <w:rsid w:val="00E10C62"/>
    <w:rsid w:val="00E11507"/>
    <w:rsid w:val="00E11646"/>
    <w:rsid w:val="00E11C47"/>
    <w:rsid w:val="00E14304"/>
    <w:rsid w:val="00E144B1"/>
    <w:rsid w:val="00E14A88"/>
    <w:rsid w:val="00E15398"/>
    <w:rsid w:val="00E16180"/>
    <w:rsid w:val="00E16AD9"/>
    <w:rsid w:val="00E17236"/>
    <w:rsid w:val="00E177C2"/>
    <w:rsid w:val="00E178CE"/>
    <w:rsid w:val="00E17912"/>
    <w:rsid w:val="00E2069B"/>
    <w:rsid w:val="00E21095"/>
    <w:rsid w:val="00E21973"/>
    <w:rsid w:val="00E226A1"/>
    <w:rsid w:val="00E2319B"/>
    <w:rsid w:val="00E238E8"/>
    <w:rsid w:val="00E239A3"/>
    <w:rsid w:val="00E240C2"/>
    <w:rsid w:val="00E24499"/>
    <w:rsid w:val="00E2469D"/>
    <w:rsid w:val="00E24735"/>
    <w:rsid w:val="00E2477C"/>
    <w:rsid w:val="00E24EB0"/>
    <w:rsid w:val="00E2503C"/>
    <w:rsid w:val="00E25710"/>
    <w:rsid w:val="00E2624B"/>
    <w:rsid w:val="00E2628B"/>
    <w:rsid w:val="00E262FB"/>
    <w:rsid w:val="00E26CB0"/>
    <w:rsid w:val="00E27465"/>
    <w:rsid w:val="00E27EF2"/>
    <w:rsid w:val="00E30678"/>
    <w:rsid w:val="00E30E8D"/>
    <w:rsid w:val="00E311EC"/>
    <w:rsid w:val="00E31328"/>
    <w:rsid w:val="00E31957"/>
    <w:rsid w:val="00E31D0E"/>
    <w:rsid w:val="00E32B01"/>
    <w:rsid w:val="00E33AC6"/>
    <w:rsid w:val="00E33B8B"/>
    <w:rsid w:val="00E34617"/>
    <w:rsid w:val="00E347F5"/>
    <w:rsid w:val="00E34D71"/>
    <w:rsid w:val="00E353CF"/>
    <w:rsid w:val="00E3546C"/>
    <w:rsid w:val="00E3572B"/>
    <w:rsid w:val="00E35DCF"/>
    <w:rsid w:val="00E36393"/>
    <w:rsid w:val="00E36A2F"/>
    <w:rsid w:val="00E37088"/>
    <w:rsid w:val="00E37266"/>
    <w:rsid w:val="00E375D8"/>
    <w:rsid w:val="00E413D2"/>
    <w:rsid w:val="00E418D5"/>
    <w:rsid w:val="00E4209E"/>
    <w:rsid w:val="00E42445"/>
    <w:rsid w:val="00E429D6"/>
    <w:rsid w:val="00E42E74"/>
    <w:rsid w:val="00E431DD"/>
    <w:rsid w:val="00E43508"/>
    <w:rsid w:val="00E43F8F"/>
    <w:rsid w:val="00E44169"/>
    <w:rsid w:val="00E448C8"/>
    <w:rsid w:val="00E455E5"/>
    <w:rsid w:val="00E455F2"/>
    <w:rsid w:val="00E45DF3"/>
    <w:rsid w:val="00E46655"/>
    <w:rsid w:val="00E47FF7"/>
    <w:rsid w:val="00E50784"/>
    <w:rsid w:val="00E510BD"/>
    <w:rsid w:val="00E5129E"/>
    <w:rsid w:val="00E51F07"/>
    <w:rsid w:val="00E51F35"/>
    <w:rsid w:val="00E5229D"/>
    <w:rsid w:val="00E524EC"/>
    <w:rsid w:val="00E527FF"/>
    <w:rsid w:val="00E5286E"/>
    <w:rsid w:val="00E52943"/>
    <w:rsid w:val="00E534AE"/>
    <w:rsid w:val="00E54434"/>
    <w:rsid w:val="00E54A84"/>
    <w:rsid w:val="00E54BA9"/>
    <w:rsid w:val="00E55110"/>
    <w:rsid w:val="00E55408"/>
    <w:rsid w:val="00E5549D"/>
    <w:rsid w:val="00E5566A"/>
    <w:rsid w:val="00E55D71"/>
    <w:rsid w:val="00E561DC"/>
    <w:rsid w:val="00E60106"/>
    <w:rsid w:val="00E609F1"/>
    <w:rsid w:val="00E61032"/>
    <w:rsid w:val="00E612FD"/>
    <w:rsid w:val="00E617D9"/>
    <w:rsid w:val="00E618CF"/>
    <w:rsid w:val="00E635BD"/>
    <w:rsid w:val="00E6405F"/>
    <w:rsid w:val="00E64C18"/>
    <w:rsid w:val="00E65105"/>
    <w:rsid w:val="00E6585F"/>
    <w:rsid w:val="00E671BA"/>
    <w:rsid w:val="00E6731F"/>
    <w:rsid w:val="00E67492"/>
    <w:rsid w:val="00E67C8A"/>
    <w:rsid w:val="00E704C5"/>
    <w:rsid w:val="00E709C2"/>
    <w:rsid w:val="00E70D87"/>
    <w:rsid w:val="00E70EF6"/>
    <w:rsid w:val="00E71DCD"/>
    <w:rsid w:val="00E7238F"/>
    <w:rsid w:val="00E723F9"/>
    <w:rsid w:val="00E72C74"/>
    <w:rsid w:val="00E72DF1"/>
    <w:rsid w:val="00E7366C"/>
    <w:rsid w:val="00E738FA"/>
    <w:rsid w:val="00E73C60"/>
    <w:rsid w:val="00E73CD7"/>
    <w:rsid w:val="00E7446E"/>
    <w:rsid w:val="00E74953"/>
    <w:rsid w:val="00E74A28"/>
    <w:rsid w:val="00E74C9B"/>
    <w:rsid w:val="00E75E03"/>
    <w:rsid w:val="00E76609"/>
    <w:rsid w:val="00E76DFC"/>
    <w:rsid w:val="00E801E1"/>
    <w:rsid w:val="00E802E4"/>
    <w:rsid w:val="00E80676"/>
    <w:rsid w:val="00E8099E"/>
    <w:rsid w:val="00E80CB0"/>
    <w:rsid w:val="00E80F3E"/>
    <w:rsid w:val="00E81144"/>
    <w:rsid w:val="00E8148B"/>
    <w:rsid w:val="00E81660"/>
    <w:rsid w:val="00E819AD"/>
    <w:rsid w:val="00E81DF3"/>
    <w:rsid w:val="00E82EEC"/>
    <w:rsid w:val="00E82FC5"/>
    <w:rsid w:val="00E83483"/>
    <w:rsid w:val="00E83528"/>
    <w:rsid w:val="00E835D8"/>
    <w:rsid w:val="00E83BC2"/>
    <w:rsid w:val="00E8444F"/>
    <w:rsid w:val="00E84896"/>
    <w:rsid w:val="00E85869"/>
    <w:rsid w:val="00E858C1"/>
    <w:rsid w:val="00E85967"/>
    <w:rsid w:val="00E872B6"/>
    <w:rsid w:val="00E874FA"/>
    <w:rsid w:val="00E9006B"/>
    <w:rsid w:val="00E904C3"/>
    <w:rsid w:val="00E906BA"/>
    <w:rsid w:val="00E90B2A"/>
    <w:rsid w:val="00E90E39"/>
    <w:rsid w:val="00E914BE"/>
    <w:rsid w:val="00E91F6F"/>
    <w:rsid w:val="00E920E4"/>
    <w:rsid w:val="00E92788"/>
    <w:rsid w:val="00E92C3B"/>
    <w:rsid w:val="00E92D7B"/>
    <w:rsid w:val="00E95047"/>
    <w:rsid w:val="00E9575E"/>
    <w:rsid w:val="00E958D9"/>
    <w:rsid w:val="00E959EE"/>
    <w:rsid w:val="00E96413"/>
    <w:rsid w:val="00E977B7"/>
    <w:rsid w:val="00E97B5A"/>
    <w:rsid w:val="00E97DB7"/>
    <w:rsid w:val="00EA0087"/>
    <w:rsid w:val="00EA01E9"/>
    <w:rsid w:val="00EA0203"/>
    <w:rsid w:val="00EA0385"/>
    <w:rsid w:val="00EA041E"/>
    <w:rsid w:val="00EA05C4"/>
    <w:rsid w:val="00EA191C"/>
    <w:rsid w:val="00EA338A"/>
    <w:rsid w:val="00EA4767"/>
    <w:rsid w:val="00EA4FB7"/>
    <w:rsid w:val="00EA53C4"/>
    <w:rsid w:val="00EA76F3"/>
    <w:rsid w:val="00EA7E43"/>
    <w:rsid w:val="00EB0CB9"/>
    <w:rsid w:val="00EB0FEA"/>
    <w:rsid w:val="00EB1716"/>
    <w:rsid w:val="00EB18C2"/>
    <w:rsid w:val="00EB1ADA"/>
    <w:rsid w:val="00EB2263"/>
    <w:rsid w:val="00EB2BDE"/>
    <w:rsid w:val="00EB2EF4"/>
    <w:rsid w:val="00EB304B"/>
    <w:rsid w:val="00EB30EC"/>
    <w:rsid w:val="00EB40B5"/>
    <w:rsid w:val="00EB4C29"/>
    <w:rsid w:val="00EB668B"/>
    <w:rsid w:val="00EB698B"/>
    <w:rsid w:val="00EB6D89"/>
    <w:rsid w:val="00EB7041"/>
    <w:rsid w:val="00EB78EE"/>
    <w:rsid w:val="00EC022F"/>
    <w:rsid w:val="00EC04C8"/>
    <w:rsid w:val="00EC0CA5"/>
    <w:rsid w:val="00EC0ECB"/>
    <w:rsid w:val="00EC15F8"/>
    <w:rsid w:val="00EC275A"/>
    <w:rsid w:val="00EC2BB5"/>
    <w:rsid w:val="00EC2F8C"/>
    <w:rsid w:val="00EC354D"/>
    <w:rsid w:val="00EC4EA9"/>
    <w:rsid w:val="00EC5832"/>
    <w:rsid w:val="00EC683F"/>
    <w:rsid w:val="00EC6888"/>
    <w:rsid w:val="00EC7630"/>
    <w:rsid w:val="00ED0700"/>
    <w:rsid w:val="00ED070B"/>
    <w:rsid w:val="00ED11D3"/>
    <w:rsid w:val="00ED131A"/>
    <w:rsid w:val="00ED1342"/>
    <w:rsid w:val="00ED1D27"/>
    <w:rsid w:val="00ED2457"/>
    <w:rsid w:val="00ED26BE"/>
    <w:rsid w:val="00ED2CB6"/>
    <w:rsid w:val="00ED34F5"/>
    <w:rsid w:val="00ED394E"/>
    <w:rsid w:val="00ED3CC0"/>
    <w:rsid w:val="00ED48C4"/>
    <w:rsid w:val="00ED51D4"/>
    <w:rsid w:val="00ED53C5"/>
    <w:rsid w:val="00ED69BA"/>
    <w:rsid w:val="00ED6BC3"/>
    <w:rsid w:val="00ED6C00"/>
    <w:rsid w:val="00ED7327"/>
    <w:rsid w:val="00ED7EB6"/>
    <w:rsid w:val="00EE1268"/>
    <w:rsid w:val="00EE1579"/>
    <w:rsid w:val="00EE24CD"/>
    <w:rsid w:val="00EE28B2"/>
    <w:rsid w:val="00EE2D29"/>
    <w:rsid w:val="00EE3032"/>
    <w:rsid w:val="00EE30E1"/>
    <w:rsid w:val="00EE3148"/>
    <w:rsid w:val="00EE3E54"/>
    <w:rsid w:val="00EE45AD"/>
    <w:rsid w:val="00EE4FF5"/>
    <w:rsid w:val="00EE504C"/>
    <w:rsid w:val="00EE5C08"/>
    <w:rsid w:val="00EE5FE8"/>
    <w:rsid w:val="00EE6F4D"/>
    <w:rsid w:val="00EE786F"/>
    <w:rsid w:val="00EE7A46"/>
    <w:rsid w:val="00EF041E"/>
    <w:rsid w:val="00EF1071"/>
    <w:rsid w:val="00EF1233"/>
    <w:rsid w:val="00EF166D"/>
    <w:rsid w:val="00EF257E"/>
    <w:rsid w:val="00EF3212"/>
    <w:rsid w:val="00EF3555"/>
    <w:rsid w:val="00EF3EAF"/>
    <w:rsid w:val="00EF4283"/>
    <w:rsid w:val="00EF43F7"/>
    <w:rsid w:val="00EF45A2"/>
    <w:rsid w:val="00EF4EF6"/>
    <w:rsid w:val="00EF5075"/>
    <w:rsid w:val="00EF5833"/>
    <w:rsid w:val="00EF5BA3"/>
    <w:rsid w:val="00EF6766"/>
    <w:rsid w:val="00EF708B"/>
    <w:rsid w:val="00EF783B"/>
    <w:rsid w:val="00EF7907"/>
    <w:rsid w:val="00F00222"/>
    <w:rsid w:val="00F00A8A"/>
    <w:rsid w:val="00F013B0"/>
    <w:rsid w:val="00F01AF2"/>
    <w:rsid w:val="00F02A99"/>
    <w:rsid w:val="00F02EDC"/>
    <w:rsid w:val="00F03155"/>
    <w:rsid w:val="00F03815"/>
    <w:rsid w:val="00F0392C"/>
    <w:rsid w:val="00F03D61"/>
    <w:rsid w:val="00F03EA3"/>
    <w:rsid w:val="00F03F3E"/>
    <w:rsid w:val="00F03FED"/>
    <w:rsid w:val="00F047CA"/>
    <w:rsid w:val="00F04EAD"/>
    <w:rsid w:val="00F05985"/>
    <w:rsid w:val="00F07520"/>
    <w:rsid w:val="00F07BD9"/>
    <w:rsid w:val="00F07EF7"/>
    <w:rsid w:val="00F103BE"/>
    <w:rsid w:val="00F10796"/>
    <w:rsid w:val="00F1080B"/>
    <w:rsid w:val="00F109DB"/>
    <w:rsid w:val="00F10B55"/>
    <w:rsid w:val="00F11016"/>
    <w:rsid w:val="00F1125C"/>
    <w:rsid w:val="00F127C3"/>
    <w:rsid w:val="00F128BE"/>
    <w:rsid w:val="00F12F4A"/>
    <w:rsid w:val="00F13278"/>
    <w:rsid w:val="00F1461F"/>
    <w:rsid w:val="00F153E5"/>
    <w:rsid w:val="00F15963"/>
    <w:rsid w:val="00F16364"/>
    <w:rsid w:val="00F16697"/>
    <w:rsid w:val="00F16BD0"/>
    <w:rsid w:val="00F17780"/>
    <w:rsid w:val="00F17F86"/>
    <w:rsid w:val="00F20C29"/>
    <w:rsid w:val="00F20EA4"/>
    <w:rsid w:val="00F21364"/>
    <w:rsid w:val="00F22A5E"/>
    <w:rsid w:val="00F22F67"/>
    <w:rsid w:val="00F243B1"/>
    <w:rsid w:val="00F24BBF"/>
    <w:rsid w:val="00F256D7"/>
    <w:rsid w:val="00F25F88"/>
    <w:rsid w:val="00F260DE"/>
    <w:rsid w:val="00F262FA"/>
    <w:rsid w:val="00F26B14"/>
    <w:rsid w:val="00F26C08"/>
    <w:rsid w:val="00F27658"/>
    <w:rsid w:val="00F27D8E"/>
    <w:rsid w:val="00F306DD"/>
    <w:rsid w:val="00F315E3"/>
    <w:rsid w:val="00F3172D"/>
    <w:rsid w:val="00F31776"/>
    <w:rsid w:val="00F31A67"/>
    <w:rsid w:val="00F31ED3"/>
    <w:rsid w:val="00F31EDF"/>
    <w:rsid w:val="00F3236F"/>
    <w:rsid w:val="00F325C3"/>
    <w:rsid w:val="00F32ABF"/>
    <w:rsid w:val="00F32BF6"/>
    <w:rsid w:val="00F33083"/>
    <w:rsid w:val="00F33A12"/>
    <w:rsid w:val="00F3470D"/>
    <w:rsid w:val="00F352A8"/>
    <w:rsid w:val="00F352D7"/>
    <w:rsid w:val="00F35796"/>
    <w:rsid w:val="00F358A3"/>
    <w:rsid w:val="00F35946"/>
    <w:rsid w:val="00F3672A"/>
    <w:rsid w:val="00F3692C"/>
    <w:rsid w:val="00F3712F"/>
    <w:rsid w:val="00F37432"/>
    <w:rsid w:val="00F37C4D"/>
    <w:rsid w:val="00F406C8"/>
    <w:rsid w:val="00F40D8B"/>
    <w:rsid w:val="00F40E59"/>
    <w:rsid w:val="00F40F8F"/>
    <w:rsid w:val="00F42DB0"/>
    <w:rsid w:val="00F42F74"/>
    <w:rsid w:val="00F43983"/>
    <w:rsid w:val="00F43F6D"/>
    <w:rsid w:val="00F444A6"/>
    <w:rsid w:val="00F4538E"/>
    <w:rsid w:val="00F45B8A"/>
    <w:rsid w:val="00F46B58"/>
    <w:rsid w:val="00F47388"/>
    <w:rsid w:val="00F47E9E"/>
    <w:rsid w:val="00F50759"/>
    <w:rsid w:val="00F51A91"/>
    <w:rsid w:val="00F52464"/>
    <w:rsid w:val="00F52629"/>
    <w:rsid w:val="00F526C4"/>
    <w:rsid w:val="00F52862"/>
    <w:rsid w:val="00F52E1C"/>
    <w:rsid w:val="00F53347"/>
    <w:rsid w:val="00F54D44"/>
    <w:rsid w:val="00F54E30"/>
    <w:rsid w:val="00F55E0B"/>
    <w:rsid w:val="00F5606A"/>
    <w:rsid w:val="00F561EA"/>
    <w:rsid w:val="00F56D3A"/>
    <w:rsid w:val="00F57807"/>
    <w:rsid w:val="00F606FF"/>
    <w:rsid w:val="00F608B6"/>
    <w:rsid w:val="00F60EA0"/>
    <w:rsid w:val="00F614C7"/>
    <w:rsid w:val="00F6162D"/>
    <w:rsid w:val="00F616F9"/>
    <w:rsid w:val="00F635A4"/>
    <w:rsid w:val="00F6364F"/>
    <w:rsid w:val="00F6386E"/>
    <w:rsid w:val="00F641C8"/>
    <w:rsid w:val="00F6425C"/>
    <w:rsid w:val="00F645C2"/>
    <w:rsid w:val="00F64AC3"/>
    <w:rsid w:val="00F65AC7"/>
    <w:rsid w:val="00F65D14"/>
    <w:rsid w:val="00F65FDD"/>
    <w:rsid w:val="00F66789"/>
    <w:rsid w:val="00F66A0E"/>
    <w:rsid w:val="00F672ED"/>
    <w:rsid w:val="00F675EE"/>
    <w:rsid w:val="00F67B82"/>
    <w:rsid w:val="00F67F00"/>
    <w:rsid w:val="00F71EDD"/>
    <w:rsid w:val="00F71F2A"/>
    <w:rsid w:val="00F729E1"/>
    <w:rsid w:val="00F73D49"/>
    <w:rsid w:val="00F7408D"/>
    <w:rsid w:val="00F743DE"/>
    <w:rsid w:val="00F74A39"/>
    <w:rsid w:val="00F74B6F"/>
    <w:rsid w:val="00F74B7B"/>
    <w:rsid w:val="00F751ED"/>
    <w:rsid w:val="00F7622C"/>
    <w:rsid w:val="00F77418"/>
    <w:rsid w:val="00F7749B"/>
    <w:rsid w:val="00F775ED"/>
    <w:rsid w:val="00F778AA"/>
    <w:rsid w:val="00F802E7"/>
    <w:rsid w:val="00F811AE"/>
    <w:rsid w:val="00F81285"/>
    <w:rsid w:val="00F81A03"/>
    <w:rsid w:val="00F82D83"/>
    <w:rsid w:val="00F831B1"/>
    <w:rsid w:val="00F8323A"/>
    <w:rsid w:val="00F8353D"/>
    <w:rsid w:val="00F84319"/>
    <w:rsid w:val="00F84420"/>
    <w:rsid w:val="00F8462A"/>
    <w:rsid w:val="00F8464A"/>
    <w:rsid w:val="00F847F3"/>
    <w:rsid w:val="00F84C3B"/>
    <w:rsid w:val="00F84C92"/>
    <w:rsid w:val="00F85368"/>
    <w:rsid w:val="00F8726F"/>
    <w:rsid w:val="00F91558"/>
    <w:rsid w:val="00F915BA"/>
    <w:rsid w:val="00F91817"/>
    <w:rsid w:val="00F91965"/>
    <w:rsid w:val="00F91B26"/>
    <w:rsid w:val="00F91D10"/>
    <w:rsid w:val="00F923DD"/>
    <w:rsid w:val="00F92441"/>
    <w:rsid w:val="00F930FE"/>
    <w:rsid w:val="00F95006"/>
    <w:rsid w:val="00F95D49"/>
    <w:rsid w:val="00F97221"/>
    <w:rsid w:val="00F97BE1"/>
    <w:rsid w:val="00FA09FF"/>
    <w:rsid w:val="00FA11DA"/>
    <w:rsid w:val="00FA1C3F"/>
    <w:rsid w:val="00FA39D8"/>
    <w:rsid w:val="00FA3B41"/>
    <w:rsid w:val="00FA59D8"/>
    <w:rsid w:val="00FA6662"/>
    <w:rsid w:val="00FA6F9E"/>
    <w:rsid w:val="00FA75BD"/>
    <w:rsid w:val="00FA7B27"/>
    <w:rsid w:val="00FB0CCF"/>
    <w:rsid w:val="00FB0CDC"/>
    <w:rsid w:val="00FB34FB"/>
    <w:rsid w:val="00FB3627"/>
    <w:rsid w:val="00FB386C"/>
    <w:rsid w:val="00FB38AE"/>
    <w:rsid w:val="00FB38BB"/>
    <w:rsid w:val="00FB3BFD"/>
    <w:rsid w:val="00FB430D"/>
    <w:rsid w:val="00FB441D"/>
    <w:rsid w:val="00FB4C65"/>
    <w:rsid w:val="00FB4D14"/>
    <w:rsid w:val="00FB68B0"/>
    <w:rsid w:val="00FB6A00"/>
    <w:rsid w:val="00FB6B33"/>
    <w:rsid w:val="00FC007D"/>
    <w:rsid w:val="00FC0A1F"/>
    <w:rsid w:val="00FC0B24"/>
    <w:rsid w:val="00FC11E1"/>
    <w:rsid w:val="00FC2EB0"/>
    <w:rsid w:val="00FC3600"/>
    <w:rsid w:val="00FC3FB3"/>
    <w:rsid w:val="00FC3FBD"/>
    <w:rsid w:val="00FC40CE"/>
    <w:rsid w:val="00FC4435"/>
    <w:rsid w:val="00FC4626"/>
    <w:rsid w:val="00FC50A9"/>
    <w:rsid w:val="00FC6257"/>
    <w:rsid w:val="00FC674F"/>
    <w:rsid w:val="00FC7199"/>
    <w:rsid w:val="00FD15AE"/>
    <w:rsid w:val="00FD1A1A"/>
    <w:rsid w:val="00FD2C33"/>
    <w:rsid w:val="00FD2ED2"/>
    <w:rsid w:val="00FD3DA3"/>
    <w:rsid w:val="00FD443B"/>
    <w:rsid w:val="00FD4F80"/>
    <w:rsid w:val="00FD5D97"/>
    <w:rsid w:val="00FD6C38"/>
    <w:rsid w:val="00FD6DB2"/>
    <w:rsid w:val="00FD6EF9"/>
    <w:rsid w:val="00FD7025"/>
    <w:rsid w:val="00FD7346"/>
    <w:rsid w:val="00FD7805"/>
    <w:rsid w:val="00FE0AEC"/>
    <w:rsid w:val="00FE1F5B"/>
    <w:rsid w:val="00FE258B"/>
    <w:rsid w:val="00FE3013"/>
    <w:rsid w:val="00FE34CA"/>
    <w:rsid w:val="00FE4710"/>
    <w:rsid w:val="00FE496B"/>
    <w:rsid w:val="00FE5430"/>
    <w:rsid w:val="00FE5AAC"/>
    <w:rsid w:val="00FE683B"/>
    <w:rsid w:val="00FE6873"/>
    <w:rsid w:val="00FE747F"/>
    <w:rsid w:val="00FE76D1"/>
    <w:rsid w:val="00FF0CAC"/>
    <w:rsid w:val="00FF1E17"/>
    <w:rsid w:val="00FF20B7"/>
    <w:rsid w:val="00FF2D39"/>
    <w:rsid w:val="00FF2D7B"/>
    <w:rsid w:val="00FF343F"/>
    <w:rsid w:val="00FF37C0"/>
    <w:rsid w:val="00FF4182"/>
    <w:rsid w:val="00FF473D"/>
    <w:rsid w:val="00FF4DDB"/>
    <w:rsid w:val="00FF5BE2"/>
    <w:rsid w:val="00FF6C1D"/>
    <w:rsid w:val="00FF75C8"/>
    <w:rsid w:val="00FF7BC9"/>
  </w:rsids>
  <m:mathPr>
    <m:mathFont m:val="Cambria Math"/>
    <m:brkBin m:val="before"/>
    <m:brkBinSub m:val="--"/>
    <m:smallFrac/>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95DF3"/>
  <w15:docId w15:val="{DC1E989D-2C93-4E72-BA0A-71B702B45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BE" w:eastAsia="fr-BE"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iPriority="99"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3E5"/>
    <w:pPr>
      <w:suppressAutoHyphens/>
      <w:spacing w:before="160" w:line="288" w:lineRule="auto"/>
      <w:jc w:val="both"/>
    </w:pPr>
    <w:rPr>
      <w:rFonts w:ascii="Arial" w:hAnsi="Arial"/>
      <w:sz w:val="20"/>
      <w:lang w:val="en-GB" w:eastAsia="en-US"/>
    </w:rPr>
  </w:style>
  <w:style w:type="paragraph" w:styleId="Heading1">
    <w:name w:val="heading 1"/>
    <w:basedOn w:val="Normal"/>
    <w:next w:val="Normal"/>
    <w:link w:val="Heading1Char"/>
    <w:uiPriority w:val="1"/>
    <w:qFormat/>
    <w:rsid w:val="00EE1579"/>
    <w:pPr>
      <w:keepNext/>
      <w:pageBreakBefore/>
      <w:numPr>
        <w:numId w:val="15"/>
      </w:numPr>
      <w:pBdr>
        <w:bottom w:val="single" w:sz="2" w:space="1" w:color="000080"/>
      </w:pBdr>
      <w:spacing w:before="120" w:after="480"/>
      <w:outlineLvl w:val="0"/>
    </w:pPr>
    <w:rPr>
      <w:b/>
      <w:caps/>
      <w:color w:val="000080"/>
      <w:sz w:val="24"/>
    </w:rPr>
  </w:style>
  <w:style w:type="paragraph" w:styleId="Heading2">
    <w:name w:val="heading 2"/>
    <w:basedOn w:val="Normal"/>
    <w:next w:val="Normal"/>
    <w:link w:val="Heading2Char"/>
    <w:uiPriority w:val="1"/>
    <w:qFormat/>
    <w:rsid w:val="00EE1579"/>
    <w:pPr>
      <w:keepNext/>
      <w:keepLines/>
      <w:numPr>
        <w:ilvl w:val="1"/>
        <w:numId w:val="15"/>
      </w:numPr>
      <w:spacing w:before="480"/>
      <w:outlineLvl w:val="1"/>
    </w:pPr>
    <w:rPr>
      <w:b/>
      <w:smallCaps/>
      <w:color w:val="000080"/>
      <w:sz w:val="22"/>
    </w:rPr>
  </w:style>
  <w:style w:type="paragraph" w:styleId="Heading3">
    <w:name w:val="heading 3"/>
    <w:basedOn w:val="Normal"/>
    <w:next w:val="Normal"/>
    <w:link w:val="Heading3Char"/>
    <w:uiPriority w:val="1"/>
    <w:qFormat/>
    <w:rsid w:val="00CE05B3"/>
    <w:pPr>
      <w:keepNext/>
      <w:keepLines/>
      <w:numPr>
        <w:ilvl w:val="2"/>
        <w:numId w:val="15"/>
      </w:numPr>
      <w:spacing w:before="240"/>
      <w:outlineLvl w:val="2"/>
    </w:pPr>
    <w:rPr>
      <w:b/>
      <w:color w:val="000080"/>
    </w:rPr>
  </w:style>
  <w:style w:type="paragraph" w:styleId="Heading4">
    <w:name w:val="heading 4"/>
    <w:basedOn w:val="Normal"/>
    <w:next w:val="Normal"/>
    <w:link w:val="Heading4Char"/>
    <w:uiPriority w:val="9"/>
    <w:qFormat/>
    <w:rsid w:val="009071DB"/>
    <w:pPr>
      <w:keepNext/>
      <w:keepLines/>
      <w:numPr>
        <w:ilvl w:val="3"/>
        <w:numId w:val="15"/>
      </w:numPr>
      <w:spacing w:before="240"/>
      <w:outlineLvl w:val="3"/>
    </w:pPr>
    <w:rPr>
      <w:color w:val="000080"/>
    </w:rPr>
  </w:style>
  <w:style w:type="paragraph" w:styleId="Heading5">
    <w:name w:val="heading 5"/>
    <w:basedOn w:val="Heading1"/>
    <w:next w:val="Normal"/>
    <w:link w:val="Heading5Char"/>
    <w:autoRedefine/>
    <w:uiPriority w:val="9"/>
    <w:qFormat/>
    <w:rsid w:val="00CD502E"/>
    <w:pPr>
      <w:pageBreakBefore w:val="0"/>
      <w:numPr>
        <w:ilvl w:val="4"/>
      </w:numPr>
      <w:pBdr>
        <w:bottom w:val="none" w:sz="0" w:space="0" w:color="auto"/>
      </w:pBdr>
      <w:spacing w:before="200" w:after="0"/>
      <w:outlineLvl w:val="4"/>
    </w:pPr>
    <w:rPr>
      <w:bCs/>
      <w:i/>
      <w:iCs/>
      <w:caps w:val="0"/>
      <w:sz w:val="21"/>
      <w:szCs w:val="21"/>
    </w:rPr>
  </w:style>
  <w:style w:type="paragraph" w:styleId="Heading6">
    <w:name w:val="heading 6"/>
    <w:basedOn w:val="Normal"/>
    <w:next w:val="Normal"/>
    <w:link w:val="Heading6Char"/>
    <w:uiPriority w:val="9"/>
    <w:qFormat/>
    <w:rsid w:val="005B2236"/>
    <w:pPr>
      <w:numPr>
        <w:ilvl w:val="5"/>
        <w:numId w:val="15"/>
      </w:numPr>
      <w:spacing w:before="240"/>
      <w:outlineLvl w:val="5"/>
    </w:pPr>
    <w:rPr>
      <w:b/>
    </w:rPr>
  </w:style>
  <w:style w:type="paragraph" w:styleId="Heading7">
    <w:name w:val="heading 7"/>
    <w:basedOn w:val="Normal"/>
    <w:next w:val="Normal"/>
    <w:link w:val="Heading7Char"/>
    <w:uiPriority w:val="9"/>
    <w:qFormat/>
    <w:rsid w:val="005B2236"/>
    <w:pPr>
      <w:numPr>
        <w:ilvl w:val="6"/>
        <w:numId w:val="15"/>
      </w:numPr>
      <w:outlineLvl w:val="6"/>
    </w:pPr>
    <w:rPr>
      <w:b/>
    </w:rPr>
  </w:style>
  <w:style w:type="paragraph" w:styleId="Heading8">
    <w:name w:val="heading 8"/>
    <w:basedOn w:val="Normal"/>
    <w:next w:val="Normal"/>
    <w:link w:val="Heading8Char"/>
    <w:uiPriority w:val="9"/>
    <w:qFormat/>
    <w:rsid w:val="005B2236"/>
    <w:pPr>
      <w:numPr>
        <w:ilvl w:val="7"/>
        <w:numId w:val="15"/>
      </w:numPr>
      <w:outlineLvl w:val="7"/>
    </w:pPr>
    <w:rPr>
      <w:i/>
    </w:rPr>
  </w:style>
  <w:style w:type="paragraph" w:styleId="Heading9">
    <w:name w:val="heading 9"/>
    <w:basedOn w:val="Normal"/>
    <w:next w:val="Normal"/>
    <w:link w:val="Heading9Char"/>
    <w:uiPriority w:val="9"/>
    <w:qFormat/>
    <w:rsid w:val="005B2236"/>
    <w:pPr>
      <w:numPr>
        <w:ilvl w:val="8"/>
        <w:numId w:val="15"/>
      </w:numPr>
      <w:spacing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E1579"/>
    <w:rPr>
      <w:rFonts w:ascii="Arial" w:hAnsi="Arial"/>
      <w:b/>
      <w:caps/>
      <w:color w:val="000080"/>
      <w:lang w:val="en-GB" w:eastAsia="en-US"/>
    </w:rPr>
  </w:style>
  <w:style w:type="character" w:customStyle="1" w:styleId="Heading2Char">
    <w:name w:val="Heading 2 Char"/>
    <w:basedOn w:val="DefaultParagraphFont"/>
    <w:link w:val="Heading2"/>
    <w:uiPriority w:val="1"/>
    <w:rsid w:val="00EE1579"/>
    <w:rPr>
      <w:rFonts w:ascii="Arial" w:hAnsi="Arial"/>
      <w:b/>
      <w:smallCaps/>
      <w:color w:val="000080"/>
      <w:sz w:val="22"/>
      <w:lang w:val="en-GB" w:eastAsia="en-US"/>
    </w:rPr>
  </w:style>
  <w:style w:type="character" w:customStyle="1" w:styleId="Heading3Char">
    <w:name w:val="Heading 3 Char"/>
    <w:basedOn w:val="DefaultParagraphFont"/>
    <w:link w:val="Heading3"/>
    <w:uiPriority w:val="1"/>
    <w:rsid w:val="00AA6A73"/>
    <w:rPr>
      <w:rFonts w:ascii="Arial" w:hAnsi="Arial"/>
      <w:b/>
      <w:color w:val="000080"/>
      <w:sz w:val="20"/>
      <w:lang w:val="en-GB" w:eastAsia="en-US"/>
    </w:rPr>
  </w:style>
  <w:style w:type="character" w:customStyle="1" w:styleId="Heading4Char">
    <w:name w:val="Heading 4 Char"/>
    <w:basedOn w:val="DefaultParagraphFont"/>
    <w:link w:val="Heading4"/>
    <w:uiPriority w:val="9"/>
    <w:rsid w:val="009071DB"/>
    <w:rPr>
      <w:rFonts w:ascii="Arial" w:hAnsi="Arial"/>
      <w:color w:val="000080"/>
      <w:sz w:val="20"/>
      <w:lang w:val="en-GB" w:eastAsia="en-US"/>
    </w:rPr>
  </w:style>
  <w:style w:type="character" w:customStyle="1" w:styleId="Heading5Char">
    <w:name w:val="Heading 5 Char"/>
    <w:basedOn w:val="DefaultParagraphFont"/>
    <w:link w:val="Heading5"/>
    <w:uiPriority w:val="9"/>
    <w:rsid w:val="00FB386C"/>
    <w:rPr>
      <w:rFonts w:ascii="Arial" w:hAnsi="Arial"/>
      <w:b/>
      <w:bCs/>
      <w:i/>
      <w:iCs/>
      <w:color w:val="000080"/>
      <w:sz w:val="21"/>
      <w:szCs w:val="21"/>
      <w:lang w:val="en-GB" w:eastAsia="en-US"/>
    </w:rPr>
  </w:style>
  <w:style w:type="character" w:customStyle="1" w:styleId="Heading6Char">
    <w:name w:val="Heading 6 Char"/>
    <w:basedOn w:val="DefaultParagraphFont"/>
    <w:link w:val="Heading6"/>
    <w:uiPriority w:val="9"/>
    <w:rsid w:val="00FB386C"/>
    <w:rPr>
      <w:rFonts w:ascii="Arial" w:hAnsi="Arial"/>
      <w:b/>
      <w:sz w:val="20"/>
      <w:lang w:val="en-GB" w:eastAsia="en-US"/>
    </w:rPr>
  </w:style>
  <w:style w:type="character" w:customStyle="1" w:styleId="Heading7Char">
    <w:name w:val="Heading 7 Char"/>
    <w:basedOn w:val="DefaultParagraphFont"/>
    <w:link w:val="Heading7"/>
    <w:uiPriority w:val="9"/>
    <w:rsid w:val="00FB386C"/>
    <w:rPr>
      <w:rFonts w:ascii="Arial" w:hAnsi="Arial"/>
      <w:b/>
      <w:sz w:val="20"/>
      <w:lang w:val="en-GB" w:eastAsia="en-US"/>
    </w:rPr>
  </w:style>
  <w:style w:type="character" w:customStyle="1" w:styleId="Heading8Char">
    <w:name w:val="Heading 8 Char"/>
    <w:basedOn w:val="DefaultParagraphFont"/>
    <w:link w:val="Heading8"/>
    <w:uiPriority w:val="9"/>
    <w:rsid w:val="00405CCC"/>
    <w:rPr>
      <w:rFonts w:ascii="Arial" w:hAnsi="Arial"/>
      <w:i/>
      <w:sz w:val="20"/>
      <w:lang w:val="en-GB" w:eastAsia="en-US"/>
    </w:rPr>
  </w:style>
  <w:style w:type="character" w:customStyle="1" w:styleId="Heading9Char">
    <w:name w:val="Heading 9 Char"/>
    <w:basedOn w:val="DefaultParagraphFont"/>
    <w:link w:val="Heading9"/>
    <w:uiPriority w:val="9"/>
    <w:rsid w:val="00FB386C"/>
    <w:rPr>
      <w:rFonts w:ascii="Arial" w:hAnsi="Arial"/>
      <w:b/>
      <w:i/>
      <w:sz w:val="18"/>
      <w:lang w:val="en-GB" w:eastAsia="en-US"/>
    </w:rPr>
  </w:style>
  <w:style w:type="paragraph" w:styleId="Caption">
    <w:name w:val="caption"/>
    <w:aliases w:val="Caption_HCL"/>
    <w:basedOn w:val="Normal"/>
    <w:next w:val="Normal"/>
    <w:link w:val="CaptionChar"/>
    <w:uiPriority w:val="35"/>
    <w:qFormat/>
    <w:rsid w:val="005B2236"/>
    <w:pPr>
      <w:spacing w:before="120" w:after="120" w:line="240" w:lineRule="exact"/>
      <w:jc w:val="center"/>
    </w:pPr>
    <w:rPr>
      <w:i/>
    </w:rPr>
  </w:style>
  <w:style w:type="character" w:customStyle="1" w:styleId="CaptionChar">
    <w:name w:val="Caption Char"/>
    <w:aliases w:val="Caption_HCL Char"/>
    <w:basedOn w:val="DefaultParagraphFont"/>
    <w:link w:val="Caption"/>
    <w:uiPriority w:val="35"/>
    <w:rsid w:val="009D3AC0"/>
    <w:rPr>
      <w:rFonts w:ascii="Arial" w:hAnsi="Arial"/>
      <w:i/>
      <w:sz w:val="21"/>
      <w:lang w:val="en-GB" w:eastAsia="en-US"/>
    </w:rPr>
  </w:style>
  <w:style w:type="paragraph" w:styleId="TOC1">
    <w:name w:val="toc 1"/>
    <w:basedOn w:val="Normal"/>
    <w:next w:val="Normal"/>
    <w:autoRedefine/>
    <w:uiPriority w:val="39"/>
    <w:rsid w:val="00B8421F"/>
    <w:pPr>
      <w:keepNext/>
      <w:tabs>
        <w:tab w:val="left" w:pos="709"/>
        <w:tab w:val="right" w:leader="dot" w:pos="9354"/>
      </w:tabs>
      <w:spacing w:before="240"/>
      <w:ind w:left="426" w:hanging="426"/>
      <w:jc w:val="left"/>
    </w:pPr>
    <w:rPr>
      <w:b/>
      <w:smallCaps/>
      <w:noProof/>
      <w:color w:val="000080"/>
      <w:szCs w:val="20"/>
    </w:rPr>
  </w:style>
  <w:style w:type="paragraph" w:styleId="TOC2">
    <w:name w:val="toc 2"/>
    <w:basedOn w:val="Normal"/>
    <w:next w:val="Normal"/>
    <w:autoRedefine/>
    <w:uiPriority w:val="39"/>
    <w:rsid w:val="003057F5"/>
    <w:pPr>
      <w:tabs>
        <w:tab w:val="left" w:pos="993"/>
        <w:tab w:val="right" w:leader="dot" w:pos="9356"/>
      </w:tabs>
      <w:spacing w:before="60"/>
      <w:ind w:left="993" w:right="-2" w:hanging="567"/>
      <w:jc w:val="left"/>
    </w:pPr>
    <w:rPr>
      <w:noProof/>
    </w:rPr>
  </w:style>
  <w:style w:type="paragraph" w:styleId="TOC3">
    <w:name w:val="toc 3"/>
    <w:basedOn w:val="Normal"/>
    <w:next w:val="Normal"/>
    <w:autoRedefine/>
    <w:uiPriority w:val="39"/>
    <w:rsid w:val="005B2236"/>
    <w:pPr>
      <w:tabs>
        <w:tab w:val="left" w:pos="1560"/>
        <w:tab w:val="right" w:leader="dot" w:pos="9345"/>
      </w:tabs>
      <w:spacing w:before="0"/>
      <w:ind w:left="1559" w:hanging="567"/>
      <w:jc w:val="left"/>
    </w:pPr>
    <w:rPr>
      <w:rFonts w:ascii="Arial Narrow" w:hAnsi="Arial Narrow"/>
      <w:i/>
      <w:noProof/>
    </w:rPr>
  </w:style>
  <w:style w:type="paragraph" w:customStyle="1" w:styleId="Bullets">
    <w:name w:val="Bullets"/>
    <w:basedOn w:val="Normal"/>
    <w:uiPriority w:val="99"/>
    <w:rsid w:val="00EE6F4D"/>
    <w:pPr>
      <w:numPr>
        <w:numId w:val="1"/>
      </w:numPr>
      <w:spacing w:before="60"/>
    </w:pPr>
  </w:style>
  <w:style w:type="paragraph" w:customStyle="1" w:styleId="TableText">
    <w:name w:val="Table Text"/>
    <w:basedOn w:val="Normal"/>
    <w:link w:val="TableTextChar"/>
    <w:rsid w:val="004271AC"/>
    <w:pPr>
      <w:spacing w:before="40"/>
      <w:jc w:val="left"/>
    </w:pPr>
    <w:rPr>
      <w:rFonts w:ascii="Arial Narrow" w:hAnsi="Arial Narrow"/>
      <w:sz w:val="22"/>
      <w:lang w:eastAsia="en-GB"/>
    </w:rPr>
  </w:style>
  <w:style w:type="character" w:customStyle="1" w:styleId="TableTextChar">
    <w:name w:val="Table Text Char"/>
    <w:basedOn w:val="DefaultParagraphFont"/>
    <w:link w:val="TableText"/>
    <w:locked/>
    <w:rsid w:val="009D3AC0"/>
    <w:rPr>
      <w:rFonts w:ascii="Arial Narrow" w:hAnsi="Arial Narrow"/>
      <w:sz w:val="22"/>
      <w:lang w:val="en-GB" w:eastAsia="en-GB"/>
    </w:rPr>
  </w:style>
  <w:style w:type="paragraph" w:customStyle="1" w:styleId="TableHeading">
    <w:name w:val="Table Heading"/>
    <w:basedOn w:val="TableText"/>
    <w:link w:val="TableHeadingChar"/>
    <w:rsid w:val="00C630F4"/>
    <w:pPr>
      <w:keepNext/>
      <w:spacing w:after="40" w:line="240" w:lineRule="auto"/>
      <w:jc w:val="center"/>
    </w:pPr>
    <w:rPr>
      <w:smallCaps/>
      <w:color w:val="000080"/>
    </w:rPr>
  </w:style>
  <w:style w:type="character" w:customStyle="1" w:styleId="TableHeadingChar">
    <w:name w:val="Table Heading Char"/>
    <w:basedOn w:val="DefaultParagraphFont"/>
    <w:link w:val="TableHeading"/>
    <w:locked/>
    <w:rsid w:val="009D3AC0"/>
    <w:rPr>
      <w:rFonts w:ascii="Arial Narrow" w:hAnsi="Arial Narrow"/>
      <w:smallCaps/>
      <w:color w:val="000080"/>
      <w:sz w:val="22"/>
      <w:lang w:val="en-GB" w:eastAsia="en-GB"/>
    </w:rPr>
  </w:style>
  <w:style w:type="paragraph" w:styleId="Footer">
    <w:name w:val="footer"/>
    <w:basedOn w:val="Normal"/>
    <w:link w:val="FooterChar"/>
    <w:uiPriority w:val="99"/>
    <w:rsid w:val="005B2236"/>
    <w:pPr>
      <w:pBdr>
        <w:top w:val="single" w:sz="2" w:space="3" w:color="auto"/>
      </w:pBdr>
      <w:tabs>
        <w:tab w:val="right" w:pos="9356"/>
      </w:tabs>
      <w:spacing w:before="0" w:line="240" w:lineRule="auto"/>
      <w:jc w:val="left"/>
    </w:pPr>
    <w:rPr>
      <w:bCs/>
      <w:sz w:val="16"/>
    </w:rPr>
  </w:style>
  <w:style w:type="character" w:customStyle="1" w:styleId="FooterChar">
    <w:name w:val="Footer Char"/>
    <w:basedOn w:val="DefaultParagraphFont"/>
    <w:link w:val="Footer"/>
    <w:uiPriority w:val="99"/>
    <w:locked/>
    <w:rsid w:val="009D3AC0"/>
    <w:rPr>
      <w:rFonts w:ascii="Arial" w:hAnsi="Arial"/>
      <w:bCs/>
      <w:sz w:val="16"/>
      <w:lang w:val="en-GB" w:eastAsia="en-US"/>
    </w:rPr>
  </w:style>
  <w:style w:type="paragraph" w:styleId="Header">
    <w:name w:val="header"/>
    <w:basedOn w:val="Normal"/>
    <w:link w:val="HeaderChar"/>
    <w:rsid w:val="005B2236"/>
    <w:pPr>
      <w:pBdr>
        <w:bottom w:val="single" w:sz="2" w:space="4" w:color="auto"/>
      </w:pBdr>
      <w:tabs>
        <w:tab w:val="right" w:pos="9356"/>
      </w:tabs>
      <w:spacing w:before="0"/>
      <w:jc w:val="left"/>
    </w:pPr>
    <w:rPr>
      <w:rFonts w:ascii="Arial Narrow" w:hAnsi="Arial Narrow"/>
      <w:sz w:val="16"/>
      <w:lang w:val="en-US"/>
    </w:rPr>
  </w:style>
  <w:style w:type="character" w:customStyle="1" w:styleId="HeaderChar">
    <w:name w:val="Header Char"/>
    <w:basedOn w:val="DefaultParagraphFont"/>
    <w:link w:val="Header"/>
    <w:rsid w:val="00405CCC"/>
    <w:rPr>
      <w:rFonts w:ascii="Arial Narrow" w:hAnsi="Arial Narrow"/>
      <w:sz w:val="16"/>
      <w:lang w:val="en-US" w:eastAsia="en-US"/>
    </w:rPr>
  </w:style>
  <w:style w:type="paragraph" w:styleId="TOC4">
    <w:name w:val="toc 4"/>
    <w:basedOn w:val="Normal"/>
    <w:next w:val="Normal"/>
    <w:autoRedefine/>
    <w:uiPriority w:val="39"/>
    <w:rsid w:val="00E043AF"/>
    <w:pPr>
      <w:tabs>
        <w:tab w:val="left" w:pos="1559"/>
        <w:tab w:val="right" w:leader="dot" w:pos="9344"/>
      </w:tabs>
      <w:spacing w:before="0"/>
      <w:ind w:left="720"/>
      <w:jc w:val="left"/>
    </w:pPr>
    <w:rPr>
      <w:rFonts w:ascii="Times New Roman" w:hAnsi="Times New Roman"/>
    </w:rPr>
  </w:style>
  <w:style w:type="paragraph" w:styleId="TOC5">
    <w:name w:val="toc 5"/>
    <w:basedOn w:val="Normal"/>
    <w:next w:val="Normal"/>
    <w:autoRedefine/>
    <w:uiPriority w:val="39"/>
    <w:rsid w:val="005B2236"/>
    <w:pPr>
      <w:tabs>
        <w:tab w:val="left" w:pos="993"/>
        <w:tab w:val="right" w:leader="dot" w:pos="9344"/>
      </w:tabs>
      <w:spacing w:before="0" w:after="120"/>
      <w:ind w:left="992" w:right="284" w:hanging="992"/>
      <w:jc w:val="left"/>
    </w:pPr>
    <w:rPr>
      <w:rFonts w:cs="Arial"/>
      <w:noProof/>
    </w:rPr>
  </w:style>
  <w:style w:type="paragraph" w:styleId="TOC6">
    <w:name w:val="toc 6"/>
    <w:basedOn w:val="Normal"/>
    <w:next w:val="Normal"/>
    <w:autoRedefine/>
    <w:uiPriority w:val="39"/>
    <w:rsid w:val="005B2236"/>
    <w:pPr>
      <w:spacing w:before="0"/>
      <w:ind w:left="840"/>
      <w:jc w:val="left"/>
    </w:pPr>
    <w:rPr>
      <w:rFonts w:ascii="Times New Roman" w:hAnsi="Times New Roman"/>
    </w:rPr>
  </w:style>
  <w:style w:type="paragraph" w:styleId="TOC7">
    <w:name w:val="toc 7"/>
    <w:basedOn w:val="Normal"/>
    <w:next w:val="Normal"/>
    <w:autoRedefine/>
    <w:uiPriority w:val="39"/>
    <w:rsid w:val="005B2236"/>
    <w:pPr>
      <w:spacing w:before="0"/>
      <w:ind w:left="1050"/>
      <w:jc w:val="left"/>
    </w:pPr>
    <w:rPr>
      <w:rFonts w:ascii="Times New Roman" w:hAnsi="Times New Roman"/>
    </w:rPr>
  </w:style>
  <w:style w:type="paragraph" w:styleId="TOC8">
    <w:name w:val="toc 8"/>
    <w:basedOn w:val="Normal"/>
    <w:next w:val="Normal"/>
    <w:autoRedefine/>
    <w:uiPriority w:val="39"/>
    <w:rsid w:val="005B2236"/>
    <w:pPr>
      <w:spacing w:before="0"/>
      <w:ind w:left="1260"/>
      <w:jc w:val="left"/>
    </w:pPr>
    <w:rPr>
      <w:rFonts w:ascii="Times New Roman" w:hAnsi="Times New Roman"/>
    </w:rPr>
  </w:style>
  <w:style w:type="paragraph" w:styleId="TOC9">
    <w:name w:val="toc 9"/>
    <w:basedOn w:val="Normal"/>
    <w:next w:val="Normal"/>
    <w:autoRedefine/>
    <w:uiPriority w:val="39"/>
    <w:rsid w:val="005B2236"/>
    <w:pPr>
      <w:spacing w:before="0"/>
      <w:ind w:left="1470"/>
      <w:jc w:val="left"/>
    </w:pPr>
    <w:rPr>
      <w:rFonts w:ascii="Times New Roman" w:hAnsi="Times New Roman"/>
    </w:rPr>
  </w:style>
  <w:style w:type="paragraph" w:customStyle="1" w:styleId="AppH1">
    <w:name w:val="App H1"/>
    <w:next w:val="Normal"/>
    <w:rsid w:val="00FA11DA"/>
    <w:pPr>
      <w:pageBreakBefore/>
      <w:numPr>
        <w:numId w:val="3"/>
      </w:numPr>
      <w:pBdr>
        <w:bottom w:val="single" w:sz="2" w:space="3" w:color="C0C0C0"/>
      </w:pBdr>
      <w:spacing w:after="240"/>
      <w:jc w:val="center"/>
    </w:pPr>
    <w:rPr>
      <w:rFonts w:ascii="Arial" w:hAnsi="Arial"/>
      <w:b/>
      <w:smallCaps/>
      <w:noProof/>
      <w:color w:val="000080"/>
      <w:sz w:val="22"/>
      <w:lang w:val="en-US" w:eastAsia="en-US"/>
    </w:rPr>
  </w:style>
  <w:style w:type="paragraph" w:styleId="TableofAuthorities">
    <w:name w:val="table of authorities"/>
    <w:basedOn w:val="Normal"/>
    <w:next w:val="Normal"/>
    <w:semiHidden/>
    <w:rsid w:val="005B2236"/>
    <w:pPr>
      <w:ind w:left="200" w:hanging="200"/>
    </w:pPr>
  </w:style>
  <w:style w:type="character" w:styleId="EndnoteReference">
    <w:name w:val="endnote reference"/>
    <w:basedOn w:val="DefaultParagraphFont"/>
    <w:semiHidden/>
    <w:rsid w:val="005B2236"/>
    <w:rPr>
      <w:noProof w:val="0"/>
      <w:vertAlign w:val="superscript"/>
      <w:lang w:val="en-GB"/>
    </w:rPr>
  </w:style>
  <w:style w:type="paragraph" w:styleId="EndnoteText">
    <w:name w:val="endnote text"/>
    <w:basedOn w:val="Normal"/>
    <w:link w:val="EndnoteTextChar"/>
    <w:semiHidden/>
    <w:rsid w:val="005B2236"/>
  </w:style>
  <w:style w:type="character" w:customStyle="1" w:styleId="EndnoteTextChar">
    <w:name w:val="Endnote Text Char"/>
    <w:basedOn w:val="DefaultParagraphFont"/>
    <w:link w:val="EndnoteText"/>
    <w:semiHidden/>
    <w:rsid w:val="00FB386C"/>
    <w:rPr>
      <w:rFonts w:ascii="Arial" w:hAnsi="Arial"/>
      <w:sz w:val="21"/>
      <w:lang w:val="en-GB" w:eastAsia="en-US"/>
    </w:rPr>
  </w:style>
  <w:style w:type="character" w:styleId="FollowedHyperlink">
    <w:name w:val="FollowedHyperlink"/>
    <w:basedOn w:val="DefaultParagraphFont"/>
    <w:uiPriority w:val="99"/>
    <w:rsid w:val="005B2236"/>
    <w:rPr>
      <w:noProof w:val="0"/>
      <w:color w:val="800080"/>
      <w:u w:val="single"/>
      <w:lang w:val="en-GB"/>
    </w:rPr>
  </w:style>
  <w:style w:type="character" w:styleId="Hyperlink">
    <w:name w:val="Hyperlink"/>
    <w:aliases w:val="min"/>
    <w:basedOn w:val="DefaultParagraphFont"/>
    <w:uiPriority w:val="99"/>
    <w:rsid w:val="005B2236"/>
    <w:rPr>
      <w:noProof w:val="0"/>
      <w:color w:val="0000FF"/>
      <w:u w:val="single"/>
      <w:lang w:val="en-GB"/>
    </w:rPr>
  </w:style>
  <w:style w:type="paragraph" w:styleId="IndexHeading">
    <w:name w:val="index heading"/>
    <w:basedOn w:val="Normal"/>
    <w:next w:val="Normal"/>
    <w:semiHidden/>
    <w:rsid w:val="005B2236"/>
    <w:rPr>
      <w:b/>
    </w:rPr>
  </w:style>
  <w:style w:type="paragraph" w:styleId="TableofFigures">
    <w:name w:val="table of figures"/>
    <w:basedOn w:val="Normal"/>
    <w:next w:val="Normal"/>
    <w:uiPriority w:val="99"/>
    <w:rsid w:val="00B8421F"/>
    <w:pPr>
      <w:ind w:left="400" w:hanging="400"/>
    </w:pPr>
  </w:style>
  <w:style w:type="paragraph" w:styleId="Subtitle">
    <w:name w:val="Subtitle"/>
    <w:basedOn w:val="Normal"/>
    <w:link w:val="SubtitleChar"/>
    <w:qFormat/>
    <w:rsid w:val="005B2236"/>
    <w:pPr>
      <w:spacing w:after="60"/>
      <w:jc w:val="center"/>
      <w:outlineLvl w:val="1"/>
    </w:pPr>
    <w:rPr>
      <w:sz w:val="24"/>
    </w:rPr>
  </w:style>
  <w:style w:type="character" w:customStyle="1" w:styleId="SubtitleChar">
    <w:name w:val="Subtitle Char"/>
    <w:basedOn w:val="DefaultParagraphFont"/>
    <w:link w:val="Subtitle"/>
    <w:rsid w:val="00FB386C"/>
    <w:rPr>
      <w:rFonts w:ascii="Arial" w:hAnsi="Arial"/>
      <w:sz w:val="24"/>
      <w:lang w:val="en-GB" w:eastAsia="en-US"/>
    </w:rPr>
  </w:style>
  <w:style w:type="paragraph" w:styleId="CommentText">
    <w:name w:val="annotation text"/>
    <w:basedOn w:val="Normal"/>
    <w:link w:val="CommentTextChar"/>
    <w:rsid w:val="005B2236"/>
  </w:style>
  <w:style w:type="character" w:customStyle="1" w:styleId="CommentTextChar">
    <w:name w:val="Comment Text Char"/>
    <w:basedOn w:val="DefaultParagraphFont"/>
    <w:link w:val="CommentText"/>
    <w:rsid w:val="00946001"/>
    <w:rPr>
      <w:rFonts w:ascii="Arial" w:hAnsi="Arial"/>
      <w:sz w:val="21"/>
      <w:lang w:eastAsia="en-US"/>
    </w:rPr>
  </w:style>
  <w:style w:type="paragraph" w:styleId="Title">
    <w:name w:val="Title"/>
    <w:basedOn w:val="Normal"/>
    <w:link w:val="TitleChar"/>
    <w:qFormat/>
    <w:rsid w:val="005B2236"/>
    <w:pPr>
      <w:tabs>
        <w:tab w:val="left" w:pos="482"/>
      </w:tabs>
      <w:spacing w:before="480"/>
      <w:ind w:left="425" w:hanging="425"/>
      <w:jc w:val="left"/>
      <w:outlineLvl w:val="0"/>
    </w:pPr>
    <w:rPr>
      <w:bCs/>
      <w:i/>
      <w:iCs/>
      <w:color w:val="FFFFFF"/>
      <w:kern w:val="28"/>
      <w:sz w:val="40"/>
      <w:szCs w:val="40"/>
    </w:rPr>
  </w:style>
  <w:style w:type="character" w:customStyle="1" w:styleId="TitleChar">
    <w:name w:val="Title Char"/>
    <w:basedOn w:val="DefaultParagraphFont"/>
    <w:link w:val="Title"/>
    <w:rsid w:val="00FB386C"/>
    <w:rPr>
      <w:rFonts w:ascii="Arial" w:hAnsi="Arial"/>
      <w:bCs/>
      <w:i/>
      <w:iCs/>
      <w:color w:val="FFFFFF"/>
      <w:kern w:val="28"/>
      <w:sz w:val="40"/>
      <w:szCs w:val="40"/>
      <w:lang w:val="en-GB" w:eastAsia="en-US"/>
    </w:rPr>
  </w:style>
  <w:style w:type="character" w:styleId="CommentReference">
    <w:name w:val="annotation reference"/>
    <w:basedOn w:val="DefaultParagraphFont"/>
    <w:uiPriority w:val="99"/>
    <w:rsid w:val="005B2236"/>
    <w:rPr>
      <w:sz w:val="16"/>
    </w:rPr>
  </w:style>
  <w:style w:type="character" w:styleId="FootnoteReference">
    <w:name w:val="footnote reference"/>
    <w:aliases w:val="BVI fnr,ftref,BVI fnr Car Car,BVI fnr Car,BVI fnr Car Car Car Car,Footnote Reference ok,16 Point,Superscript 6 Point,Superscript 6 Point + 11 pt,Footnote Reference Char Char Char,o, BVI fnr, BVI fnr Car Car, BVI fnr Car Car Car Car,fr"/>
    <w:basedOn w:val="DefaultParagraphFont"/>
    <w:uiPriority w:val="99"/>
    <w:rsid w:val="005B2236"/>
    <w:rPr>
      <w:vertAlign w:val="superscript"/>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Footnote Text Char Char1 Char"/>
    <w:basedOn w:val="Normal"/>
    <w:link w:val="FootnoteTextChar"/>
    <w:uiPriority w:val="99"/>
    <w:rsid w:val="005B2236"/>
    <w:pPr>
      <w:spacing w:before="120"/>
      <w:ind w:left="284" w:hanging="284"/>
    </w:pPr>
    <w:rPr>
      <w:sz w:val="18"/>
      <w:szCs w:val="18"/>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Footnote Text Char Char1 Char Char"/>
    <w:basedOn w:val="DefaultParagraphFont"/>
    <w:link w:val="FootnoteText"/>
    <w:uiPriority w:val="99"/>
    <w:rsid w:val="00405CCC"/>
    <w:rPr>
      <w:rFonts w:ascii="Arial" w:hAnsi="Arial"/>
      <w:sz w:val="18"/>
      <w:szCs w:val="18"/>
      <w:lang w:eastAsia="en-US"/>
    </w:rPr>
  </w:style>
  <w:style w:type="paragraph" w:customStyle="1" w:styleId="Legend">
    <w:name w:val="Legend"/>
    <w:basedOn w:val="FootnoteText"/>
    <w:rsid w:val="005B2236"/>
    <w:pPr>
      <w:ind w:left="0" w:firstLine="0"/>
      <w:jc w:val="right"/>
    </w:pPr>
    <w:rPr>
      <w:i/>
      <w:iCs/>
    </w:rPr>
  </w:style>
  <w:style w:type="paragraph" w:customStyle="1" w:styleId="Tablebullets0">
    <w:name w:val="Table bullets"/>
    <w:basedOn w:val="TableText"/>
    <w:rsid w:val="00C630F4"/>
    <w:pPr>
      <w:numPr>
        <w:numId w:val="2"/>
      </w:numPr>
    </w:pPr>
  </w:style>
  <w:style w:type="paragraph" w:customStyle="1" w:styleId="AppH2">
    <w:name w:val="App H2"/>
    <w:basedOn w:val="Heading2"/>
    <w:rsid w:val="00CE05B3"/>
    <w:pPr>
      <w:numPr>
        <w:numId w:val="3"/>
      </w:numPr>
      <w:tabs>
        <w:tab w:val="left" w:pos="284"/>
      </w:tabs>
      <w:spacing w:before="360" w:after="120"/>
      <w:jc w:val="left"/>
    </w:pPr>
    <w:rPr>
      <w:smallCaps w:val="0"/>
      <w:szCs w:val="22"/>
      <w:lang w:val="en-US"/>
    </w:rPr>
  </w:style>
  <w:style w:type="paragraph" w:customStyle="1" w:styleId="AppH3">
    <w:name w:val="App H3"/>
    <w:basedOn w:val="Heading3"/>
    <w:rsid w:val="009071DB"/>
    <w:pPr>
      <w:numPr>
        <w:numId w:val="3"/>
      </w:numPr>
      <w:spacing w:before="360" w:after="120"/>
      <w:jc w:val="left"/>
    </w:pPr>
    <w:rPr>
      <w:b w:val="0"/>
      <w:bCs/>
    </w:rPr>
  </w:style>
  <w:style w:type="paragraph" w:customStyle="1" w:styleId="AppH4">
    <w:name w:val="App H4"/>
    <w:basedOn w:val="Heading4"/>
    <w:rsid w:val="005B2236"/>
    <w:pPr>
      <w:tabs>
        <w:tab w:val="num" w:pos="284"/>
      </w:tabs>
      <w:ind w:left="284" w:hanging="284"/>
    </w:pPr>
  </w:style>
  <w:style w:type="paragraph" w:customStyle="1" w:styleId="footer2">
    <w:name w:val="footer 2"/>
    <w:basedOn w:val="Normal"/>
    <w:semiHidden/>
    <w:rsid w:val="005B2236"/>
    <w:pPr>
      <w:pBdr>
        <w:top w:val="single" w:sz="6" w:space="1" w:color="auto"/>
      </w:pBdr>
      <w:tabs>
        <w:tab w:val="right" w:pos="9071"/>
      </w:tabs>
    </w:pPr>
  </w:style>
  <w:style w:type="paragraph" w:customStyle="1" w:styleId="footer3">
    <w:name w:val="footer 3"/>
    <w:basedOn w:val="Footer"/>
    <w:semiHidden/>
    <w:rsid w:val="005B2236"/>
    <w:pPr>
      <w:tabs>
        <w:tab w:val="clear" w:pos="9356"/>
        <w:tab w:val="right" w:pos="14601"/>
      </w:tabs>
      <w:overflowPunct w:val="0"/>
      <w:autoSpaceDE w:val="0"/>
      <w:autoSpaceDN w:val="0"/>
      <w:adjustRightInd w:val="0"/>
      <w:textAlignment w:val="baseline"/>
    </w:pPr>
    <w:rPr>
      <w:b/>
      <w:sz w:val="20"/>
      <w:lang w:val="en-US"/>
    </w:rPr>
  </w:style>
  <w:style w:type="paragraph" w:customStyle="1" w:styleId="CoverTitle1">
    <w:name w:val="Cover Title 1"/>
    <w:basedOn w:val="Normal"/>
    <w:rsid w:val="005B2236"/>
    <w:pPr>
      <w:jc w:val="left"/>
    </w:pPr>
    <w:rPr>
      <w:rFonts w:ascii="Arial Narrow" w:hAnsi="Arial Narrow"/>
      <w:b/>
      <w:bCs/>
      <w:color w:val="FFFFFF"/>
      <w:spacing w:val="10"/>
      <w:sz w:val="48"/>
      <w:szCs w:val="48"/>
    </w:rPr>
  </w:style>
  <w:style w:type="paragraph" w:customStyle="1" w:styleId="CoverTitle2">
    <w:name w:val="Cover Title 2"/>
    <w:basedOn w:val="Normal"/>
    <w:rsid w:val="005B2236"/>
    <w:pPr>
      <w:spacing w:before="480" w:after="240" w:line="480" w:lineRule="auto"/>
      <w:jc w:val="left"/>
    </w:pPr>
    <w:rPr>
      <w:i/>
      <w:color w:val="FFFFFF"/>
      <w:spacing w:val="10"/>
      <w:sz w:val="40"/>
    </w:rPr>
  </w:style>
  <w:style w:type="paragraph" w:customStyle="1" w:styleId="Coverdate">
    <w:name w:val="Cover date"/>
    <w:basedOn w:val="Normal"/>
    <w:rsid w:val="005B2236"/>
    <w:pPr>
      <w:spacing w:line="480" w:lineRule="auto"/>
    </w:pPr>
    <w:rPr>
      <w:i/>
      <w:color w:val="FFFFFF"/>
      <w:spacing w:val="10"/>
      <w:sz w:val="24"/>
    </w:rPr>
  </w:style>
  <w:style w:type="paragraph" w:customStyle="1" w:styleId="CoverFWCreference">
    <w:name w:val="Cover FWC reference"/>
    <w:basedOn w:val="Normal"/>
    <w:rsid w:val="005B2236"/>
    <w:pPr>
      <w:spacing w:before="0" w:line="240" w:lineRule="auto"/>
      <w:jc w:val="left"/>
    </w:pPr>
    <w:rPr>
      <w:b/>
      <w:color w:val="000080"/>
      <w:sz w:val="22"/>
      <w:szCs w:val="22"/>
    </w:rPr>
  </w:style>
  <w:style w:type="paragraph" w:customStyle="1" w:styleId="CovercontractNumber">
    <w:name w:val="Cover contract Number"/>
    <w:basedOn w:val="Normal"/>
    <w:rsid w:val="005B2236"/>
    <w:pPr>
      <w:spacing w:before="80" w:line="240" w:lineRule="auto"/>
      <w:jc w:val="left"/>
    </w:pPr>
    <w:rPr>
      <w:b/>
      <w:color w:val="000080"/>
      <w:sz w:val="22"/>
      <w:szCs w:val="22"/>
    </w:rPr>
  </w:style>
  <w:style w:type="paragraph" w:customStyle="1" w:styleId="Coverfooter">
    <w:name w:val="Cover footer"/>
    <w:basedOn w:val="Normal"/>
    <w:rsid w:val="005B2236"/>
    <w:pPr>
      <w:jc w:val="left"/>
    </w:pPr>
    <w:rPr>
      <w:color w:val="FFFFFF"/>
    </w:rPr>
  </w:style>
  <w:style w:type="table" w:styleId="TableGrid">
    <w:name w:val="Table Grid"/>
    <w:aliases w:val="tabelle2,Banded Rows_HCL"/>
    <w:basedOn w:val="TableNormal"/>
    <w:uiPriority w:val="39"/>
    <w:rsid w:val="00755DB3"/>
    <w:pPr>
      <w:spacing w:before="16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B2236"/>
    <w:rPr>
      <w:b/>
    </w:rPr>
  </w:style>
  <w:style w:type="paragraph" w:customStyle="1" w:styleId="FigureTitle">
    <w:name w:val="Figure Title"/>
    <w:basedOn w:val="Normal"/>
    <w:rsid w:val="005B2236"/>
    <w:pPr>
      <w:tabs>
        <w:tab w:val="num" w:pos="1134"/>
      </w:tabs>
      <w:jc w:val="center"/>
    </w:pPr>
    <w:rPr>
      <w:i/>
      <w:iCs/>
    </w:rPr>
  </w:style>
  <w:style w:type="paragraph" w:customStyle="1" w:styleId="Picture">
    <w:name w:val="Picture"/>
    <w:basedOn w:val="Normal"/>
    <w:rsid w:val="005B2236"/>
    <w:pPr>
      <w:keepNext/>
      <w:spacing w:before="360" w:line="240" w:lineRule="auto"/>
      <w:jc w:val="center"/>
    </w:pPr>
  </w:style>
  <w:style w:type="paragraph" w:customStyle="1" w:styleId="TableTitle">
    <w:name w:val="Table Title"/>
    <w:basedOn w:val="Caption"/>
    <w:uiPriority w:val="99"/>
    <w:rsid w:val="009143F3"/>
    <w:pPr>
      <w:keepNext/>
      <w:keepLines/>
      <w:numPr>
        <w:numId w:val="7"/>
      </w:numPr>
    </w:pPr>
    <w:rPr>
      <w:lang w:val="en-ID"/>
    </w:rPr>
  </w:style>
  <w:style w:type="paragraph" w:customStyle="1" w:styleId="TitlenotinTOC">
    <w:name w:val="Title not in TOC"/>
    <w:basedOn w:val="Normal"/>
    <w:rsid w:val="005B2236"/>
    <w:pPr>
      <w:pageBreakBefore/>
      <w:pBdr>
        <w:bottom w:val="single" w:sz="4" w:space="1" w:color="999999"/>
      </w:pBdr>
      <w:jc w:val="left"/>
    </w:pPr>
    <w:rPr>
      <w:b/>
      <w:color w:val="000080"/>
      <w:sz w:val="24"/>
    </w:rPr>
  </w:style>
  <w:style w:type="character" w:styleId="Strong">
    <w:name w:val="Strong"/>
    <w:basedOn w:val="DefaultParagraphFont"/>
    <w:uiPriority w:val="22"/>
    <w:qFormat/>
    <w:rsid w:val="005B2236"/>
    <w:rPr>
      <w:b/>
      <w:bCs/>
    </w:rPr>
  </w:style>
  <w:style w:type="paragraph" w:customStyle="1" w:styleId="CoverBrol">
    <w:name w:val="Cover Brol"/>
    <w:basedOn w:val="Normal"/>
    <w:qFormat/>
    <w:rsid w:val="009940B2"/>
    <w:pPr>
      <w:tabs>
        <w:tab w:val="left" w:pos="1440"/>
      </w:tabs>
      <w:autoSpaceDE w:val="0"/>
      <w:autoSpaceDN w:val="0"/>
      <w:adjustRightInd w:val="0"/>
      <w:spacing w:before="0" w:line="240" w:lineRule="auto"/>
      <w:ind w:left="1440" w:hanging="1440"/>
      <w:jc w:val="left"/>
    </w:pPr>
    <w:rPr>
      <w:color w:val="FFFFFF"/>
      <w:lang w:val="en-US"/>
    </w:rPr>
  </w:style>
  <w:style w:type="paragraph" w:styleId="ListParagraph">
    <w:name w:val="List Paragraph"/>
    <w:aliases w:val="Bullet points round,Listes,Yellow Bullet,Normal bullet 2,Paragraph,Liste 1,Paragraphe  revu,Paragraphe de liste1,List Paragraph (numbered (a)),List Paragraph nowy,References,Medium Grid 1 - Accent 21,Numbered List Paragraph,En tête 1,Body"/>
    <w:basedOn w:val="Normal"/>
    <w:link w:val="ListParagraphChar"/>
    <w:uiPriority w:val="34"/>
    <w:qFormat/>
    <w:rsid w:val="00C630F4"/>
    <w:pPr>
      <w:spacing w:before="0" w:after="120" w:line="240" w:lineRule="auto"/>
      <w:ind w:left="720"/>
    </w:pPr>
    <w:rPr>
      <w:rFonts w:ascii="Frutiger LT 47 LightCn" w:hAnsi="Frutiger LT 47 LightCn" w:cs="Frutiger LT 47 LightCn"/>
      <w:sz w:val="22"/>
      <w:szCs w:val="22"/>
      <w:lang w:val="de-DE" w:eastAsia="de-DE"/>
    </w:rPr>
  </w:style>
  <w:style w:type="paragraph" w:customStyle="1" w:styleId="MA-InfoInput">
    <w:name w:val="MA-InfoInput"/>
    <w:basedOn w:val="Normal"/>
    <w:rsid w:val="007C2E76"/>
    <w:pPr>
      <w:spacing w:before="0" w:line="240" w:lineRule="auto"/>
      <w:jc w:val="left"/>
    </w:pPr>
    <w:rPr>
      <w:i/>
      <w:color w:val="000080"/>
      <w:lang w:val="en-US"/>
    </w:rPr>
  </w:style>
  <w:style w:type="paragraph" w:customStyle="1" w:styleId="MM-InfoTitle">
    <w:name w:val="MM-InfoTitle"/>
    <w:basedOn w:val="Normal"/>
    <w:link w:val="MM-InfoTitleChar"/>
    <w:rsid w:val="007C2E76"/>
    <w:pPr>
      <w:spacing w:before="0" w:line="240" w:lineRule="auto"/>
      <w:jc w:val="left"/>
    </w:pPr>
    <w:rPr>
      <w:b/>
      <w:sz w:val="22"/>
      <w:szCs w:val="22"/>
      <w:lang w:val="en-US"/>
    </w:rPr>
  </w:style>
  <w:style w:type="character" w:customStyle="1" w:styleId="MM-InfoTitleChar">
    <w:name w:val="MM-InfoTitle Char"/>
    <w:link w:val="MM-InfoTitle"/>
    <w:rsid w:val="007C2E76"/>
    <w:rPr>
      <w:rFonts w:ascii="Arial" w:hAnsi="Arial"/>
      <w:b/>
      <w:sz w:val="22"/>
      <w:szCs w:val="22"/>
      <w:lang w:val="en-US" w:eastAsia="en-US"/>
    </w:rPr>
  </w:style>
  <w:style w:type="paragraph" w:styleId="BalloonText">
    <w:name w:val="Balloon Text"/>
    <w:basedOn w:val="Normal"/>
    <w:link w:val="BalloonTextChar"/>
    <w:uiPriority w:val="99"/>
    <w:rsid w:val="007C2E7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C2E76"/>
    <w:rPr>
      <w:rFonts w:ascii="Tahoma" w:hAnsi="Tahoma" w:cs="Tahoma"/>
      <w:sz w:val="16"/>
      <w:szCs w:val="16"/>
      <w:lang w:val="en-GB" w:eastAsia="en-US"/>
    </w:rPr>
  </w:style>
  <w:style w:type="paragraph" w:customStyle="1" w:styleId="MA-Titles">
    <w:name w:val="MA-Titles"/>
    <w:basedOn w:val="MM-InfoTitle"/>
    <w:link w:val="MA-TitlesChar"/>
    <w:rsid w:val="007C2E76"/>
    <w:pPr>
      <w:framePr w:hSpace="180" w:wrap="around" w:vAnchor="text" w:hAnchor="margin" w:x="108" w:y="55"/>
    </w:pPr>
  </w:style>
  <w:style w:type="character" w:customStyle="1" w:styleId="MA-TitlesChar">
    <w:name w:val="MA-Titles Char"/>
    <w:basedOn w:val="MM-InfoTitleChar"/>
    <w:link w:val="MA-Titles"/>
    <w:rsid w:val="007C2E76"/>
    <w:rPr>
      <w:rFonts w:ascii="Arial" w:hAnsi="Arial"/>
      <w:b/>
      <w:sz w:val="22"/>
      <w:szCs w:val="22"/>
      <w:lang w:val="en-US" w:eastAsia="en-US"/>
    </w:rPr>
  </w:style>
  <w:style w:type="character" w:styleId="PlaceholderText">
    <w:name w:val="Placeholder Text"/>
    <w:basedOn w:val="DefaultParagraphFont"/>
    <w:uiPriority w:val="99"/>
    <w:semiHidden/>
    <w:rsid w:val="00FE6873"/>
    <w:rPr>
      <w:color w:val="808080"/>
    </w:rPr>
  </w:style>
  <w:style w:type="paragraph" w:customStyle="1" w:styleId="Tabletitle1">
    <w:name w:val="Table title 1"/>
    <w:link w:val="Tabletitle1Char"/>
    <w:qFormat/>
    <w:rsid w:val="0044503D"/>
    <w:pPr>
      <w:numPr>
        <w:numId w:val="4"/>
      </w:numPr>
      <w:spacing w:before="240" w:after="120"/>
      <w:ind w:left="425" w:hanging="425"/>
      <w:jc w:val="center"/>
    </w:pPr>
    <w:rPr>
      <w:rFonts w:ascii="Arial Narrow" w:hAnsi="Arial Narrow"/>
      <w:i/>
      <w:color w:val="000080"/>
      <w:sz w:val="22"/>
      <w:lang w:val="en-GB" w:eastAsia="en-GB"/>
    </w:rPr>
  </w:style>
  <w:style w:type="character" w:customStyle="1" w:styleId="Tabletitle1Char">
    <w:name w:val="Table title 1 Char"/>
    <w:basedOn w:val="DefaultParagraphFont"/>
    <w:link w:val="Tabletitle1"/>
    <w:rsid w:val="0044503D"/>
    <w:rPr>
      <w:rFonts w:ascii="Arial Narrow" w:hAnsi="Arial Narrow"/>
      <w:i/>
      <w:color w:val="000080"/>
      <w:sz w:val="22"/>
      <w:lang w:val="en-GB" w:eastAsia="en-GB"/>
    </w:rPr>
  </w:style>
  <w:style w:type="paragraph" w:styleId="TOCHeading">
    <w:name w:val="TOC Heading"/>
    <w:basedOn w:val="Heading1"/>
    <w:next w:val="Normal"/>
    <w:uiPriority w:val="39"/>
    <w:unhideWhenUsed/>
    <w:qFormat/>
    <w:rsid w:val="002B2FBF"/>
    <w:pPr>
      <w:keepLines/>
      <w:pageBreakBefore w:val="0"/>
      <w:numPr>
        <w:numId w:val="0"/>
      </w:numPr>
      <w:pBdr>
        <w:bottom w:val="none" w:sz="0" w:space="0" w:color="auto"/>
      </w:pBdr>
      <w:suppressAutoHyphens w:val="0"/>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val="en-US" w:eastAsia="ja-JP"/>
    </w:rPr>
  </w:style>
  <w:style w:type="character" w:customStyle="1" w:styleId="CharAttribute6">
    <w:name w:val="CharAttribute6"/>
    <w:rsid w:val="00C45FD2"/>
    <w:rPr>
      <w:rFonts w:ascii="Arial" w:eastAsia="Arial" w:hAnsi="Arial"/>
      <w:sz w:val="21"/>
    </w:rPr>
  </w:style>
  <w:style w:type="paragraph" w:styleId="NormalWeb">
    <w:name w:val="Normal (Web)"/>
    <w:basedOn w:val="Normal"/>
    <w:uiPriority w:val="99"/>
    <w:unhideWhenUsed/>
    <w:rsid w:val="001A1A0A"/>
    <w:pPr>
      <w:suppressAutoHyphens w:val="0"/>
      <w:spacing w:before="100" w:beforeAutospacing="1" w:after="100" w:afterAutospacing="1" w:line="240" w:lineRule="auto"/>
      <w:jc w:val="left"/>
    </w:pPr>
    <w:rPr>
      <w:rFonts w:ascii="Times New Roman" w:eastAsiaTheme="minorHAnsi" w:hAnsi="Times New Roman"/>
      <w:sz w:val="24"/>
      <w:lang w:val="fr-BE" w:eastAsia="fr-BE"/>
    </w:rPr>
  </w:style>
  <w:style w:type="paragraph" w:customStyle="1" w:styleId="Textlevel2">
    <w:name w:val="Text level 2"/>
    <w:basedOn w:val="BodyText3"/>
    <w:rsid w:val="004147FF"/>
    <w:pPr>
      <w:tabs>
        <w:tab w:val="left" w:pos="-1417"/>
        <w:tab w:val="left" w:pos="-720"/>
        <w:tab w:val="left" w:pos="1870"/>
        <w:tab w:val="left" w:pos="2324"/>
        <w:tab w:val="left" w:pos="3600"/>
      </w:tabs>
      <w:suppressAutoHyphens w:val="0"/>
      <w:spacing w:before="0" w:after="240" w:line="240" w:lineRule="auto"/>
      <w:ind w:left="851"/>
    </w:pPr>
    <w:rPr>
      <w:sz w:val="20"/>
      <w:szCs w:val="20"/>
      <w:lang w:val="en-US" w:eastAsia="fr-FR"/>
    </w:rPr>
  </w:style>
  <w:style w:type="paragraph" w:styleId="BodyText3">
    <w:name w:val="Body Text 3"/>
    <w:basedOn w:val="Normal"/>
    <w:link w:val="BodyText3Char"/>
    <w:rsid w:val="004147FF"/>
    <w:pPr>
      <w:spacing w:after="120"/>
    </w:pPr>
    <w:rPr>
      <w:sz w:val="16"/>
      <w:szCs w:val="16"/>
    </w:rPr>
  </w:style>
  <w:style w:type="character" w:customStyle="1" w:styleId="BodyText3Char">
    <w:name w:val="Body Text 3 Char"/>
    <w:basedOn w:val="DefaultParagraphFont"/>
    <w:link w:val="BodyText3"/>
    <w:rsid w:val="004147FF"/>
    <w:rPr>
      <w:rFonts w:ascii="Arial" w:hAnsi="Arial"/>
      <w:sz w:val="16"/>
      <w:szCs w:val="16"/>
      <w:lang w:val="en-GB" w:eastAsia="en-US"/>
    </w:rPr>
  </w:style>
  <w:style w:type="paragraph" w:customStyle="1" w:styleId="Tableheading0">
    <w:name w:val="Table heading"/>
    <w:basedOn w:val="Normal"/>
    <w:uiPriority w:val="99"/>
    <w:rsid w:val="009D3AC0"/>
    <w:pPr>
      <w:keepNext/>
      <w:spacing w:before="40" w:after="20" w:line="264" w:lineRule="auto"/>
      <w:jc w:val="center"/>
    </w:pPr>
    <w:rPr>
      <w:rFonts w:ascii="Swis721 Cn BT" w:hAnsi="Swis721 Cn BT"/>
      <w:smallCaps/>
      <w:color w:val="1F497D"/>
      <w:spacing w:val="6"/>
      <w:sz w:val="19"/>
      <w:szCs w:val="19"/>
      <w:lang w:eastAsia="fr-BE"/>
    </w:rPr>
  </w:style>
  <w:style w:type="paragraph" w:customStyle="1" w:styleId="tablebullets">
    <w:name w:val="table bullets"/>
    <w:uiPriority w:val="99"/>
    <w:rsid w:val="009D3AC0"/>
    <w:pPr>
      <w:numPr>
        <w:numId w:val="5"/>
      </w:numPr>
      <w:autoSpaceDE w:val="0"/>
      <w:autoSpaceDN w:val="0"/>
      <w:adjustRightInd w:val="0"/>
      <w:spacing w:before="20" w:after="20"/>
    </w:pPr>
    <w:rPr>
      <w:rFonts w:ascii="Arial Narrow" w:hAnsi="Arial Narrow"/>
      <w:color w:val="000000"/>
      <w:sz w:val="22"/>
      <w:lang w:val="en-GB" w:eastAsia="ru-RU"/>
    </w:rPr>
  </w:style>
  <w:style w:type="paragraph" w:customStyle="1" w:styleId="Tablebullets2">
    <w:name w:val="Table bullets 2"/>
    <w:basedOn w:val="tablebullets"/>
    <w:uiPriority w:val="99"/>
    <w:rsid w:val="009D3AC0"/>
    <w:pPr>
      <w:numPr>
        <w:numId w:val="6"/>
      </w:numPr>
      <w:autoSpaceDE/>
      <w:autoSpaceDN/>
      <w:adjustRightInd/>
      <w:ind w:left="455" w:hanging="219"/>
    </w:pPr>
    <w:rPr>
      <w:rFonts w:cs="Arial"/>
      <w:color w:val="auto"/>
      <w:lang w:eastAsia="en-US"/>
    </w:rPr>
  </w:style>
  <w:style w:type="paragraph" w:styleId="BodyText">
    <w:name w:val="Body Text"/>
    <w:basedOn w:val="Normal"/>
    <w:link w:val="BodyTextChar"/>
    <w:unhideWhenUsed/>
    <w:rsid w:val="00B351E2"/>
    <w:pPr>
      <w:spacing w:after="120"/>
    </w:pPr>
  </w:style>
  <w:style w:type="character" w:customStyle="1" w:styleId="BodyTextChar">
    <w:name w:val="Body Text Char"/>
    <w:basedOn w:val="DefaultParagraphFont"/>
    <w:link w:val="BodyText"/>
    <w:rsid w:val="00B351E2"/>
    <w:rPr>
      <w:rFonts w:ascii="Arial" w:hAnsi="Arial"/>
      <w:sz w:val="21"/>
      <w:lang w:val="en-GB" w:eastAsia="en-US"/>
    </w:rPr>
  </w:style>
  <w:style w:type="character" w:customStyle="1" w:styleId="longtext">
    <w:name w:val="long_text"/>
    <w:basedOn w:val="DefaultParagraphFont"/>
    <w:rsid w:val="00F71F2A"/>
  </w:style>
  <w:style w:type="character" w:customStyle="1" w:styleId="hps">
    <w:name w:val="hps"/>
    <w:basedOn w:val="DefaultParagraphFont"/>
    <w:rsid w:val="00F71F2A"/>
  </w:style>
  <w:style w:type="paragraph" w:customStyle="1" w:styleId="ADE">
    <w:name w:val="ADE"/>
    <w:rsid w:val="00E7446E"/>
    <w:pPr>
      <w:tabs>
        <w:tab w:val="right" w:pos="8505"/>
      </w:tabs>
      <w:spacing w:after="80"/>
    </w:pPr>
    <w:rPr>
      <w:rFonts w:ascii="Garamond" w:hAnsi="Garamond"/>
      <w:noProof/>
      <w:sz w:val="22"/>
      <w:lang w:val="fr-FR" w:eastAsia="fr-FR"/>
    </w:rPr>
  </w:style>
  <w:style w:type="paragraph" w:customStyle="1" w:styleId="xmsonormal">
    <w:name w:val="x_msonormal"/>
    <w:basedOn w:val="Normal"/>
    <w:rsid w:val="00CF4B3D"/>
    <w:pPr>
      <w:suppressAutoHyphens w:val="0"/>
      <w:spacing w:before="100" w:beforeAutospacing="1" w:after="100" w:afterAutospacing="1" w:line="240" w:lineRule="auto"/>
      <w:jc w:val="left"/>
    </w:pPr>
    <w:rPr>
      <w:rFonts w:ascii="Times New Roman" w:hAnsi="Times New Roman"/>
      <w:sz w:val="24"/>
      <w:lang w:eastAsia="en-GB"/>
    </w:rPr>
  </w:style>
  <w:style w:type="paragraph" w:customStyle="1" w:styleId="xmsolistparagraph">
    <w:name w:val="x_msolistparagraph"/>
    <w:basedOn w:val="Normal"/>
    <w:rsid w:val="0040297E"/>
    <w:pPr>
      <w:suppressAutoHyphens w:val="0"/>
      <w:spacing w:before="100" w:beforeAutospacing="1" w:after="100" w:afterAutospacing="1" w:line="240" w:lineRule="auto"/>
      <w:jc w:val="left"/>
    </w:pPr>
    <w:rPr>
      <w:rFonts w:ascii="Times New Roman" w:hAnsi="Times New Roman"/>
      <w:sz w:val="24"/>
      <w:lang w:eastAsia="en-GB"/>
    </w:rPr>
  </w:style>
  <w:style w:type="paragraph" w:styleId="CommentSubject">
    <w:name w:val="annotation subject"/>
    <w:basedOn w:val="CommentText"/>
    <w:next w:val="CommentText"/>
    <w:link w:val="CommentSubjectChar"/>
    <w:uiPriority w:val="99"/>
    <w:semiHidden/>
    <w:unhideWhenUsed/>
    <w:rsid w:val="00C112AF"/>
    <w:pPr>
      <w:spacing w:line="240" w:lineRule="auto"/>
    </w:pPr>
    <w:rPr>
      <w:b/>
      <w:bCs/>
    </w:rPr>
  </w:style>
  <w:style w:type="character" w:customStyle="1" w:styleId="CommentSubjectChar">
    <w:name w:val="Comment Subject Char"/>
    <w:basedOn w:val="CommentTextChar"/>
    <w:link w:val="CommentSubject"/>
    <w:uiPriority w:val="99"/>
    <w:semiHidden/>
    <w:rsid w:val="00C112AF"/>
    <w:rPr>
      <w:rFonts w:ascii="Arial" w:hAnsi="Arial"/>
      <w:b/>
      <w:bCs/>
      <w:sz w:val="21"/>
      <w:lang w:val="en-GB" w:eastAsia="en-US"/>
    </w:rPr>
  </w:style>
  <w:style w:type="paragraph" w:customStyle="1" w:styleId="U2">
    <w:name w:val="U2"/>
    <w:basedOn w:val="Normal"/>
    <w:rsid w:val="00FB386C"/>
    <w:pPr>
      <w:widowControl w:val="0"/>
      <w:suppressAutoHyphens w:val="0"/>
      <w:spacing w:before="0" w:line="240" w:lineRule="auto"/>
    </w:pPr>
    <w:rPr>
      <w:b/>
    </w:rPr>
  </w:style>
  <w:style w:type="paragraph" w:customStyle="1" w:styleId="warning">
    <w:name w:val="warning"/>
    <w:rsid w:val="00FB386C"/>
    <w:pPr>
      <w:spacing w:before="360" w:after="240"/>
      <w:ind w:left="2835" w:firstLine="567"/>
      <w:jc w:val="both"/>
    </w:pPr>
    <w:rPr>
      <w:rFonts w:ascii="Arial" w:hAnsi="Arial"/>
      <w:b/>
      <w:i/>
      <w:noProof/>
      <w:sz w:val="28"/>
      <w:lang w:val="fr-FR" w:eastAsia="fr-FR"/>
    </w:rPr>
  </w:style>
  <w:style w:type="paragraph" w:customStyle="1" w:styleId="Tire2">
    <w:name w:val="Tire 2"/>
    <w:basedOn w:val="BodyText"/>
    <w:rsid w:val="00FB386C"/>
    <w:pPr>
      <w:suppressAutoHyphens w:val="0"/>
      <w:spacing w:before="0" w:after="0" w:line="240" w:lineRule="auto"/>
      <w:ind w:left="851"/>
    </w:pPr>
    <w:rPr>
      <w:b/>
      <w:szCs w:val="22"/>
      <w:lang w:eastAsia="fr-FR"/>
    </w:rPr>
  </w:style>
  <w:style w:type="paragraph" w:customStyle="1" w:styleId="HeadingSubtitles">
    <w:name w:val="Heading Subtitles"/>
    <w:next w:val="Normal"/>
    <w:qFormat/>
    <w:rsid w:val="00FB386C"/>
    <w:pPr>
      <w:spacing w:before="240" w:after="200" w:line="288" w:lineRule="auto"/>
    </w:pPr>
    <w:rPr>
      <w:rFonts w:ascii="Microsoft YaHei" w:eastAsia="Microsoft YaHei" w:hAnsi="Microsoft YaHei"/>
      <w:color w:val="1F49B2"/>
      <w:szCs w:val="22"/>
      <w:lang w:val="en-GB" w:eastAsia="fr-FR"/>
    </w:rPr>
  </w:style>
  <w:style w:type="paragraph" w:customStyle="1" w:styleId="HeadingAnnexes">
    <w:name w:val="Heading Annexes"/>
    <w:next w:val="Normal"/>
    <w:qFormat/>
    <w:rsid w:val="00FB386C"/>
    <w:pPr>
      <w:spacing w:before="360" w:after="240" w:line="288" w:lineRule="auto"/>
      <w:ind w:left="357" w:hanging="357"/>
    </w:pPr>
    <w:rPr>
      <w:rFonts w:ascii="Microsoft YaHei" w:eastAsia="Microsoft YaHei" w:hAnsi="Microsoft YaHei" w:cs="Arial"/>
      <w:b/>
      <w:caps/>
      <w:color w:val="264BC0"/>
      <w:lang w:val="fr-FR" w:eastAsia="fr-FR"/>
    </w:rPr>
  </w:style>
  <w:style w:type="paragraph" w:styleId="Index1">
    <w:name w:val="index 1"/>
    <w:basedOn w:val="Normal"/>
    <w:next w:val="Normal"/>
    <w:autoRedefine/>
    <w:uiPriority w:val="99"/>
    <w:semiHidden/>
    <w:unhideWhenUsed/>
    <w:rsid w:val="00FB386C"/>
    <w:pPr>
      <w:suppressAutoHyphens w:val="0"/>
      <w:spacing w:before="0" w:line="240" w:lineRule="auto"/>
      <w:ind w:left="200" w:hanging="200"/>
    </w:pPr>
    <w:rPr>
      <w:lang w:val="fr-FR" w:eastAsia="fr-FR"/>
    </w:rPr>
  </w:style>
  <w:style w:type="character" w:customStyle="1" w:styleId="st">
    <w:name w:val="st"/>
    <w:basedOn w:val="DefaultParagraphFont"/>
    <w:rsid w:val="00FB386C"/>
  </w:style>
  <w:style w:type="paragraph" w:styleId="Revision">
    <w:name w:val="Revision"/>
    <w:hidden/>
    <w:uiPriority w:val="99"/>
    <w:semiHidden/>
    <w:rsid w:val="00841B83"/>
    <w:rPr>
      <w:rFonts w:ascii="Arial" w:hAnsi="Arial"/>
      <w:sz w:val="21"/>
      <w:lang w:val="en-GB" w:eastAsia="en-US"/>
    </w:rPr>
  </w:style>
  <w:style w:type="paragraph" w:customStyle="1" w:styleId="E1">
    <w:name w:val="E1"/>
    <w:basedOn w:val="Normal"/>
    <w:qFormat/>
    <w:rsid w:val="00897851"/>
    <w:pPr>
      <w:widowControl w:val="0"/>
      <w:numPr>
        <w:numId w:val="8"/>
      </w:numPr>
      <w:suppressAutoHyphens w:val="0"/>
      <w:spacing w:before="0" w:line="260" w:lineRule="atLeast"/>
    </w:pPr>
    <w:rPr>
      <w:lang w:eastAsia="de-DE"/>
    </w:rPr>
  </w:style>
  <w:style w:type="character" w:customStyle="1" w:styleId="apple-converted-space">
    <w:name w:val="apple-converted-space"/>
    <w:basedOn w:val="DefaultParagraphFont"/>
    <w:rsid w:val="00EC275A"/>
  </w:style>
  <w:style w:type="character" w:customStyle="1" w:styleId="ListParagraphChar">
    <w:name w:val="List Paragraph Char"/>
    <w:aliases w:val="Bullet points round Char,Listes Char,Yellow Bullet Char,Normal bullet 2 Char,Paragraph Char,Liste 1 Char,Paragraphe  revu Char,Paragraphe de liste1 Char,List Paragraph (numbered (a)) Char,List Paragraph nowy Char,References Char"/>
    <w:link w:val="ListParagraph"/>
    <w:uiPriority w:val="34"/>
    <w:qFormat/>
    <w:locked/>
    <w:rsid w:val="000D22FF"/>
    <w:rPr>
      <w:rFonts w:ascii="Frutiger LT 47 LightCn" w:hAnsi="Frutiger LT 47 LightCn" w:cs="Frutiger LT 47 LightCn"/>
      <w:sz w:val="22"/>
      <w:szCs w:val="22"/>
      <w:lang w:val="de-DE" w:eastAsia="de-DE"/>
    </w:rPr>
  </w:style>
  <w:style w:type="paragraph" w:styleId="HTMLPreformatted">
    <w:name w:val="HTML Preformatted"/>
    <w:basedOn w:val="Normal"/>
    <w:link w:val="HTMLPreformattedChar"/>
    <w:uiPriority w:val="99"/>
    <w:semiHidden/>
    <w:unhideWhenUsed/>
    <w:rsid w:val="00A35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line="240" w:lineRule="auto"/>
      <w:jc w:val="left"/>
    </w:pPr>
    <w:rPr>
      <w:rFonts w:ascii="Courier New" w:hAnsi="Courier New" w:cs="Courier New"/>
      <w:lang w:val="fr-BE" w:eastAsia="fr-BE"/>
    </w:rPr>
  </w:style>
  <w:style w:type="character" w:customStyle="1" w:styleId="HTMLPreformattedChar">
    <w:name w:val="HTML Preformatted Char"/>
    <w:basedOn w:val="DefaultParagraphFont"/>
    <w:link w:val="HTMLPreformatted"/>
    <w:uiPriority w:val="99"/>
    <w:semiHidden/>
    <w:rsid w:val="00A35AC4"/>
    <w:rPr>
      <w:rFonts w:ascii="Courier New" w:hAnsi="Courier New" w:cs="Courier New"/>
    </w:rPr>
  </w:style>
  <w:style w:type="paragraph" w:customStyle="1" w:styleId="Bodytable">
    <w:name w:val="Body table"/>
    <w:uiPriority w:val="2"/>
    <w:qFormat/>
    <w:rsid w:val="00A058AE"/>
    <w:pPr>
      <w:spacing w:before="40" w:after="40"/>
    </w:pPr>
    <w:rPr>
      <w:rFonts w:eastAsia="Batang" w:cs="Arial"/>
      <w:color w:val="394A58"/>
      <w:lang w:val="en-GB" w:eastAsia="ko-KR"/>
    </w:rPr>
  </w:style>
  <w:style w:type="paragraph" w:customStyle="1" w:styleId="E2">
    <w:name w:val="E2"/>
    <w:basedOn w:val="E1"/>
    <w:rsid w:val="00654A09"/>
    <w:pPr>
      <w:numPr>
        <w:numId w:val="9"/>
      </w:numPr>
    </w:pPr>
  </w:style>
  <w:style w:type="paragraph" w:styleId="ListBullet">
    <w:name w:val="List Bullet"/>
    <w:basedOn w:val="Normal"/>
    <w:uiPriority w:val="2"/>
    <w:unhideWhenUsed/>
    <w:rsid w:val="007561B1"/>
    <w:pPr>
      <w:numPr>
        <w:numId w:val="11"/>
      </w:numPr>
      <w:suppressAutoHyphens w:val="0"/>
      <w:spacing w:line="264" w:lineRule="auto"/>
    </w:pPr>
    <w:rPr>
      <w:lang w:val="fr-BE" w:eastAsia="fr-FR"/>
    </w:rPr>
  </w:style>
  <w:style w:type="paragraph" w:styleId="ListBullet2">
    <w:name w:val="List Bullet 2"/>
    <w:basedOn w:val="Normal"/>
    <w:uiPriority w:val="99"/>
    <w:unhideWhenUsed/>
    <w:rsid w:val="007561B1"/>
    <w:pPr>
      <w:numPr>
        <w:numId w:val="10"/>
      </w:numPr>
      <w:suppressAutoHyphens w:val="0"/>
      <w:spacing w:before="80" w:after="80" w:line="264" w:lineRule="auto"/>
      <w:contextualSpacing/>
    </w:pPr>
    <w:rPr>
      <w:lang w:val="fr-FR" w:eastAsia="fr-FR"/>
    </w:rPr>
  </w:style>
  <w:style w:type="paragraph" w:customStyle="1" w:styleId="TableBullets-HCL">
    <w:name w:val="Table Bullets - HCL"/>
    <w:basedOn w:val="Normal"/>
    <w:uiPriority w:val="99"/>
    <w:qFormat/>
    <w:rsid w:val="0079322A"/>
    <w:pPr>
      <w:widowControl w:val="0"/>
      <w:numPr>
        <w:numId w:val="12"/>
      </w:numPr>
      <w:suppressAutoHyphens w:val="0"/>
      <w:adjustRightInd w:val="0"/>
      <w:spacing w:before="0" w:after="40" w:line="240" w:lineRule="auto"/>
      <w:ind w:left="198" w:hanging="198"/>
      <w:jc w:val="left"/>
      <w:textAlignment w:val="baseline"/>
    </w:pPr>
    <w:rPr>
      <w:rFonts w:ascii="Corbel" w:hAnsi="Corbel" w:cs="Corbel"/>
      <w:color w:val="404040"/>
      <w:sz w:val="16"/>
      <w:szCs w:val="16"/>
      <w:lang w:val="sv-SE" w:eastAsia="sv-SE"/>
    </w:rPr>
  </w:style>
  <w:style w:type="paragraph" w:customStyle="1" w:styleId="TBLparProposalHCL">
    <w:name w:val="TBL par_Proposal_HCL"/>
    <w:basedOn w:val="Normal"/>
    <w:qFormat/>
    <w:rsid w:val="0079322A"/>
    <w:pPr>
      <w:widowControl w:val="0"/>
      <w:suppressAutoHyphens w:val="0"/>
      <w:adjustRightInd w:val="0"/>
      <w:spacing w:before="0" w:after="120" w:line="240" w:lineRule="auto"/>
      <w:jc w:val="left"/>
      <w:textAlignment w:val="baseline"/>
    </w:pPr>
    <w:rPr>
      <w:rFonts w:ascii="Corbel" w:hAnsi="Corbel" w:cs="Calibri"/>
      <w:color w:val="404040"/>
      <w:sz w:val="16"/>
      <w:szCs w:val="16"/>
    </w:rPr>
  </w:style>
  <w:style w:type="table" w:customStyle="1" w:styleId="BlueTable-HCL">
    <w:name w:val="Blue Table - HCL"/>
    <w:basedOn w:val="TableNormal"/>
    <w:uiPriority w:val="99"/>
    <w:rsid w:val="0079322A"/>
    <w:rPr>
      <w:rFonts w:ascii="Calibri" w:hAnsi="Calibri" w:cs="Arial"/>
      <w:color w:val="404040"/>
      <w:sz w:val="16"/>
      <w:szCs w:val="22"/>
      <w:lang w:val="el-GR" w:eastAsia="el-GR"/>
    </w:rPr>
    <w:tblPr>
      <w:tblBorders>
        <w:top w:val="single" w:sz="4" w:space="0" w:color="00B0F0"/>
        <w:bottom w:val="single" w:sz="4" w:space="0" w:color="00B0F0"/>
        <w:insideH w:val="single" w:sz="4" w:space="0" w:color="00B0F0"/>
      </w:tblBorders>
      <w:tblCellMar>
        <w:top w:w="57" w:type="dxa"/>
        <w:left w:w="57" w:type="dxa"/>
        <w:bottom w:w="57" w:type="dxa"/>
        <w:right w:w="57" w:type="dxa"/>
      </w:tblCellMar>
    </w:tblPr>
  </w:style>
  <w:style w:type="paragraph" w:customStyle="1" w:styleId="TBLBulletsParHCLProposal">
    <w:name w:val="TBL_Bullets_Par_HCL_Proposal"/>
    <w:basedOn w:val="TableBullets-HCL"/>
    <w:qFormat/>
    <w:rsid w:val="0079322A"/>
    <w:pPr>
      <w:spacing w:after="120"/>
      <w:ind w:left="720" w:hanging="360"/>
    </w:pPr>
  </w:style>
  <w:style w:type="paragraph" w:styleId="PlainText">
    <w:name w:val="Plain Text"/>
    <w:basedOn w:val="Normal"/>
    <w:link w:val="PlainTextChar"/>
    <w:uiPriority w:val="99"/>
    <w:unhideWhenUsed/>
    <w:rsid w:val="00043F13"/>
    <w:pPr>
      <w:suppressAutoHyphens w:val="0"/>
      <w:spacing w:before="0" w:line="240" w:lineRule="auto"/>
      <w:jc w:val="left"/>
    </w:pPr>
    <w:rPr>
      <w:rFonts w:ascii="Calibri" w:eastAsiaTheme="minorHAnsi" w:hAnsi="Calibri" w:cs="Consolas"/>
      <w:sz w:val="22"/>
      <w:szCs w:val="21"/>
      <w:lang w:val="en-US"/>
    </w:rPr>
  </w:style>
  <w:style w:type="character" w:customStyle="1" w:styleId="PlainTextChar">
    <w:name w:val="Plain Text Char"/>
    <w:basedOn w:val="DefaultParagraphFont"/>
    <w:link w:val="PlainText"/>
    <w:uiPriority w:val="99"/>
    <w:rsid w:val="00043F13"/>
    <w:rPr>
      <w:rFonts w:ascii="Calibri" w:eastAsiaTheme="minorHAnsi" w:hAnsi="Calibri" w:cs="Consolas"/>
      <w:sz w:val="22"/>
      <w:szCs w:val="21"/>
      <w:lang w:val="en-US" w:eastAsia="en-US"/>
    </w:rPr>
  </w:style>
  <w:style w:type="paragraph" w:customStyle="1" w:styleId="Standard">
    <w:name w:val="Standard"/>
    <w:uiPriority w:val="99"/>
    <w:rsid w:val="00A27117"/>
    <w:pPr>
      <w:pBdr>
        <w:top w:val="none" w:sz="96" w:space="31" w:color="FFFFFF" w:frame="1"/>
        <w:left w:val="none" w:sz="96" w:space="31" w:color="FFFFFF" w:frame="1"/>
        <w:bottom w:val="none" w:sz="96" w:space="31" w:color="FFFFFF" w:frame="1"/>
        <w:right w:val="none" w:sz="96" w:space="31" w:color="FFFFFF" w:frame="1"/>
        <w:bar w:val="none" w:sz="0" w:color="000000"/>
      </w:pBdr>
      <w:spacing w:after="240"/>
      <w:jc w:val="both"/>
    </w:pPr>
    <w:rPr>
      <w:rFonts w:eastAsia="Arial Unicode MS"/>
      <w:color w:val="000000"/>
      <w:u w:color="000000"/>
      <w:lang w:val="en-US" w:eastAsia="en-GB"/>
    </w:rPr>
  </w:style>
  <w:style w:type="character" w:customStyle="1" w:styleId="il">
    <w:name w:val="il"/>
    <w:basedOn w:val="DefaultParagraphFont"/>
    <w:rsid w:val="00B177AB"/>
  </w:style>
  <w:style w:type="character" w:styleId="Emphasis">
    <w:name w:val="Emphasis"/>
    <w:basedOn w:val="DefaultParagraphFont"/>
    <w:uiPriority w:val="20"/>
    <w:rsid w:val="00342E91"/>
    <w:rPr>
      <w:i/>
    </w:rPr>
  </w:style>
  <w:style w:type="character" w:customStyle="1" w:styleId="UnresolvedMention1">
    <w:name w:val="Unresolved Mention1"/>
    <w:basedOn w:val="DefaultParagraphFont"/>
    <w:uiPriority w:val="99"/>
    <w:semiHidden/>
    <w:unhideWhenUsed/>
    <w:rsid w:val="004A53D1"/>
    <w:rPr>
      <w:color w:val="605E5C"/>
      <w:shd w:val="clear" w:color="auto" w:fill="E1DFDD"/>
    </w:rPr>
  </w:style>
  <w:style w:type="table" w:customStyle="1" w:styleId="Atkins14pt">
    <w:name w:val="Atkins_1/4pt"/>
    <w:basedOn w:val="TableNormal"/>
    <w:uiPriority w:val="99"/>
    <w:qFormat/>
    <w:rsid w:val="00EA338A"/>
    <w:rPr>
      <w:rFonts w:ascii="Arial" w:eastAsia="Batang" w:hAnsi="Arial" w:cs="Arial"/>
      <w:sz w:val="20"/>
      <w:szCs w:val="20"/>
      <w:lang w:val="en-GB" w:eastAsia="en-GB"/>
    </w:rPr>
    <w:tblPr>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0" w:type="dxa"/>
      </w:tblCellMar>
    </w:tblPr>
    <w:tblStylePr w:type="firstRow">
      <w:pPr>
        <w:wordWrap/>
        <w:jc w:val="left"/>
      </w:pPr>
      <w:rPr>
        <w:rFonts w:ascii="Arial" w:hAnsi="Arial"/>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table" w:customStyle="1" w:styleId="TableGrid2">
    <w:name w:val="Table Grid2"/>
    <w:basedOn w:val="TableNormal"/>
    <w:next w:val="TableGrid"/>
    <w:uiPriority w:val="39"/>
    <w:rsid w:val="00EA338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338A"/>
  </w:style>
  <w:style w:type="table" w:customStyle="1" w:styleId="TableGrid1">
    <w:name w:val="Table Grid1"/>
    <w:basedOn w:val="TableNormal"/>
    <w:next w:val="TableGrid"/>
    <w:uiPriority w:val="39"/>
    <w:rsid w:val="00EA338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E4ALL">
    <w:name w:val="Bodytext_SE4ALL"/>
    <w:basedOn w:val="Normal"/>
    <w:qFormat/>
    <w:rsid w:val="00EA338A"/>
    <w:pPr>
      <w:suppressAutoHyphens w:val="0"/>
      <w:spacing w:before="0" w:after="200" w:line="240" w:lineRule="auto"/>
    </w:pPr>
    <w:rPr>
      <w:rFonts w:ascii="Corbel" w:eastAsia="DengXian" w:hAnsi="Corbel" w:cs="Arial"/>
      <w:color w:val="000000"/>
      <w:sz w:val="22"/>
      <w:szCs w:val="22"/>
      <w:lang w:val="en-US" w:eastAsia="zh-CN"/>
    </w:rPr>
  </w:style>
  <w:style w:type="paragraph" w:customStyle="1" w:styleId="ListNumb1">
    <w:name w:val="ListNumb1"/>
    <w:basedOn w:val="Normal"/>
    <w:uiPriority w:val="4"/>
    <w:qFormat/>
    <w:rsid w:val="00EA338A"/>
    <w:pPr>
      <w:numPr>
        <w:numId w:val="14"/>
      </w:numPr>
      <w:tabs>
        <w:tab w:val="num" w:pos="227"/>
      </w:tabs>
      <w:suppressAutoHyphens w:val="0"/>
      <w:spacing w:before="0" w:line="240" w:lineRule="auto"/>
      <w:ind w:left="227" w:hanging="227"/>
      <w:jc w:val="left"/>
    </w:pPr>
    <w:rPr>
      <w:rFonts w:ascii="Calibri" w:eastAsia="Calibri" w:hAnsi="Calibri"/>
      <w:color w:val="394A58"/>
      <w:szCs w:val="22"/>
    </w:rPr>
  </w:style>
  <w:style w:type="paragraph" w:customStyle="1" w:styleId="ListNumb2">
    <w:name w:val="ListNumb2"/>
    <w:basedOn w:val="Normal"/>
    <w:uiPriority w:val="4"/>
    <w:qFormat/>
    <w:rsid w:val="00EA338A"/>
    <w:pPr>
      <w:numPr>
        <w:ilvl w:val="1"/>
        <w:numId w:val="14"/>
      </w:numPr>
      <w:tabs>
        <w:tab w:val="num" w:pos="1440"/>
      </w:tabs>
      <w:suppressAutoHyphens w:val="0"/>
      <w:spacing w:before="0" w:line="240" w:lineRule="auto"/>
      <w:ind w:left="1080" w:hanging="360"/>
      <w:jc w:val="left"/>
    </w:pPr>
    <w:rPr>
      <w:rFonts w:ascii="Calibri" w:eastAsia="Calibri" w:hAnsi="Calibri"/>
      <w:color w:val="394A58"/>
      <w:szCs w:val="22"/>
    </w:rPr>
  </w:style>
  <w:style w:type="paragraph" w:customStyle="1" w:styleId="ListNumb3">
    <w:name w:val="ListNumb3"/>
    <w:basedOn w:val="Normal"/>
    <w:uiPriority w:val="4"/>
    <w:unhideWhenUsed/>
    <w:qFormat/>
    <w:rsid w:val="00EA338A"/>
    <w:pPr>
      <w:numPr>
        <w:ilvl w:val="2"/>
        <w:numId w:val="14"/>
      </w:numPr>
      <w:tabs>
        <w:tab w:val="num" w:pos="2160"/>
      </w:tabs>
      <w:suppressAutoHyphens w:val="0"/>
      <w:spacing w:before="0" w:line="240" w:lineRule="auto"/>
      <w:ind w:left="1020" w:hanging="340"/>
      <w:jc w:val="left"/>
    </w:pPr>
    <w:rPr>
      <w:rFonts w:ascii="Calibri" w:eastAsia="Calibri" w:hAnsi="Calibri"/>
      <w:color w:val="394A58"/>
      <w:szCs w:val="22"/>
    </w:rPr>
  </w:style>
  <w:style w:type="paragraph" w:customStyle="1" w:styleId="NormalNoSpace">
    <w:name w:val="NormalNoSpace"/>
    <w:basedOn w:val="Normal"/>
    <w:qFormat/>
    <w:rsid w:val="00EA338A"/>
    <w:pPr>
      <w:suppressAutoHyphens w:val="0"/>
      <w:spacing w:before="0" w:line="240" w:lineRule="auto"/>
      <w:jc w:val="left"/>
    </w:pPr>
    <w:rPr>
      <w:rFonts w:ascii="Calibri" w:eastAsia="Calibri" w:hAnsi="Calibri"/>
      <w:color w:val="44546A"/>
      <w:szCs w:val="22"/>
    </w:rPr>
  </w:style>
  <w:style w:type="character" w:customStyle="1" w:styleId="UnresolvedMention10">
    <w:name w:val="Unresolved Mention1"/>
    <w:basedOn w:val="DefaultParagraphFont"/>
    <w:uiPriority w:val="99"/>
    <w:semiHidden/>
    <w:unhideWhenUsed/>
    <w:rsid w:val="00EA338A"/>
    <w:rPr>
      <w:color w:val="605E5C"/>
      <w:shd w:val="clear" w:color="auto" w:fill="E1DFDD"/>
    </w:rPr>
  </w:style>
  <w:style w:type="paragraph" w:customStyle="1" w:styleId="Default">
    <w:name w:val="Default"/>
    <w:rsid w:val="00EA338A"/>
    <w:pPr>
      <w:autoSpaceDE w:val="0"/>
      <w:autoSpaceDN w:val="0"/>
      <w:adjustRightInd w:val="0"/>
    </w:pPr>
    <w:rPr>
      <w:rFonts w:ascii="Arial" w:hAnsi="Arial" w:cs="Arial"/>
      <w:color w:val="000000"/>
      <w:lang w:val="en-GB"/>
    </w:rPr>
  </w:style>
  <w:style w:type="paragraph" w:customStyle="1" w:styleId="Pa2">
    <w:name w:val="Pa2"/>
    <w:basedOn w:val="Default"/>
    <w:next w:val="Default"/>
    <w:uiPriority w:val="99"/>
    <w:rsid w:val="00EA338A"/>
    <w:pPr>
      <w:spacing w:line="241" w:lineRule="atLeast"/>
    </w:pPr>
    <w:rPr>
      <w:rFonts w:ascii="Open Sans" w:hAnsi="Open Sans" w:cs="Times New Roman"/>
      <w:color w:val="auto"/>
    </w:rPr>
  </w:style>
  <w:style w:type="table" w:customStyle="1" w:styleId="TableGrid3">
    <w:name w:val="Table Grid3"/>
    <w:basedOn w:val="TableNormal"/>
    <w:next w:val="TableGrid"/>
    <w:uiPriority w:val="39"/>
    <w:rsid w:val="00EA338A"/>
    <w:rPr>
      <w:rFonts w:ascii="Calibri" w:eastAsia="Calibri" w:hAnsi="Calibr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A338A"/>
    <w:rPr>
      <w:rFonts w:ascii="Calibri" w:eastAsia="Calibri" w:hAnsi="Calibr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A338A"/>
    <w:rPr>
      <w:rFonts w:ascii="Calibri" w:eastAsia="Calibri" w:hAnsi="Calibr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A338A"/>
    <w:rPr>
      <w:rFonts w:ascii="Calibri" w:eastAsia="Calibri" w:hAnsi="Calibr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A338A"/>
    <w:rPr>
      <w:rFonts w:ascii="Calibri" w:eastAsia="Calibri" w:hAnsi="Calibr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S">
    <w:name w:val="Bodytext_SS"/>
    <w:basedOn w:val="Normal"/>
    <w:qFormat/>
    <w:rsid w:val="00EA338A"/>
    <w:pPr>
      <w:suppressAutoHyphens w:val="0"/>
      <w:spacing w:before="0" w:after="200" w:line="240" w:lineRule="auto"/>
    </w:pPr>
    <w:rPr>
      <w:rFonts w:ascii="Corbel" w:eastAsia="DengXian" w:hAnsi="Corbel" w:cs="Arial"/>
      <w:color w:val="262626"/>
      <w:szCs w:val="22"/>
      <w:lang w:val="en-US" w:eastAsia="zh-CN"/>
    </w:rPr>
  </w:style>
  <w:style w:type="table" w:customStyle="1" w:styleId="TableGrid8">
    <w:name w:val="Table Grid8"/>
    <w:basedOn w:val="TableNormal"/>
    <w:next w:val="TableGrid"/>
    <w:uiPriority w:val="39"/>
    <w:rsid w:val="00EA338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A338A"/>
    <w:rPr>
      <w:rFonts w:ascii="Calibri" w:eastAsia="Calibri" w:hAnsi="Calibri" w:cs="Arial"/>
      <w:sz w:val="22"/>
      <w:szCs w:val="22"/>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EA338A"/>
    <w:rPr>
      <w:rFonts w:ascii="Calibri" w:eastAsia="Calibri" w:hAnsi="Calibri" w:cs="Arial"/>
      <w:sz w:val="22"/>
      <w:szCs w:val="22"/>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EA338A"/>
    <w:rPr>
      <w:rFonts w:ascii="Calibri" w:eastAsia="Calibri" w:hAnsi="Calibri" w:cs="Arial"/>
      <w:sz w:val="22"/>
      <w:szCs w:val="22"/>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EA338A"/>
    <w:rPr>
      <w:rFonts w:ascii="Calibri" w:eastAsia="Calibri" w:hAnsi="Calibri" w:cs="Arial"/>
      <w:sz w:val="22"/>
      <w:szCs w:val="22"/>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EA338A"/>
    <w:rPr>
      <w:rFonts w:ascii="Calibri" w:eastAsia="Calibri" w:hAnsi="Calibri" w:cs="Arial"/>
      <w:sz w:val="22"/>
      <w:szCs w:val="22"/>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andedRowsHCL1">
    <w:name w:val="Banded Rows_HCL1"/>
    <w:basedOn w:val="TableNormal"/>
    <w:next w:val="TableGrid"/>
    <w:uiPriority w:val="39"/>
    <w:rsid w:val="00EA338A"/>
    <w:pPr>
      <w:spacing w:before="16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dedRowsHCL2">
    <w:name w:val="Banded Rows_HCL2"/>
    <w:basedOn w:val="TableNormal"/>
    <w:next w:val="TableGrid"/>
    <w:uiPriority w:val="39"/>
    <w:rsid w:val="00EA338A"/>
    <w:pPr>
      <w:spacing w:before="16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A338A"/>
    <w:rPr>
      <w:rFonts w:ascii="Calibri" w:eastAsia="Calibri" w:hAnsi="Calibri" w:cs="Arial"/>
      <w:sz w:val="22"/>
      <w:szCs w:val="22"/>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21">
    <w:name w:val="tabelle21"/>
    <w:basedOn w:val="TableNormal"/>
    <w:next w:val="TableGrid"/>
    <w:uiPriority w:val="39"/>
    <w:rsid w:val="009D63A8"/>
    <w:pPr>
      <w:spacing w:before="16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22">
    <w:name w:val="tabelle22"/>
    <w:basedOn w:val="TableNormal"/>
    <w:next w:val="TableGrid"/>
    <w:uiPriority w:val="39"/>
    <w:rsid w:val="009D63A8"/>
    <w:pPr>
      <w:spacing w:before="16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5947">
      <w:bodyDiv w:val="1"/>
      <w:marLeft w:val="0"/>
      <w:marRight w:val="0"/>
      <w:marTop w:val="0"/>
      <w:marBottom w:val="0"/>
      <w:divBdr>
        <w:top w:val="none" w:sz="0" w:space="0" w:color="auto"/>
        <w:left w:val="none" w:sz="0" w:space="0" w:color="auto"/>
        <w:bottom w:val="none" w:sz="0" w:space="0" w:color="auto"/>
        <w:right w:val="none" w:sz="0" w:space="0" w:color="auto"/>
      </w:divBdr>
      <w:divsChild>
        <w:div w:id="2064476978">
          <w:marLeft w:val="0"/>
          <w:marRight w:val="0"/>
          <w:marTop w:val="0"/>
          <w:marBottom w:val="0"/>
          <w:divBdr>
            <w:top w:val="none" w:sz="0" w:space="0" w:color="auto"/>
            <w:left w:val="none" w:sz="0" w:space="0" w:color="auto"/>
            <w:bottom w:val="none" w:sz="0" w:space="0" w:color="auto"/>
            <w:right w:val="none" w:sz="0" w:space="0" w:color="auto"/>
          </w:divBdr>
          <w:divsChild>
            <w:div w:id="1248273640">
              <w:marLeft w:val="0"/>
              <w:marRight w:val="0"/>
              <w:marTop w:val="0"/>
              <w:marBottom w:val="0"/>
              <w:divBdr>
                <w:top w:val="none" w:sz="0" w:space="0" w:color="auto"/>
                <w:left w:val="none" w:sz="0" w:space="0" w:color="auto"/>
                <w:bottom w:val="none" w:sz="0" w:space="0" w:color="auto"/>
                <w:right w:val="none" w:sz="0" w:space="0" w:color="auto"/>
              </w:divBdr>
              <w:divsChild>
                <w:div w:id="808595178">
                  <w:marLeft w:val="0"/>
                  <w:marRight w:val="0"/>
                  <w:marTop w:val="0"/>
                  <w:marBottom w:val="0"/>
                  <w:divBdr>
                    <w:top w:val="none" w:sz="0" w:space="0" w:color="auto"/>
                    <w:left w:val="none" w:sz="0" w:space="0" w:color="auto"/>
                    <w:bottom w:val="none" w:sz="0" w:space="0" w:color="auto"/>
                    <w:right w:val="none" w:sz="0" w:space="0" w:color="auto"/>
                  </w:divBdr>
                  <w:divsChild>
                    <w:div w:id="2040276512">
                      <w:marLeft w:val="0"/>
                      <w:marRight w:val="0"/>
                      <w:marTop w:val="0"/>
                      <w:marBottom w:val="0"/>
                      <w:divBdr>
                        <w:top w:val="none" w:sz="0" w:space="0" w:color="auto"/>
                        <w:left w:val="none" w:sz="0" w:space="0" w:color="auto"/>
                        <w:bottom w:val="none" w:sz="0" w:space="0" w:color="auto"/>
                        <w:right w:val="none" w:sz="0" w:space="0" w:color="auto"/>
                      </w:divBdr>
                      <w:divsChild>
                        <w:div w:id="1036542582">
                          <w:marLeft w:val="0"/>
                          <w:marRight w:val="0"/>
                          <w:marTop w:val="0"/>
                          <w:marBottom w:val="0"/>
                          <w:divBdr>
                            <w:top w:val="none" w:sz="0" w:space="0" w:color="auto"/>
                            <w:left w:val="none" w:sz="0" w:space="0" w:color="auto"/>
                            <w:bottom w:val="none" w:sz="0" w:space="0" w:color="auto"/>
                            <w:right w:val="none" w:sz="0" w:space="0" w:color="auto"/>
                          </w:divBdr>
                          <w:divsChild>
                            <w:div w:id="69276631">
                              <w:marLeft w:val="0"/>
                              <w:marRight w:val="0"/>
                              <w:marTop w:val="0"/>
                              <w:marBottom w:val="0"/>
                              <w:divBdr>
                                <w:top w:val="none" w:sz="0" w:space="0" w:color="auto"/>
                                <w:left w:val="none" w:sz="0" w:space="0" w:color="auto"/>
                                <w:bottom w:val="none" w:sz="0" w:space="0" w:color="auto"/>
                                <w:right w:val="none" w:sz="0" w:space="0" w:color="auto"/>
                              </w:divBdr>
                              <w:divsChild>
                                <w:div w:id="361517265">
                                  <w:marLeft w:val="0"/>
                                  <w:marRight w:val="0"/>
                                  <w:marTop w:val="0"/>
                                  <w:marBottom w:val="0"/>
                                  <w:divBdr>
                                    <w:top w:val="none" w:sz="0" w:space="0" w:color="auto"/>
                                    <w:left w:val="none" w:sz="0" w:space="0" w:color="auto"/>
                                    <w:bottom w:val="none" w:sz="0" w:space="0" w:color="auto"/>
                                    <w:right w:val="none" w:sz="0" w:space="0" w:color="auto"/>
                                  </w:divBdr>
                                  <w:divsChild>
                                    <w:div w:id="406612703">
                                      <w:marLeft w:val="0"/>
                                      <w:marRight w:val="0"/>
                                      <w:marTop w:val="0"/>
                                      <w:marBottom w:val="0"/>
                                      <w:divBdr>
                                        <w:top w:val="none" w:sz="0" w:space="0" w:color="auto"/>
                                        <w:left w:val="none" w:sz="0" w:space="0" w:color="auto"/>
                                        <w:bottom w:val="none" w:sz="0" w:space="0" w:color="auto"/>
                                        <w:right w:val="none" w:sz="0" w:space="0" w:color="auto"/>
                                      </w:divBdr>
                                      <w:divsChild>
                                        <w:div w:id="1004823610">
                                          <w:marLeft w:val="0"/>
                                          <w:marRight w:val="0"/>
                                          <w:marTop w:val="0"/>
                                          <w:marBottom w:val="0"/>
                                          <w:divBdr>
                                            <w:top w:val="none" w:sz="0" w:space="0" w:color="auto"/>
                                            <w:left w:val="none" w:sz="0" w:space="0" w:color="auto"/>
                                            <w:bottom w:val="none" w:sz="0" w:space="0" w:color="auto"/>
                                            <w:right w:val="none" w:sz="0" w:space="0" w:color="auto"/>
                                          </w:divBdr>
                                          <w:divsChild>
                                            <w:div w:id="1316684885">
                                              <w:marLeft w:val="0"/>
                                              <w:marRight w:val="0"/>
                                              <w:marTop w:val="0"/>
                                              <w:marBottom w:val="0"/>
                                              <w:divBdr>
                                                <w:top w:val="none" w:sz="0" w:space="0" w:color="auto"/>
                                                <w:left w:val="none" w:sz="0" w:space="0" w:color="auto"/>
                                                <w:bottom w:val="none" w:sz="0" w:space="0" w:color="auto"/>
                                                <w:right w:val="none" w:sz="0" w:space="0" w:color="auto"/>
                                              </w:divBdr>
                                              <w:divsChild>
                                                <w:div w:id="1695499127">
                                                  <w:marLeft w:val="0"/>
                                                  <w:marRight w:val="0"/>
                                                  <w:marTop w:val="0"/>
                                                  <w:marBottom w:val="0"/>
                                                  <w:divBdr>
                                                    <w:top w:val="none" w:sz="0" w:space="0" w:color="auto"/>
                                                    <w:left w:val="none" w:sz="0" w:space="0" w:color="auto"/>
                                                    <w:bottom w:val="none" w:sz="0" w:space="0" w:color="auto"/>
                                                    <w:right w:val="none" w:sz="0" w:space="0" w:color="auto"/>
                                                  </w:divBdr>
                                                  <w:divsChild>
                                                    <w:div w:id="1992978462">
                                                      <w:marLeft w:val="0"/>
                                                      <w:marRight w:val="0"/>
                                                      <w:marTop w:val="0"/>
                                                      <w:marBottom w:val="0"/>
                                                      <w:divBdr>
                                                        <w:top w:val="none" w:sz="0" w:space="0" w:color="auto"/>
                                                        <w:left w:val="none" w:sz="0" w:space="0" w:color="auto"/>
                                                        <w:bottom w:val="none" w:sz="0" w:space="0" w:color="auto"/>
                                                        <w:right w:val="none" w:sz="0" w:space="0" w:color="auto"/>
                                                      </w:divBdr>
                                                      <w:divsChild>
                                                        <w:div w:id="1728144878">
                                                          <w:marLeft w:val="0"/>
                                                          <w:marRight w:val="0"/>
                                                          <w:marTop w:val="0"/>
                                                          <w:marBottom w:val="0"/>
                                                          <w:divBdr>
                                                            <w:top w:val="none" w:sz="0" w:space="0" w:color="auto"/>
                                                            <w:left w:val="none" w:sz="0" w:space="0" w:color="auto"/>
                                                            <w:bottom w:val="none" w:sz="0" w:space="0" w:color="auto"/>
                                                            <w:right w:val="none" w:sz="0" w:space="0" w:color="auto"/>
                                                          </w:divBdr>
                                                          <w:divsChild>
                                                            <w:div w:id="57752543">
                                                              <w:marLeft w:val="0"/>
                                                              <w:marRight w:val="0"/>
                                                              <w:marTop w:val="0"/>
                                                              <w:marBottom w:val="0"/>
                                                              <w:divBdr>
                                                                <w:top w:val="none" w:sz="0" w:space="0" w:color="auto"/>
                                                                <w:left w:val="none" w:sz="0" w:space="0" w:color="auto"/>
                                                                <w:bottom w:val="none" w:sz="0" w:space="0" w:color="auto"/>
                                                                <w:right w:val="none" w:sz="0" w:space="0" w:color="auto"/>
                                                              </w:divBdr>
                                                              <w:divsChild>
                                                                <w:div w:id="1678843769">
                                                                  <w:marLeft w:val="0"/>
                                                                  <w:marRight w:val="0"/>
                                                                  <w:marTop w:val="0"/>
                                                                  <w:marBottom w:val="0"/>
                                                                  <w:divBdr>
                                                                    <w:top w:val="none" w:sz="0" w:space="0" w:color="auto"/>
                                                                    <w:left w:val="none" w:sz="0" w:space="0" w:color="auto"/>
                                                                    <w:bottom w:val="none" w:sz="0" w:space="0" w:color="auto"/>
                                                                    <w:right w:val="none" w:sz="0" w:space="0" w:color="auto"/>
                                                                  </w:divBdr>
                                                                  <w:divsChild>
                                                                    <w:div w:id="1775705233">
                                                                      <w:marLeft w:val="0"/>
                                                                      <w:marRight w:val="0"/>
                                                                      <w:marTop w:val="0"/>
                                                                      <w:marBottom w:val="0"/>
                                                                      <w:divBdr>
                                                                        <w:top w:val="none" w:sz="0" w:space="0" w:color="auto"/>
                                                                        <w:left w:val="none" w:sz="0" w:space="0" w:color="auto"/>
                                                                        <w:bottom w:val="none" w:sz="0" w:space="0" w:color="auto"/>
                                                                        <w:right w:val="none" w:sz="0" w:space="0" w:color="auto"/>
                                                                      </w:divBdr>
                                                                      <w:divsChild>
                                                                        <w:div w:id="761412898">
                                                                          <w:marLeft w:val="0"/>
                                                                          <w:marRight w:val="0"/>
                                                                          <w:marTop w:val="0"/>
                                                                          <w:marBottom w:val="0"/>
                                                                          <w:divBdr>
                                                                            <w:top w:val="none" w:sz="0" w:space="0" w:color="auto"/>
                                                                            <w:left w:val="none" w:sz="0" w:space="0" w:color="auto"/>
                                                                            <w:bottom w:val="none" w:sz="0" w:space="0" w:color="auto"/>
                                                                            <w:right w:val="none" w:sz="0" w:space="0" w:color="auto"/>
                                                                          </w:divBdr>
                                                                          <w:divsChild>
                                                                            <w:div w:id="937565978">
                                                                              <w:marLeft w:val="0"/>
                                                                              <w:marRight w:val="0"/>
                                                                              <w:marTop w:val="0"/>
                                                                              <w:marBottom w:val="0"/>
                                                                              <w:divBdr>
                                                                                <w:top w:val="none" w:sz="0" w:space="0" w:color="auto"/>
                                                                                <w:left w:val="none" w:sz="0" w:space="0" w:color="auto"/>
                                                                                <w:bottom w:val="none" w:sz="0" w:space="0" w:color="auto"/>
                                                                                <w:right w:val="none" w:sz="0" w:space="0" w:color="auto"/>
                                                                              </w:divBdr>
                                                                              <w:divsChild>
                                                                                <w:div w:id="237062334">
                                                                                  <w:marLeft w:val="0"/>
                                                                                  <w:marRight w:val="0"/>
                                                                                  <w:marTop w:val="0"/>
                                                                                  <w:marBottom w:val="0"/>
                                                                                  <w:divBdr>
                                                                                    <w:top w:val="none" w:sz="0" w:space="0" w:color="auto"/>
                                                                                    <w:left w:val="none" w:sz="0" w:space="0" w:color="auto"/>
                                                                                    <w:bottom w:val="none" w:sz="0" w:space="0" w:color="auto"/>
                                                                                    <w:right w:val="none" w:sz="0" w:space="0" w:color="auto"/>
                                                                                  </w:divBdr>
                                                                                  <w:divsChild>
                                                                                    <w:div w:id="2037728408">
                                                                                      <w:marLeft w:val="0"/>
                                                                                      <w:marRight w:val="0"/>
                                                                                      <w:marTop w:val="0"/>
                                                                                      <w:marBottom w:val="0"/>
                                                                                      <w:divBdr>
                                                                                        <w:top w:val="none" w:sz="0" w:space="0" w:color="auto"/>
                                                                                        <w:left w:val="none" w:sz="0" w:space="0" w:color="auto"/>
                                                                                        <w:bottom w:val="none" w:sz="0" w:space="0" w:color="auto"/>
                                                                                        <w:right w:val="none" w:sz="0" w:space="0" w:color="auto"/>
                                                                                      </w:divBdr>
                                                                                      <w:divsChild>
                                                                                        <w:div w:id="1937443767">
                                                                                          <w:marLeft w:val="0"/>
                                                                                          <w:marRight w:val="0"/>
                                                                                          <w:marTop w:val="0"/>
                                                                                          <w:marBottom w:val="0"/>
                                                                                          <w:divBdr>
                                                                                            <w:top w:val="none" w:sz="0" w:space="0" w:color="auto"/>
                                                                                            <w:left w:val="none" w:sz="0" w:space="0" w:color="auto"/>
                                                                                            <w:bottom w:val="none" w:sz="0" w:space="0" w:color="auto"/>
                                                                                            <w:right w:val="none" w:sz="0" w:space="0" w:color="auto"/>
                                                                                          </w:divBdr>
                                                                                          <w:divsChild>
                                                                                            <w:div w:id="1987737368">
                                                                                              <w:marLeft w:val="0"/>
                                                                                              <w:marRight w:val="120"/>
                                                                                              <w:marTop w:val="0"/>
                                                                                              <w:marBottom w:val="150"/>
                                                                                              <w:divBdr>
                                                                                                <w:top w:val="single" w:sz="2" w:space="0" w:color="EFEFEF"/>
                                                                                                <w:left w:val="single" w:sz="6" w:space="0" w:color="EFEFEF"/>
                                                                                                <w:bottom w:val="single" w:sz="6" w:space="0" w:color="E2E2E2"/>
                                                                                                <w:right w:val="single" w:sz="6" w:space="0" w:color="EFEFEF"/>
                                                                                              </w:divBdr>
                                                                                              <w:divsChild>
                                                                                                <w:div w:id="84964210">
                                                                                                  <w:marLeft w:val="0"/>
                                                                                                  <w:marRight w:val="0"/>
                                                                                                  <w:marTop w:val="0"/>
                                                                                                  <w:marBottom w:val="0"/>
                                                                                                  <w:divBdr>
                                                                                                    <w:top w:val="none" w:sz="0" w:space="0" w:color="auto"/>
                                                                                                    <w:left w:val="none" w:sz="0" w:space="0" w:color="auto"/>
                                                                                                    <w:bottom w:val="none" w:sz="0" w:space="0" w:color="auto"/>
                                                                                                    <w:right w:val="none" w:sz="0" w:space="0" w:color="auto"/>
                                                                                                  </w:divBdr>
                                                                                                  <w:divsChild>
                                                                                                    <w:div w:id="2128233540">
                                                                                                      <w:marLeft w:val="0"/>
                                                                                                      <w:marRight w:val="0"/>
                                                                                                      <w:marTop w:val="0"/>
                                                                                                      <w:marBottom w:val="0"/>
                                                                                                      <w:divBdr>
                                                                                                        <w:top w:val="none" w:sz="0" w:space="0" w:color="auto"/>
                                                                                                        <w:left w:val="none" w:sz="0" w:space="0" w:color="auto"/>
                                                                                                        <w:bottom w:val="none" w:sz="0" w:space="0" w:color="auto"/>
                                                                                                        <w:right w:val="none" w:sz="0" w:space="0" w:color="auto"/>
                                                                                                      </w:divBdr>
                                                                                                      <w:divsChild>
                                                                                                        <w:div w:id="1448701776">
                                                                                                          <w:marLeft w:val="0"/>
                                                                                                          <w:marRight w:val="0"/>
                                                                                                          <w:marTop w:val="0"/>
                                                                                                          <w:marBottom w:val="0"/>
                                                                                                          <w:divBdr>
                                                                                                            <w:top w:val="none" w:sz="0" w:space="0" w:color="auto"/>
                                                                                                            <w:left w:val="none" w:sz="0" w:space="0" w:color="auto"/>
                                                                                                            <w:bottom w:val="none" w:sz="0" w:space="0" w:color="auto"/>
                                                                                                            <w:right w:val="none" w:sz="0" w:space="0" w:color="auto"/>
                                                                                                          </w:divBdr>
                                                                                                          <w:divsChild>
                                                                                                            <w:div w:id="1175925355">
                                                                                                              <w:marLeft w:val="0"/>
                                                                                                              <w:marRight w:val="0"/>
                                                                                                              <w:marTop w:val="0"/>
                                                                                                              <w:marBottom w:val="0"/>
                                                                                                              <w:divBdr>
                                                                                                                <w:top w:val="none" w:sz="0" w:space="0" w:color="auto"/>
                                                                                                                <w:left w:val="none" w:sz="0" w:space="0" w:color="auto"/>
                                                                                                                <w:bottom w:val="none" w:sz="0" w:space="0" w:color="auto"/>
                                                                                                                <w:right w:val="none" w:sz="0" w:space="0" w:color="auto"/>
                                                                                                              </w:divBdr>
                                                                                                              <w:divsChild>
                                                                                                                <w:div w:id="1173764031">
                                                                                                                  <w:marLeft w:val="0"/>
                                                                                                                  <w:marRight w:val="0"/>
                                                                                                                  <w:marTop w:val="0"/>
                                                                                                                  <w:marBottom w:val="0"/>
                                                                                                                  <w:divBdr>
                                                                                                                    <w:top w:val="single" w:sz="2" w:space="4" w:color="D8D8D8"/>
                                                                                                                    <w:left w:val="single" w:sz="2" w:space="0" w:color="D8D8D8"/>
                                                                                                                    <w:bottom w:val="single" w:sz="2" w:space="4" w:color="D8D8D8"/>
                                                                                                                    <w:right w:val="single" w:sz="2" w:space="0" w:color="D8D8D8"/>
                                                                                                                  </w:divBdr>
                                                                                                                  <w:divsChild>
                                                                                                                    <w:div w:id="1549608898">
                                                                                                                      <w:marLeft w:val="225"/>
                                                                                                                      <w:marRight w:val="225"/>
                                                                                                                      <w:marTop w:val="75"/>
                                                                                                                      <w:marBottom w:val="75"/>
                                                                                                                      <w:divBdr>
                                                                                                                        <w:top w:val="none" w:sz="0" w:space="0" w:color="auto"/>
                                                                                                                        <w:left w:val="none" w:sz="0" w:space="0" w:color="auto"/>
                                                                                                                        <w:bottom w:val="none" w:sz="0" w:space="0" w:color="auto"/>
                                                                                                                        <w:right w:val="none" w:sz="0" w:space="0" w:color="auto"/>
                                                                                                                      </w:divBdr>
                                                                                                                      <w:divsChild>
                                                                                                                        <w:div w:id="454641101">
                                                                                                                          <w:marLeft w:val="0"/>
                                                                                                                          <w:marRight w:val="0"/>
                                                                                                                          <w:marTop w:val="0"/>
                                                                                                                          <w:marBottom w:val="0"/>
                                                                                                                          <w:divBdr>
                                                                                                                            <w:top w:val="single" w:sz="6" w:space="0" w:color="auto"/>
                                                                                                                            <w:left w:val="single" w:sz="6" w:space="0" w:color="auto"/>
                                                                                                                            <w:bottom w:val="single" w:sz="6" w:space="0" w:color="auto"/>
                                                                                                                            <w:right w:val="single" w:sz="6" w:space="0" w:color="auto"/>
                                                                                                                          </w:divBdr>
                                                                                                                          <w:divsChild>
                                                                                                                            <w:div w:id="753740560">
                                                                                                                              <w:marLeft w:val="0"/>
                                                                                                                              <w:marRight w:val="0"/>
                                                                                                                              <w:marTop w:val="0"/>
                                                                                                                              <w:marBottom w:val="0"/>
                                                                                                                              <w:divBdr>
                                                                                                                                <w:top w:val="none" w:sz="0" w:space="0" w:color="auto"/>
                                                                                                                                <w:left w:val="none" w:sz="0" w:space="0" w:color="auto"/>
                                                                                                                                <w:bottom w:val="none" w:sz="0" w:space="0" w:color="auto"/>
                                                                                                                                <w:right w:val="none" w:sz="0" w:space="0" w:color="auto"/>
                                                                                                                              </w:divBdr>
                                                                                                                              <w:divsChild>
                                                                                                                                <w:div w:id="42028311">
                                                                                                                                  <w:marLeft w:val="0"/>
                                                                                                                                  <w:marRight w:val="0"/>
                                                                                                                                  <w:marTop w:val="0"/>
                                                                                                                                  <w:marBottom w:val="0"/>
                                                                                                                                  <w:divBdr>
                                                                                                                                    <w:top w:val="none" w:sz="0" w:space="0" w:color="auto"/>
                                                                                                                                    <w:left w:val="none" w:sz="0" w:space="0" w:color="auto"/>
                                                                                                                                    <w:bottom w:val="none" w:sz="0" w:space="0" w:color="auto"/>
                                                                                                                                    <w:right w:val="none" w:sz="0" w:space="0" w:color="auto"/>
                                                                                                                                  </w:divBdr>
                                                                                                                                </w:div>
                                                                                                                                <w:div w:id="313340258">
                                                                                                                                  <w:marLeft w:val="0"/>
                                                                                                                                  <w:marRight w:val="0"/>
                                                                                                                                  <w:marTop w:val="0"/>
                                                                                                                                  <w:marBottom w:val="0"/>
                                                                                                                                  <w:divBdr>
                                                                                                                                    <w:top w:val="none" w:sz="0" w:space="0" w:color="auto"/>
                                                                                                                                    <w:left w:val="none" w:sz="0" w:space="0" w:color="auto"/>
                                                                                                                                    <w:bottom w:val="none" w:sz="0" w:space="0" w:color="auto"/>
                                                                                                                                    <w:right w:val="none" w:sz="0" w:space="0" w:color="auto"/>
                                                                                                                                  </w:divBdr>
                                                                                                                                </w:div>
                                                                                                                                <w:div w:id="336814449">
                                                                                                                                  <w:marLeft w:val="0"/>
                                                                                                                                  <w:marRight w:val="0"/>
                                                                                                                                  <w:marTop w:val="0"/>
                                                                                                                                  <w:marBottom w:val="0"/>
                                                                                                                                  <w:divBdr>
                                                                                                                                    <w:top w:val="none" w:sz="0" w:space="0" w:color="auto"/>
                                                                                                                                    <w:left w:val="none" w:sz="0" w:space="0" w:color="auto"/>
                                                                                                                                    <w:bottom w:val="none" w:sz="0" w:space="0" w:color="auto"/>
                                                                                                                                    <w:right w:val="none" w:sz="0" w:space="0" w:color="auto"/>
                                                                                                                                  </w:divBdr>
                                                                                                                                </w:div>
                                                                                                                                <w:div w:id="473567682">
                                                                                                                                  <w:marLeft w:val="0"/>
                                                                                                                                  <w:marRight w:val="0"/>
                                                                                                                                  <w:marTop w:val="0"/>
                                                                                                                                  <w:marBottom w:val="0"/>
                                                                                                                                  <w:divBdr>
                                                                                                                                    <w:top w:val="none" w:sz="0" w:space="0" w:color="auto"/>
                                                                                                                                    <w:left w:val="none" w:sz="0" w:space="0" w:color="auto"/>
                                                                                                                                    <w:bottom w:val="none" w:sz="0" w:space="0" w:color="auto"/>
                                                                                                                                    <w:right w:val="none" w:sz="0" w:space="0" w:color="auto"/>
                                                                                                                                  </w:divBdr>
                                                                                                                                </w:div>
                                                                                                                                <w:div w:id="849609364">
                                                                                                                                  <w:marLeft w:val="0"/>
                                                                                                                                  <w:marRight w:val="0"/>
                                                                                                                                  <w:marTop w:val="0"/>
                                                                                                                                  <w:marBottom w:val="0"/>
                                                                                                                                  <w:divBdr>
                                                                                                                                    <w:top w:val="none" w:sz="0" w:space="0" w:color="auto"/>
                                                                                                                                    <w:left w:val="none" w:sz="0" w:space="0" w:color="auto"/>
                                                                                                                                    <w:bottom w:val="none" w:sz="0" w:space="0" w:color="auto"/>
                                                                                                                                    <w:right w:val="none" w:sz="0" w:space="0" w:color="auto"/>
                                                                                                                                  </w:divBdr>
                                                                                                                                </w:div>
                                                                                                                                <w:div w:id="890967368">
                                                                                                                                  <w:marLeft w:val="0"/>
                                                                                                                                  <w:marRight w:val="0"/>
                                                                                                                                  <w:marTop w:val="0"/>
                                                                                                                                  <w:marBottom w:val="0"/>
                                                                                                                                  <w:divBdr>
                                                                                                                                    <w:top w:val="none" w:sz="0" w:space="0" w:color="auto"/>
                                                                                                                                    <w:left w:val="none" w:sz="0" w:space="0" w:color="auto"/>
                                                                                                                                    <w:bottom w:val="none" w:sz="0" w:space="0" w:color="auto"/>
                                                                                                                                    <w:right w:val="none" w:sz="0" w:space="0" w:color="auto"/>
                                                                                                                                  </w:divBdr>
                                                                                                                                </w:div>
                                                                                                                                <w:div w:id="948463961">
                                                                                                                                  <w:marLeft w:val="0"/>
                                                                                                                                  <w:marRight w:val="0"/>
                                                                                                                                  <w:marTop w:val="0"/>
                                                                                                                                  <w:marBottom w:val="0"/>
                                                                                                                                  <w:divBdr>
                                                                                                                                    <w:top w:val="none" w:sz="0" w:space="0" w:color="auto"/>
                                                                                                                                    <w:left w:val="none" w:sz="0" w:space="0" w:color="auto"/>
                                                                                                                                    <w:bottom w:val="none" w:sz="0" w:space="0" w:color="auto"/>
                                                                                                                                    <w:right w:val="none" w:sz="0" w:space="0" w:color="auto"/>
                                                                                                                                  </w:divBdr>
                                                                                                                                </w:div>
                                                                                                                                <w:div w:id="1009986126">
                                                                                                                                  <w:marLeft w:val="0"/>
                                                                                                                                  <w:marRight w:val="0"/>
                                                                                                                                  <w:marTop w:val="0"/>
                                                                                                                                  <w:marBottom w:val="0"/>
                                                                                                                                  <w:divBdr>
                                                                                                                                    <w:top w:val="none" w:sz="0" w:space="0" w:color="auto"/>
                                                                                                                                    <w:left w:val="none" w:sz="0" w:space="0" w:color="auto"/>
                                                                                                                                    <w:bottom w:val="none" w:sz="0" w:space="0" w:color="auto"/>
                                                                                                                                    <w:right w:val="none" w:sz="0" w:space="0" w:color="auto"/>
                                                                                                                                  </w:divBdr>
                                                                                                                                </w:div>
                                                                                                                                <w:div w:id="1124425534">
                                                                                                                                  <w:marLeft w:val="0"/>
                                                                                                                                  <w:marRight w:val="0"/>
                                                                                                                                  <w:marTop w:val="0"/>
                                                                                                                                  <w:marBottom w:val="0"/>
                                                                                                                                  <w:divBdr>
                                                                                                                                    <w:top w:val="none" w:sz="0" w:space="0" w:color="auto"/>
                                                                                                                                    <w:left w:val="none" w:sz="0" w:space="0" w:color="auto"/>
                                                                                                                                    <w:bottom w:val="none" w:sz="0" w:space="0" w:color="auto"/>
                                                                                                                                    <w:right w:val="none" w:sz="0" w:space="0" w:color="auto"/>
                                                                                                                                  </w:divBdr>
                                                                                                                                </w:div>
                                                                                                                                <w:div w:id="1356080472">
                                                                                                                                  <w:marLeft w:val="0"/>
                                                                                                                                  <w:marRight w:val="0"/>
                                                                                                                                  <w:marTop w:val="0"/>
                                                                                                                                  <w:marBottom w:val="0"/>
                                                                                                                                  <w:divBdr>
                                                                                                                                    <w:top w:val="none" w:sz="0" w:space="0" w:color="auto"/>
                                                                                                                                    <w:left w:val="none" w:sz="0" w:space="0" w:color="auto"/>
                                                                                                                                    <w:bottom w:val="none" w:sz="0" w:space="0" w:color="auto"/>
                                                                                                                                    <w:right w:val="none" w:sz="0" w:space="0" w:color="auto"/>
                                                                                                                                  </w:divBdr>
                                                                                                                                </w:div>
                                                                                                                                <w:div w:id="1424448627">
                                                                                                                                  <w:marLeft w:val="0"/>
                                                                                                                                  <w:marRight w:val="0"/>
                                                                                                                                  <w:marTop w:val="0"/>
                                                                                                                                  <w:marBottom w:val="0"/>
                                                                                                                                  <w:divBdr>
                                                                                                                                    <w:top w:val="none" w:sz="0" w:space="0" w:color="auto"/>
                                                                                                                                    <w:left w:val="none" w:sz="0" w:space="0" w:color="auto"/>
                                                                                                                                    <w:bottom w:val="none" w:sz="0" w:space="0" w:color="auto"/>
                                                                                                                                    <w:right w:val="none" w:sz="0" w:space="0" w:color="auto"/>
                                                                                                                                  </w:divBdr>
                                                                                                                                </w:div>
                                                                                                                                <w:div w:id="1447654304">
                                                                                                                                  <w:marLeft w:val="0"/>
                                                                                                                                  <w:marRight w:val="0"/>
                                                                                                                                  <w:marTop w:val="0"/>
                                                                                                                                  <w:marBottom w:val="0"/>
                                                                                                                                  <w:divBdr>
                                                                                                                                    <w:top w:val="none" w:sz="0" w:space="0" w:color="auto"/>
                                                                                                                                    <w:left w:val="none" w:sz="0" w:space="0" w:color="auto"/>
                                                                                                                                    <w:bottom w:val="none" w:sz="0" w:space="0" w:color="auto"/>
                                                                                                                                    <w:right w:val="none" w:sz="0" w:space="0" w:color="auto"/>
                                                                                                                                  </w:divBdr>
                                                                                                                                </w:div>
                                                                                                                                <w:div w:id="1785267191">
                                                                                                                                  <w:marLeft w:val="0"/>
                                                                                                                                  <w:marRight w:val="0"/>
                                                                                                                                  <w:marTop w:val="0"/>
                                                                                                                                  <w:marBottom w:val="0"/>
                                                                                                                                  <w:divBdr>
                                                                                                                                    <w:top w:val="none" w:sz="0" w:space="0" w:color="auto"/>
                                                                                                                                    <w:left w:val="none" w:sz="0" w:space="0" w:color="auto"/>
                                                                                                                                    <w:bottom w:val="none" w:sz="0" w:space="0" w:color="auto"/>
                                                                                                                                    <w:right w:val="none" w:sz="0" w:space="0" w:color="auto"/>
                                                                                                                                  </w:divBdr>
                                                                                                                                </w:div>
                                                                                                                                <w:div w:id="1792746106">
                                                                                                                                  <w:marLeft w:val="0"/>
                                                                                                                                  <w:marRight w:val="0"/>
                                                                                                                                  <w:marTop w:val="0"/>
                                                                                                                                  <w:marBottom w:val="0"/>
                                                                                                                                  <w:divBdr>
                                                                                                                                    <w:top w:val="none" w:sz="0" w:space="0" w:color="auto"/>
                                                                                                                                    <w:left w:val="none" w:sz="0" w:space="0" w:color="auto"/>
                                                                                                                                    <w:bottom w:val="none" w:sz="0" w:space="0" w:color="auto"/>
                                                                                                                                    <w:right w:val="none" w:sz="0" w:space="0" w:color="auto"/>
                                                                                                                                  </w:divBdr>
                                                                                                                                </w:div>
                                                                                                                                <w:div w:id="20462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96402">
      <w:bodyDiv w:val="1"/>
      <w:marLeft w:val="0"/>
      <w:marRight w:val="0"/>
      <w:marTop w:val="0"/>
      <w:marBottom w:val="0"/>
      <w:divBdr>
        <w:top w:val="none" w:sz="0" w:space="0" w:color="auto"/>
        <w:left w:val="none" w:sz="0" w:space="0" w:color="auto"/>
        <w:bottom w:val="none" w:sz="0" w:space="0" w:color="auto"/>
        <w:right w:val="none" w:sz="0" w:space="0" w:color="auto"/>
      </w:divBdr>
    </w:div>
    <w:div w:id="72974242">
      <w:bodyDiv w:val="1"/>
      <w:marLeft w:val="0"/>
      <w:marRight w:val="0"/>
      <w:marTop w:val="0"/>
      <w:marBottom w:val="0"/>
      <w:divBdr>
        <w:top w:val="none" w:sz="0" w:space="0" w:color="auto"/>
        <w:left w:val="none" w:sz="0" w:space="0" w:color="auto"/>
        <w:bottom w:val="none" w:sz="0" w:space="0" w:color="auto"/>
        <w:right w:val="none" w:sz="0" w:space="0" w:color="auto"/>
      </w:divBdr>
    </w:div>
    <w:div w:id="92633039">
      <w:bodyDiv w:val="1"/>
      <w:marLeft w:val="0"/>
      <w:marRight w:val="0"/>
      <w:marTop w:val="0"/>
      <w:marBottom w:val="0"/>
      <w:divBdr>
        <w:top w:val="none" w:sz="0" w:space="0" w:color="auto"/>
        <w:left w:val="none" w:sz="0" w:space="0" w:color="auto"/>
        <w:bottom w:val="none" w:sz="0" w:space="0" w:color="auto"/>
        <w:right w:val="none" w:sz="0" w:space="0" w:color="auto"/>
      </w:divBdr>
      <w:divsChild>
        <w:div w:id="895042382">
          <w:marLeft w:val="0"/>
          <w:marRight w:val="0"/>
          <w:marTop w:val="0"/>
          <w:marBottom w:val="0"/>
          <w:divBdr>
            <w:top w:val="none" w:sz="0" w:space="0" w:color="auto"/>
            <w:left w:val="none" w:sz="0" w:space="0" w:color="auto"/>
            <w:bottom w:val="none" w:sz="0" w:space="0" w:color="auto"/>
            <w:right w:val="none" w:sz="0" w:space="0" w:color="auto"/>
          </w:divBdr>
        </w:div>
        <w:div w:id="570241454">
          <w:marLeft w:val="0"/>
          <w:marRight w:val="0"/>
          <w:marTop w:val="0"/>
          <w:marBottom w:val="0"/>
          <w:divBdr>
            <w:top w:val="none" w:sz="0" w:space="0" w:color="auto"/>
            <w:left w:val="none" w:sz="0" w:space="0" w:color="auto"/>
            <w:bottom w:val="none" w:sz="0" w:space="0" w:color="auto"/>
            <w:right w:val="none" w:sz="0" w:space="0" w:color="auto"/>
          </w:divBdr>
        </w:div>
      </w:divsChild>
    </w:div>
    <w:div w:id="98110014">
      <w:bodyDiv w:val="1"/>
      <w:marLeft w:val="0"/>
      <w:marRight w:val="0"/>
      <w:marTop w:val="0"/>
      <w:marBottom w:val="0"/>
      <w:divBdr>
        <w:top w:val="none" w:sz="0" w:space="0" w:color="auto"/>
        <w:left w:val="none" w:sz="0" w:space="0" w:color="auto"/>
        <w:bottom w:val="none" w:sz="0" w:space="0" w:color="auto"/>
        <w:right w:val="none" w:sz="0" w:space="0" w:color="auto"/>
      </w:divBdr>
    </w:div>
    <w:div w:id="111748363">
      <w:bodyDiv w:val="1"/>
      <w:marLeft w:val="0"/>
      <w:marRight w:val="0"/>
      <w:marTop w:val="0"/>
      <w:marBottom w:val="0"/>
      <w:divBdr>
        <w:top w:val="none" w:sz="0" w:space="0" w:color="auto"/>
        <w:left w:val="none" w:sz="0" w:space="0" w:color="auto"/>
        <w:bottom w:val="none" w:sz="0" w:space="0" w:color="auto"/>
        <w:right w:val="none" w:sz="0" w:space="0" w:color="auto"/>
      </w:divBdr>
    </w:div>
    <w:div w:id="154151267">
      <w:bodyDiv w:val="1"/>
      <w:marLeft w:val="0"/>
      <w:marRight w:val="0"/>
      <w:marTop w:val="0"/>
      <w:marBottom w:val="0"/>
      <w:divBdr>
        <w:top w:val="none" w:sz="0" w:space="0" w:color="auto"/>
        <w:left w:val="none" w:sz="0" w:space="0" w:color="auto"/>
        <w:bottom w:val="none" w:sz="0" w:space="0" w:color="auto"/>
        <w:right w:val="none" w:sz="0" w:space="0" w:color="auto"/>
      </w:divBdr>
    </w:div>
    <w:div w:id="197208482">
      <w:bodyDiv w:val="1"/>
      <w:marLeft w:val="0"/>
      <w:marRight w:val="0"/>
      <w:marTop w:val="0"/>
      <w:marBottom w:val="0"/>
      <w:divBdr>
        <w:top w:val="none" w:sz="0" w:space="0" w:color="auto"/>
        <w:left w:val="none" w:sz="0" w:space="0" w:color="auto"/>
        <w:bottom w:val="none" w:sz="0" w:space="0" w:color="auto"/>
        <w:right w:val="none" w:sz="0" w:space="0" w:color="auto"/>
      </w:divBdr>
      <w:divsChild>
        <w:div w:id="275480316">
          <w:marLeft w:val="1570"/>
          <w:marRight w:val="0"/>
          <w:marTop w:val="101"/>
          <w:marBottom w:val="0"/>
          <w:divBdr>
            <w:top w:val="none" w:sz="0" w:space="0" w:color="auto"/>
            <w:left w:val="none" w:sz="0" w:space="0" w:color="auto"/>
            <w:bottom w:val="none" w:sz="0" w:space="0" w:color="auto"/>
            <w:right w:val="none" w:sz="0" w:space="0" w:color="auto"/>
          </w:divBdr>
        </w:div>
        <w:div w:id="426846514">
          <w:marLeft w:val="1570"/>
          <w:marRight w:val="0"/>
          <w:marTop w:val="101"/>
          <w:marBottom w:val="0"/>
          <w:divBdr>
            <w:top w:val="none" w:sz="0" w:space="0" w:color="auto"/>
            <w:left w:val="none" w:sz="0" w:space="0" w:color="auto"/>
            <w:bottom w:val="none" w:sz="0" w:space="0" w:color="auto"/>
            <w:right w:val="none" w:sz="0" w:space="0" w:color="auto"/>
          </w:divBdr>
        </w:div>
        <w:div w:id="1961571932">
          <w:marLeft w:val="1570"/>
          <w:marRight w:val="0"/>
          <w:marTop w:val="101"/>
          <w:marBottom w:val="0"/>
          <w:divBdr>
            <w:top w:val="none" w:sz="0" w:space="0" w:color="auto"/>
            <w:left w:val="none" w:sz="0" w:space="0" w:color="auto"/>
            <w:bottom w:val="none" w:sz="0" w:space="0" w:color="auto"/>
            <w:right w:val="none" w:sz="0" w:space="0" w:color="auto"/>
          </w:divBdr>
        </w:div>
        <w:div w:id="2120025656">
          <w:marLeft w:val="1570"/>
          <w:marRight w:val="0"/>
          <w:marTop w:val="101"/>
          <w:marBottom w:val="0"/>
          <w:divBdr>
            <w:top w:val="none" w:sz="0" w:space="0" w:color="auto"/>
            <w:left w:val="none" w:sz="0" w:space="0" w:color="auto"/>
            <w:bottom w:val="none" w:sz="0" w:space="0" w:color="auto"/>
            <w:right w:val="none" w:sz="0" w:space="0" w:color="auto"/>
          </w:divBdr>
        </w:div>
      </w:divsChild>
    </w:div>
    <w:div w:id="225604382">
      <w:bodyDiv w:val="1"/>
      <w:marLeft w:val="0"/>
      <w:marRight w:val="0"/>
      <w:marTop w:val="0"/>
      <w:marBottom w:val="0"/>
      <w:divBdr>
        <w:top w:val="none" w:sz="0" w:space="0" w:color="auto"/>
        <w:left w:val="none" w:sz="0" w:space="0" w:color="auto"/>
        <w:bottom w:val="none" w:sz="0" w:space="0" w:color="auto"/>
        <w:right w:val="none" w:sz="0" w:space="0" w:color="auto"/>
      </w:divBdr>
    </w:div>
    <w:div w:id="271590195">
      <w:bodyDiv w:val="1"/>
      <w:marLeft w:val="0"/>
      <w:marRight w:val="0"/>
      <w:marTop w:val="0"/>
      <w:marBottom w:val="0"/>
      <w:divBdr>
        <w:top w:val="none" w:sz="0" w:space="0" w:color="auto"/>
        <w:left w:val="none" w:sz="0" w:space="0" w:color="auto"/>
        <w:bottom w:val="none" w:sz="0" w:space="0" w:color="auto"/>
        <w:right w:val="none" w:sz="0" w:space="0" w:color="auto"/>
      </w:divBdr>
    </w:div>
    <w:div w:id="305160587">
      <w:bodyDiv w:val="1"/>
      <w:marLeft w:val="0"/>
      <w:marRight w:val="0"/>
      <w:marTop w:val="0"/>
      <w:marBottom w:val="0"/>
      <w:divBdr>
        <w:top w:val="none" w:sz="0" w:space="0" w:color="auto"/>
        <w:left w:val="none" w:sz="0" w:space="0" w:color="auto"/>
        <w:bottom w:val="none" w:sz="0" w:space="0" w:color="auto"/>
        <w:right w:val="none" w:sz="0" w:space="0" w:color="auto"/>
      </w:divBdr>
      <w:divsChild>
        <w:div w:id="469202863">
          <w:marLeft w:val="576"/>
          <w:marRight w:val="0"/>
          <w:marTop w:val="96"/>
          <w:marBottom w:val="0"/>
          <w:divBdr>
            <w:top w:val="none" w:sz="0" w:space="0" w:color="auto"/>
            <w:left w:val="none" w:sz="0" w:space="0" w:color="auto"/>
            <w:bottom w:val="none" w:sz="0" w:space="0" w:color="auto"/>
            <w:right w:val="none" w:sz="0" w:space="0" w:color="auto"/>
          </w:divBdr>
        </w:div>
        <w:div w:id="944380757">
          <w:marLeft w:val="576"/>
          <w:marRight w:val="0"/>
          <w:marTop w:val="96"/>
          <w:marBottom w:val="0"/>
          <w:divBdr>
            <w:top w:val="none" w:sz="0" w:space="0" w:color="auto"/>
            <w:left w:val="none" w:sz="0" w:space="0" w:color="auto"/>
            <w:bottom w:val="none" w:sz="0" w:space="0" w:color="auto"/>
            <w:right w:val="none" w:sz="0" w:space="0" w:color="auto"/>
          </w:divBdr>
        </w:div>
        <w:div w:id="1029530778">
          <w:marLeft w:val="1570"/>
          <w:marRight w:val="0"/>
          <w:marTop w:val="96"/>
          <w:marBottom w:val="0"/>
          <w:divBdr>
            <w:top w:val="none" w:sz="0" w:space="0" w:color="auto"/>
            <w:left w:val="none" w:sz="0" w:space="0" w:color="auto"/>
            <w:bottom w:val="none" w:sz="0" w:space="0" w:color="auto"/>
            <w:right w:val="none" w:sz="0" w:space="0" w:color="auto"/>
          </w:divBdr>
        </w:div>
        <w:div w:id="1230188035">
          <w:marLeft w:val="1570"/>
          <w:marRight w:val="0"/>
          <w:marTop w:val="96"/>
          <w:marBottom w:val="0"/>
          <w:divBdr>
            <w:top w:val="none" w:sz="0" w:space="0" w:color="auto"/>
            <w:left w:val="none" w:sz="0" w:space="0" w:color="auto"/>
            <w:bottom w:val="none" w:sz="0" w:space="0" w:color="auto"/>
            <w:right w:val="none" w:sz="0" w:space="0" w:color="auto"/>
          </w:divBdr>
        </w:div>
        <w:div w:id="1817604538">
          <w:marLeft w:val="1570"/>
          <w:marRight w:val="0"/>
          <w:marTop w:val="96"/>
          <w:marBottom w:val="0"/>
          <w:divBdr>
            <w:top w:val="none" w:sz="0" w:space="0" w:color="auto"/>
            <w:left w:val="none" w:sz="0" w:space="0" w:color="auto"/>
            <w:bottom w:val="none" w:sz="0" w:space="0" w:color="auto"/>
            <w:right w:val="none" w:sz="0" w:space="0" w:color="auto"/>
          </w:divBdr>
        </w:div>
        <w:div w:id="1955205641">
          <w:marLeft w:val="1570"/>
          <w:marRight w:val="0"/>
          <w:marTop w:val="96"/>
          <w:marBottom w:val="0"/>
          <w:divBdr>
            <w:top w:val="none" w:sz="0" w:space="0" w:color="auto"/>
            <w:left w:val="none" w:sz="0" w:space="0" w:color="auto"/>
            <w:bottom w:val="none" w:sz="0" w:space="0" w:color="auto"/>
            <w:right w:val="none" w:sz="0" w:space="0" w:color="auto"/>
          </w:divBdr>
        </w:div>
        <w:div w:id="1999846893">
          <w:marLeft w:val="1570"/>
          <w:marRight w:val="0"/>
          <w:marTop w:val="96"/>
          <w:marBottom w:val="0"/>
          <w:divBdr>
            <w:top w:val="none" w:sz="0" w:space="0" w:color="auto"/>
            <w:left w:val="none" w:sz="0" w:space="0" w:color="auto"/>
            <w:bottom w:val="none" w:sz="0" w:space="0" w:color="auto"/>
            <w:right w:val="none" w:sz="0" w:space="0" w:color="auto"/>
          </w:divBdr>
        </w:div>
      </w:divsChild>
    </w:div>
    <w:div w:id="349331579">
      <w:bodyDiv w:val="1"/>
      <w:marLeft w:val="0"/>
      <w:marRight w:val="0"/>
      <w:marTop w:val="0"/>
      <w:marBottom w:val="0"/>
      <w:divBdr>
        <w:top w:val="none" w:sz="0" w:space="0" w:color="auto"/>
        <w:left w:val="none" w:sz="0" w:space="0" w:color="auto"/>
        <w:bottom w:val="none" w:sz="0" w:space="0" w:color="auto"/>
        <w:right w:val="none" w:sz="0" w:space="0" w:color="auto"/>
      </w:divBdr>
      <w:divsChild>
        <w:div w:id="537858017">
          <w:marLeft w:val="1570"/>
          <w:marRight w:val="0"/>
          <w:marTop w:val="101"/>
          <w:marBottom w:val="0"/>
          <w:divBdr>
            <w:top w:val="none" w:sz="0" w:space="0" w:color="auto"/>
            <w:left w:val="none" w:sz="0" w:space="0" w:color="auto"/>
            <w:bottom w:val="none" w:sz="0" w:space="0" w:color="auto"/>
            <w:right w:val="none" w:sz="0" w:space="0" w:color="auto"/>
          </w:divBdr>
        </w:div>
        <w:div w:id="1954944486">
          <w:marLeft w:val="1570"/>
          <w:marRight w:val="0"/>
          <w:marTop w:val="101"/>
          <w:marBottom w:val="0"/>
          <w:divBdr>
            <w:top w:val="none" w:sz="0" w:space="0" w:color="auto"/>
            <w:left w:val="none" w:sz="0" w:space="0" w:color="auto"/>
            <w:bottom w:val="none" w:sz="0" w:space="0" w:color="auto"/>
            <w:right w:val="none" w:sz="0" w:space="0" w:color="auto"/>
          </w:divBdr>
        </w:div>
      </w:divsChild>
    </w:div>
    <w:div w:id="402920847">
      <w:bodyDiv w:val="1"/>
      <w:marLeft w:val="0"/>
      <w:marRight w:val="0"/>
      <w:marTop w:val="0"/>
      <w:marBottom w:val="0"/>
      <w:divBdr>
        <w:top w:val="none" w:sz="0" w:space="0" w:color="auto"/>
        <w:left w:val="none" w:sz="0" w:space="0" w:color="auto"/>
        <w:bottom w:val="none" w:sz="0" w:space="0" w:color="auto"/>
        <w:right w:val="none" w:sz="0" w:space="0" w:color="auto"/>
      </w:divBdr>
    </w:div>
    <w:div w:id="405149664">
      <w:bodyDiv w:val="1"/>
      <w:marLeft w:val="0"/>
      <w:marRight w:val="0"/>
      <w:marTop w:val="0"/>
      <w:marBottom w:val="0"/>
      <w:divBdr>
        <w:top w:val="none" w:sz="0" w:space="0" w:color="auto"/>
        <w:left w:val="none" w:sz="0" w:space="0" w:color="auto"/>
        <w:bottom w:val="none" w:sz="0" w:space="0" w:color="auto"/>
        <w:right w:val="none" w:sz="0" w:space="0" w:color="auto"/>
      </w:divBdr>
    </w:div>
    <w:div w:id="407774942">
      <w:bodyDiv w:val="1"/>
      <w:marLeft w:val="0"/>
      <w:marRight w:val="0"/>
      <w:marTop w:val="0"/>
      <w:marBottom w:val="0"/>
      <w:divBdr>
        <w:top w:val="none" w:sz="0" w:space="0" w:color="auto"/>
        <w:left w:val="none" w:sz="0" w:space="0" w:color="auto"/>
        <w:bottom w:val="none" w:sz="0" w:space="0" w:color="auto"/>
        <w:right w:val="none" w:sz="0" w:space="0" w:color="auto"/>
      </w:divBdr>
      <w:divsChild>
        <w:div w:id="350883818">
          <w:marLeft w:val="1570"/>
          <w:marRight w:val="0"/>
          <w:marTop w:val="96"/>
          <w:marBottom w:val="0"/>
          <w:divBdr>
            <w:top w:val="none" w:sz="0" w:space="0" w:color="auto"/>
            <w:left w:val="none" w:sz="0" w:space="0" w:color="auto"/>
            <w:bottom w:val="none" w:sz="0" w:space="0" w:color="auto"/>
            <w:right w:val="none" w:sz="0" w:space="0" w:color="auto"/>
          </w:divBdr>
        </w:div>
      </w:divsChild>
    </w:div>
    <w:div w:id="425152821">
      <w:bodyDiv w:val="1"/>
      <w:marLeft w:val="0"/>
      <w:marRight w:val="0"/>
      <w:marTop w:val="0"/>
      <w:marBottom w:val="0"/>
      <w:divBdr>
        <w:top w:val="none" w:sz="0" w:space="0" w:color="auto"/>
        <w:left w:val="none" w:sz="0" w:space="0" w:color="auto"/>
        <w:bottom w:val="none" w:sz="0" w:space="0" w:color="auto"/>
        <w:right w:val="none" w:sz="0" w:space="0" w:color="auto"/>
      </w:divBdr>
      <w:divsChild>
        <w:div w:id="803621812">
          <w:marLeft w:val="1570"/>
          <w:marRight w:val="0"/>
          <w:marTop w:val="101"/>
          <w:marBottom w:val="0"/>
          <w:divBdr>
            <w:top w:val="none" w:sz="0" w:space="0" w:color="auto"/>
            <w:left w:val="none" w:sz="0" w:space="0" w:color="auto"/>
            <w:bottom w:val="none" w:sz="0" w:space="0" w:color="auto"/>
            <w:right w:val="none" w:sz="0" w:space="0" w:color="auto"/>
          </w:divBdr>
        </w:div>
        <w:div w:id="887910367">
          <w:marLeft w:val="1570"/>
          <w:marRight w:val="0"/>
          <w:marTop w:val="101"/>
          <w:marBottom w:val="0"/>
          <w:divBdr>
            <w:top w:val="none" w:sz="0" w:space="0" w:color="auto"/>
            <w:left w:val="none" w:sz="0" w:space="0" w:color="auto"/>
            <w:bottom w:val="none" w:sz="0" w:space="0" w:color="auto"/>
            <w:right w:val="none" w:sz="0" w:space="0" w:color="auto"/>
          </w:divBdr>
        </w:div>
        <w:div w:id="960762380">
          <w:marLeft w:val="576"/>
          <w:marRight w:val="0"/>
          <w:marTop w:val="101"/>
          <w:marBottom w:val="0"/>
          <w:divBdr>
            <w:top w:val="none" w:sz="0" w:space="0" w:color="auto"/>
            <w:left w:val="none" w:sz="0" w:space="0" w:color="auto"/>
            <w:bottom w:val="none" w:sz="0" w:space="0" w:color="auto"/>
            <w:right w:val="none" w:sz="0" w:space="0" w:color="auto"/>
          </w:divBdr>
        </w:div>
        <w:div w:id="1332486981">
          <w:marLeft w:val="1570"/>
          <w:marRight w:val="0"/>
          <w:marTop w:val="101"/>
          <w:marBottom w:val="0"/>
          <w:divBdr>
            <w:top w:val="none" w:sz="0" w:space="0" w:color="auto"/>
            <w:left w:val="none" w:sz="0" w:space="0" w:color="auto"/>
            <w:bottom w:val="none" w:sz="0" w:space="0" w:color="auto"/>
            <w:right w:val="none" w:sz="0" w:space="0" w:color="auto"/>
          </w:divBdr>
        </w:div>
        <w:div w:id="1898928452">
          <w:marLeft w:val="1570"/>
          <w:marRight w:val="0"/>
          <w:marTop w:val="101"/>
          <w:marBottom w:val="0"/>
          <w:divBdr>
            <w:top w:val="none" w:sz="0" w:space="0" w:color="auto"/>
            <w:left w:val="none" w:sz="0" w:space="0" w:color="auto"/>
            <w:bottom w:val="none" w:sz="0" w:space="0" w:color="auto"/>
            <w:right w:val="none" w:sz="0" w:space="0" w:color="auto"/>
          </w:divBdr>
        </w:div>
        <w:div w:id="2055152801">
          <w:marLeft w:val="1570"/>
          <w:marRight w:val="0"/>
          <w:marTop w:val="101"/>
          <w:marBottom w:val="0"/>
          <w:divBdr>
            <w:top w:val="none" w:sz="0" w:space="0" w:color="auto"/>
            <w:left w:val="none" w:sz="0" w:space="0" w:color="auto"/>
            <w:bottom w:val="none" w:sz="0" w:space="0" w:color="auto"/>
            <w:right w:val="none" w:sz="0" w:space="0" w:color="auto"/>
          </w:divBdr>
        </w:div>
        <w:div w:id="2123722684">
          <w:marLeft w:val="1570"/>
          <w:marRight w:val="0"/>
          <w:marTop w:val="101"/>
          <w:marBottom w:val="0"/>
          <w:divBdr>
            <w:top w:val="none" w:sz="0" w:space="0" w:color="auto"/>
            <w:left w:val="none" w:sz="0" w:space="0" w:color="auto"/>
            <w:bottom w:val="none" w:sz="0" w:space="0" w:color="auto"/>
            <w:right w:val="none" w:sz="0" w:space="0" w:color="auto"/>
          </w:divBdr>
        </w:div>
      </w:divsChild>
    </w:div>
    <w:div w:id="496194035">
      <w:bodyDiv w:val="1"/>
      <w:marLeft w:val="0"/>
      <w:marRight w:val="0"/>
      <w:marTop w:val="0"/>
      <w:marBottom w:val="0"/>
      <w:divBdr>
        <w:top w:val="none" w:sz="0" w:space="0" w:color="auto"/>
        <w:left w:val="none" w:sz="0" w:space="0" w:color="auto"/>
        <w:bottom w:val="none" w:sz="0" w:space="0" w:color="auto"/>
        <w:right w:val="none" w:sz="0" w:space="0" w:color="auto"/>
      </w:divBdr>
    </w:div>
    <w:div w:id="529535592">
      <w:bodyDiv w:val="1"/>
      <w:marLeft w:val="0"/>
      <w:marRight w:val="0"/>
      <w:marTop w:val="0"/>
      <w:marBottom w:val="0"/>
      <w:divBdr>
        <w:top w:val="none" w:sz="0" w:space="0" w:color="auto"/>
        <w:left w:val="none" w:sz="0" w:space="0" w:color="auto"/>
        <w:bottom w:val="none" w:sz="0" w:space="0" w:color="auto"/>
        <w:right w:val="none" w:sz="0" w:space="0" w:color="auto"/>
      </w:divBdr>
      <w:divsChild>
        <w:div w:id="166530238">
          <w:marLeft w:val="1570"/>
          <w:marRight w:val="0"/>
          <w:marTop w:val="91"/>
          <w:marBottom w:val="0"/>
          <w:divBdr>
            <w:top w:val="none" w:sz="0" w:space="0" w:color="auto"/>
            <w:left w:val="none" w:sz="0" w:space="0" w:color="auto"/>
            <w:bottom w:val="none" w:sz="0" w:space="0" w:color="auto"/>
            <w:right w:val="none" w:sz="0" w:space="0" w:color="auto"/>
          </w:divBdr>
        </w:div>
        <w:div w:id="1590777278">
          <w:marLeft w:val="1570"/>
          <w:marRight w:val="0"/>
          <w:marTop w:val="91"/>
          <w:marBottom w:val="0"/>
          <w:divBdr>
            <w:top w:val="none" w:sz="0" w:space="0" w:color="auto"/>
            <w:left w:val="none" w:sz="0" w:space="0" w:color="auto"/>
            <w:bottom w:val="none" w:sz="0" w:space="0" w:color="auto"/>
            <w:right w:val="none" w:sz="0" w:space="0" w:color="auto"/>
          </w:divBdr>
        </w:div>
        <w:div w:id="1658847943">
          <w:marLeft w:val="1570"/>
          <w:marRight w:val="0"/>
          <w:marTop w:val="91"/>
          <w:marBottom w:val="0"/>
          <w:divBdr>
            <w:top w:val="none" w:sz="0" w:space="0" w:color="auto"/>
            <w:left w:val="none" w:sz="0" w:space="0" w:color="auto"/>
            <w:bottom w:val="none" w:sz="0" w:space="0" w:color="auto"/>
            <w:right w:val="none" w:sz="0" w:space="0" w:color="auto"/>
          </w:divBdr>
        </w:div>
      </w:divsChild>
    </w:div>
    <w:div w:id="533348742">
      <w:bodyDiv w:val="1"/>
      <w:marLeft w:val="0"/>
      <w:marRight w:val="0"/>
      <w:marTop w:val="0"/>
      <w:marBottom w:val="0"/>
      <w:divBdr>
        <w:top w:val="none" w:sz="0" w:space="0" w:color="auto"/>
        <w:left w:val="none" w:sz="0" w:space="0" w:color="auto"/>
        <w:bottom w:val="none" w:sz="0" w:space="0" w:color="auto"/>
        <w:right w:val="none" w:sz="0" w:space="0" w:color="auto"/>
      </w:divBdr>
    </w:div>
    <w:div w:id="539976724">
      <w:bodyDiv w:val="1"/>
      <w:marLeft w:val="0"/>
      <w:marRight w:val="0"/>
      <w:marTop w:val="0"/>
      <w:marBottom w:val="0"/>
      <w:divBdr>
        <w:top w:val="none" w:sz="0" w:space="0" w:color="auto"/>
        <w:left w:val="none" w:sz="0" w:space="0" w:color="auto"/>
        <w:bottom w:val="none" w:sz="0" w:space="0" w:color="auto"/>
        <w:right w:val="none" w:sz="0" w:space="0" w:color="auto"/>
      </w:divBdr>
      <w:divsChild>
        <w:div w:id="220093502">
          <w:marLeft w:val="720"/>
          <w:marRight w:val="0"/>
          <w:marTop w:val="0"/>
          <w:marBottom w:val="0"/>
          <w:divBdr>
            <w:top w:val="none" w:sz="0" w:space="0" w:color="auto"/>
            <w:left w:val="none" w:sz="0" w:space="0" w:color="auto"/>
            <w:bottom w:val="none" w:sz="0" w:space="0" w:color="auto"/>
            <w:right w:val="none" w:sz="0" w:space="0" w:color="auto"/>
          </w:divBdr>
        </w:div>
        <w:div w:id="692805749">
          <w:marLeft w:val="1541"/>
          <w:marRight w:val="0"/>
          <w:marTop w:val="0"/>
          <w:marBottom w:val="0"/>
          <w:divBdr>
            <w:top w:val="none" w:sz="0" w:space="0" w:color="auto"/>
            <w:left w:val="none" w:sz="0" w:space="0" w:color="auto"/>
            <w:bottom w:val="none" w:sz="0" w:space="0" w:color="auto"/>
            <w:right w:val="none" w:sz="0" w:space="0" w:color="auto"/>
          </w:divBdr>
        </w:div>
        <w:div w:id="875315469">
          <w:marLeft w:val="720"/>
          <w:marRight w:val="0"/>
          <w:marTop w:val="0"/>
          <w:marBottom w:val="0"/>
          <w:divBdr>
            <w:top w:val="none" w:sz="0" w:space="0" w:color="auto"/>
            <w:left w:val="none" w:sz="0" w:space="0" w:color="auto"/>
            <w:bottom w:val="none" w:sz="0" w:space="0" w:color="auto"/>
            <w:right w:val="none" w:sz="0" w:space="0" w:color="auto"/>
          </w:divBdr>
        </w:div>
        <w:div w:id="1018853004">
          <w:marLeft w:val="720"/>
          <w:marRight w:val="0"/>
          <w:marTop w:val="0"/>
          <w:marBottom w:val="0"/>
          <w:divBdr>
            <w:top w:val="none" w:sz="0" w:space="0" w:color="auto"/>
            <w:left w:val="none" w:sz="0" w:space="0" w:color="auto"/>
            <w:bottom w:val="none" w:sz="0" w:space="0" w:color="auto"/>
            <w:right w:val="none" w:sz="0" w:space="0" w:color="auto"/>
          </w:divBdr>
        </w:div>
        <w:div w:id="1205828007">
          <w:marLeft w:val="720"/>
          <w:marRight w:val="0"/>
          <w:marTop w:val="0"/>
          <w:marBottom w:val="0"/>
          <w:divBdr>
            <w:top w:val="none" w:sz="0" w:space="0" w:color="auto"/>
            <w:left w:val="none" w:sz="0" w:space="0" w:color="auto"/>
            <w:bottom w:val="none" w:sz="0" w:space="0" w:color="auto"/>
            <w:right w:val="none" w:sz="0" w:space="0" w:color="auto"/>
          </w:divBdr>
        </w:div>
        <w:div w:id="1350910053">
          <w:marLeft w:val="720"/>
          <w:marRight w:val="0"/>
          <w:marTop w:val="0"/>
          <w:marBottom w:val="0"/>
          <w:divBdr>
            <w:top w:val="none" w:sz="0" w:space="0" w:color="auto"/>
            <w:left w:val="none" w:sz="0" w:space="0" w:color="auto"/>
            <w:bottom w:val="none" w:sz="0" w:space="0" w:color="auto"/>
            <w:right w:val="none" w:sz="0" w:space="0" w:color="auto"/>
          </w:divBdr>
        </w:div>
        <w:div w:id="1363675438">
          <w:marLeft w:val="850"/>
          <w:marRight w:val="0"/>
          <w:marTop w:val="0"/>
          <w:marBottom w:val="0"/>
          <w:divBdr>
            <w:top w:val="none" w:sz="0" w:space="0" w:color="auto"/>
            <w:left w:val="none" w:sz="0" w:space="0" w:color="auto"/>
            <w:bottom w:val="none" w:sz="0" w:space="0" w:color="auto"/>
            <w:right w:val="none" w:sz="0" w:space="0" w:color="auto"/>
          </w:divBdr>
        </w:div>
        <w:div w:id="2110003863">
          <w:marLeft w:val="720"/>
          <w:marRight w:val="0"/>
          <w:marTop w:val="0"/>
          <w:marBottom w:val="0"/>
          <w:divBdr>
            <w:top w:val="none" w:sz="0" w:space="0" w:color="auto"/>
            <w:left w:val="none" w:sz="0" w:space="0" w:color="auto"/>
            <w:bottom w:val="none" w:sz="0" w:space="0" w:color="auto"/>
            <w:right w:val="none" w:sz="0" w:space="0" w:color="auto"/>
          </w:divBdr>
        </w:div>
        <w:div w:id="2113746936">
          <w:marLeft w:val="1541"/>
          <w:marRight w:val="0"/>
          <w:marTop w:val="0"/>
          <w:marBottom w:val="0"/>
          <w:divBdr>
            <w:top w:val="none" w:sz="0" w:space="0" w:color="auto"/>
            <w:left w:val="none" w:sz="0" w:space="0" w:color="auto"/>
            <w:bottom w:val="none" w:sz="0" w:space="0" w:color="auto"/>
            <w:right w:val="none" w:sz="0" w:space="0" w:color="auto"/>
          </w:divBdr>
        </w:div>
      </w:divsChild>
    </w:div>
    <w:div w:id="614478902">
      <w:bodyDiv w:val="1"/>
      <w:marLeft w:val="0"/>
      <w:marRight w:val="0"/>
      <w:marTop w:val="0"/>
      <w:marBottom w:val="0"/>
      <w:divBdr>
        <w:top w:val="none" w:sz="0" w:space="0" w:color="auto"/>
        <w:left w:val="none" w:sz="0" w:space="0" w:color="auto"/>
        <w:bottom w:val="none" w:sz="0" w:space="0" w:color="auto"/>
        <w:right w:val="none" w:sz="0" w:space="0" w:color="auto"/>
      </w:divBdr>
    </w:div>
    <w:div w:id="646326689">
      <w:bodyDiv w:val="1"/>
      <w:marLeft w:val="0"/>
      <w:marRight w:val="0"/>
      <w:marTop w:val="0"/>
      <w:marBottom w:val="0"/>
      <w:divBdr>
        <w:top w:val="none" w:sz="0" w:space="0" w:color="auto"/>
        <w:left w:val="none" w:sz="0" w:space="0" w:color="auto"/>
        <w:bottom w:val="none" w:sz="0" w:space="0" w:color="auto"/>
        <w:right w:val="none" w:sz="0" w:space="0" w:color="auto"/>
      </w:divBdr>
      <w:divsChild>
        <w:div w:id="32386929">
          <w:marLeft w:val="1570"/>
          <w:marRight w:val="0"/>
          <w:marTop w:val="91"/>
          <w:marBottom w:val="0"/>
          <w:divBdr>
            <w:top w:val="none" w:sz="0" w:space="0" w:color="auto"/>
            <w:left w:val="none" w:sz="0" w:space="0" w:color="auto"/>
            <w:bottom w:val="none" w:sz="0" w:space="0" w:color="auto"/>
            <w:right w:val="none" w:sz="0" w:space="0" w:color="auto"/>
          </w:divBdr>
        </w:div>
        <w:div w:id="129203871">
          <w:marLeft w:val="1570"/>
          <w:marRight w:val="0"/>
          <w:marTop w:val="91"/>
          <w:marBottom w:val="0"/>
          <w:divBdr>
            <w:top w:val="none" w:sz="0" w:space="0" w:color="auto"/>
            <w:left w:val="none" w:sz="0" w:space="0" w:color="auto"/>
            <w:bottom w:val="none" w:sz="0" w:space="0" w:color="auto"/>
            <w:right w:val="none" w:sz="0" w:space="0" w:color="auto"/>
          </w:divBdr>
        </w:div>
        <w:div w:id="226305907">
          <w:marLeft w:val="1570"/>
          <w:marRight w:val="0"/>
          <w:marTop w:val="91"/>
          <w:marBottom w:val="0"/>
          <w:divBdr>
            <w:top w:val="none" w:sz="0" w:space="0" w:color="auto"/>
            <w:left w:val="none" w:sz="0" w:space="0" w:color="auto"/>
            <w:bottom w:val="none" w:sz="0" w:space="0" w:color="auto"/>
            <w:right w:val="none" w:sz="0" w:space="0" w:color="auto"/>
          </w:divBdr>
        </w:div>
        <w:div w:id="273827202">
          <w:marLeft w:val="1570"/>
          <w:marRight w:val="0"/>
          <w:marTop w:val="91"/>
          <w:marBottom w:val="0"/>
          <w:divBdr>
            <w:top w:val="none" w:sz="0" w:space="0" w:color="auto"/>
            <w:left w:val="none" w:sz="0" w:space="0" w:color="auto"/>
            <w:bottom w:val="none" w:sz="0" w:space="0" w:color="auto"/>
            <w:right w:val="none" w:sz="0" w:space="0" w:color="auto"/>
          </w:divBdr>
        </w:div>
        <w:div w:id="1091044299">
          <w:marLeft w:val="576"/>
          <w:marRight w:val="0"/>
          <w:marTop w:val="106"/>
          <w:marBottom w:val="0"/>
          <w:divBdr>
            <w:top w:val="none" w:sz="0" w:space="0" w:color="auto"/>
            <w:left w:val="none" w:sz="0" w:space="0" w:color="auto"/>
            <w:bottom w:val="none" w:sz="0" w:space="0" w:color="auto"/>
            <w:right w:val="none" w:sz="0" w:space="0" w:color="auto"/>
          </w:divBdr>
        </w:div>
        <w:div w:id="1168713098">
          <w:marLeft w:val="1570"/>
          <w:marRight w:val="0"/>
          <w:marTop w:val="91"/>
          <w:marBottom w:val="0"/>
          <w:divBdr>
            <w:top w:val="none" w:sz="0" w:space="0" w:color="auto"/>
            <w:left w:val="none" w:sz="0" w:space="0" w:color="auto"/>
            <w:bottom w:val="none" w:sz="0" w:space="0" w:color="auto"/>
            <w:right w:val="none" w:sz="0" w:space="0" w:color="auto"/>
          </w:divBdr>
        </w:div>
        <w:div w:id="1217160219">
          <w:marLeft w:val="1570"/>
          <w:marRight w:val="0"/>
          <w:marTop w:val="91"/>
          <w:marBottom w:val="0"/>
          <w:divBdr>
            <w:top w:val="none" w:sz="0" w:space="0" w:color="auto"/>
            <w:left w:val="none" w:sz="0" w:space="0" w:color="auto"/>
            <w:bottom w:val="none" w:sz="0" w:space="0" w:color="auto"/>
            <w:right w:val="none" w:sz="0" w:space="0" w:color="auto"/>
          </w:divBdr>
        </w:div>
        <w:div w:id="1332485383">
          <w:marLeft w:val="1570"/>
          <w:marRight w:val="0"/>
          <w:marTop w:val="91"/>
          <w:marBottom w:val="0"/>
          <w:divBdr>
            <w:top w:val="none" w:sz="0" w:space="0" w:color="auto"/>
            <w:left w:val="none" w:sz="0" w:space="0" w:color="auto"/>
            <w:bottom w:val="none" w:sz="0" w:space="0" w:color="auto"/>
            <w:right w:val="none" w:sz="0" w:space="0" w:color="auto"/>
          </w:divBdr>
        </w:div>
        <w:div w:id="1778716147">
          <w:marLeft w:val="576"/>
          <w:marRight w:val="0"/>
          <w:marTop w:val="106"/>
          <w:marBottom w:val="0"/>
          <w:divBdr>
            <w:top w:val="none" w:sz="0" w:space="0" w:color="auto"/>
            <w:left w:val="none" w:sz="0" w:space="0" w:color="auto"/>
            <w:bottom w:val="none" w:sz="0" w:space="0" w:color="auto"/>
            <w:right w:val="none" w:sz="0" w:space="0" w:color="auto"/>
          </w:divBdr>
        </w:div>
        <w:div w:id="2081319443">
          <w:marLeft w:val="1570"/>
          <w:marRight w:val="0"/>
          <w:marTop w:val="91"/>
          <w:marBottom w:val="0"/>
          <w:divBdr>
            <w:top w:val="none" w:sz="0" w:space="0" w:color="auto"/>
            <w:left w:val="none" w:sz="0" w:space="0" w:color="auto"/>
            <w:bottom w:val="none" w:sz="0" w:space="0" w:color="auto"/>
            <w:right w:val="none" w:sz="0" w:space="0" w:color="auto"/>
          </w:divBdr>
        </w:div>
      </w:divsChild>
    </w:div>
    <w:div w:id="706835589">
      <w:bodyDiv w:val="1"/>
      <w:marLeft w:val="0"/>
      <w:marRight w:val="0"/>
      <w:marTop w:val="0"/>
      <w:marBottom w:val="0"/>
      <w:divBdr>
        <w:top w:val="none" w:sz="0" w:space="0" w:color="auto"/>
        <w:left w:val="none" w:sz="0" w:space="0" w:color="auto"/>
        <w:bottom w:val="none" w:sz="0" w:space="0" w:color="auto"/>
        <w:right w:val="none" w:sz="0" w:space="0" w:color="auto"/>
      </w:divBdr>
      <w:divsChild>
        <w:div w:id="249655835">
          <w:marLeft w:val="576"/>
          <w:marRight w:val="0"/>
          <w:marTop w:val="101"/>
          <w:marBottom w:val="0"/>
          <w:divBdr>
            <w:top w:val="none" w:sz="0" w:space="0" w:color="auto"/>
            <w:left w:val="none" w:sz="0" w:space="0" w:color="auto"/>
            <w:bottom w:val="none" w:sz="0" w:space="0" w:color="auto"/>
            <w:right w:val="none" w:sz="0" w:space="0" w:color="auto"/>
          </w:divBdr>
        </w:div>
        <w:div w:id="301155635">
          <w:marLeft w:val="576"/>
          <w:marRight w:val="0"/>
          <w:marTop w:val="101"/>
          <w:marBottom w:val="0"/>
          <w:divBdr>
            <w:top w:val="none" w:sz="0" w:space="0" w:color="auto"/>
            <w:left w:val="none" w:sz="0" w:space="0" w:color="auto"/>
            <w:bottom w:val="none" w:sz="0" w:space="0" w:color="auto"/>
            <w:right w:val="none" w:sz="0" w:space="0" w:color="auto"/>
          </w:divBdr>
        </w:div>
        <w:div w:id="519272590">
          <w:marLeft w:val="576"/>
          <w:marRight w:val="0"/>
          <w:marTop w:val="101"/>
          <w:marBottom w:val="0"/>
          <w:divBdr>
            <w:top w:val="none" w:sz="0" w:space="0" w:color="auto"/>
            <w:left w:val="none" w:sz="0" w:space="0" w:color="auto"/>
            <w:bottom w:val="none" w:sz="0" w:space="0" w:color="auto"/>
            <w:right w:val="none" w:sz="0" w:space="0" w:color="auto"/>
          </w:divBdr>
        </w:div>
        <w:div w:id="834489446">
          <w:marLeft w:val="576"/>
          <w:marRight w:val="0"/>
          <w:marTop w:val="101"/>
          <w:marBottom w:val="0"/>
          <w:divBdr>
            <w:top w:val="none" w:sz="0" w:space="0" w:color="auto"/>
            <w:left w:val="none" w:sz="0" w:space="0" w:color="auto"/>
            <w:bottom w:val="none" w:sz="0" w:space="0" w:color="auto"/>
            <w:right w:val="none" w:sz="0" w:space="0" w:color="auto"/>
          </w:divBdr>
        </w:div>
        <w:div w:id="910237494">
          <w:marLeft w:val="576"/>
          <w:marRight w:val="0"/>
          <w:marTop w:val="101"/>
          <w:marBottom w:val="0"/>
          <w:divBdr>
            <w:top w:val="none" w:sz="0" w:space="0" w:color="auto"/>
            <w:left w:val="none" w:sz="0" w:space="0" w:color="auto"/>
            <w:bottom w:val="none" w:sz="0" w:space="0" w:color="auto"/>
            <w:right w:val="none" w:sz="0" w:space="0" w:color="auto"/>
          </w:divBdr>
        </w:div>
        <w:div w:id="929656946">
          <w:marLeft w:val="576"/>
          <w:marRight w:val="0"/>
          <w:marTop w:val="101"/>
          <w:marBottom w:val="0"/>
          <w:divBdr>
            <w:top w:val="none" w:sz="0" w:space="0" w:color="auto"/>
            <w:left w:val="none" w:sz="0" w:space="0" w:color="auto"/>
            <w:bottom w:val="none" w:sz="0" w:space="0" w:color="auto"/>
            <w:right w:val="none" w:sz="0" w:space="0" w:color="auto"/>
          </w:divBdr>
        </w:div>
        <w:div w:id="1227885132">
          <w:marLeft w:val="576"/>
          <w:marRight w:val="0"/>
          <w:marTop w:val="101"/>
          <w:marBottom w:val="0"/>
          <w:divBdr>
            <w:top w:val="none" w:sz="0" w:space="0" w:color="auto"/>
            <w:left w:val="none" w:sz="0" w:space="0" w:color="auto"/>
            <w:bottom w:val="none" w:sz="0" w:space="0" w:color="auto"/>
            <w:right w:val="none" w:sz="0" w:space="0" w:color="auto"/>
          </w:divBdr>
        </w:div>
        <w:div w:id="1447457670">
          <w:marLeft w:val="576"/>
          <w:marRight w:val="0"/>
          <w:marTop w:val="101"/>
          <w:marBottom w:val="0"/>
          <w:divBdr>
            <w:top w:val="none" w:sz="0" w:space="0" w:color="auto"/>
            <w:left w:val="none" w:sz="0" w:space="0" w:color="auto"/>
            <w:bottom w:val="none" w:sz="0" w:space="0" w:color="auto"/>
            <w:right w:val="none" w:sz="0" w:space="0" w:color="auto"/>
          </w:divBdr>
        </w:div>
        <w:div w:id="1686176349">
          <w:marLeft w:val="576"/>
          <w:marRight w:val="0"/>
          <w:marTop w:val="101"/>
          <w:marBottom w:val="0"/>
          <w:divBdr>
            <w:top w:val="none" w:sz="0" w:space="0" w:color="auto"/>
            <w:left w:val="none" w:sz="0" w:space="0" w:color="auto"/>
            <w:bottom w:val="none" w:sz="0" w:space="0" w:color="auto"/>
            <w:right w:val="none" w:sz="0" w:space="0" w:color="auto"/>
          </w:divBdr>
        </w:div>
        <w:div w:id="1701011799">
          <w:marLeft w:val="576"/>
          <w:marRight w:val="0"/>
          <w:marTop w:val="101"/>
          <w:marBottom w:val="0"/>
          <w:divBdr>
            <w:top w:val="none" w:sz="0" w:space="0" w:color="auto"/>
            <w:left w:val="none" w:sz="0" w:space="0" w:color="auto"/>
            <w:bottom w:val="none" w:sz="0" w:space="0" w:color="auto"/>
            <w:right w:val="none" w:sz="0" w:space="0" w:color="auto"/>
          </w:divBdr>
        </w:div>
        <w:div w:id="2052457466">
          <w:marLeft w:val="576"/>
          <w:marRight w:val="0"/>
          <w:marTop w:val="101"/>
          <w:marBottom w:val="0"/>
          <w:divBdr>
            <w:top w:val="none" w:sz="0" w:space="0" w:color="auto"/>
            <w:left w:val="none" w:sz="0" w:space="0" w:color="auto"/>
            <w:bottom w:val="none" w:sz="0" w:space="0" w:color="auto"/>
            <w:right w:val="none" w:sz="0" w:space="0" w:color="auto"/>
          </w:divBdr>
        </w:div>
      </w:divsChild>
    </w:div>
    <w:div w:id="726613593">
      <w:bodyDiv w:val="1"/>
      <w:marLeft w:val="0"/>
      <w:marRight w:val="0"/>
      <w:marTop w:val="0"/>
      <w:marBottom w:val="0"/>
      <w:divBdr>
        <w:top w:val="none" w:sz="0" w:space="0" w:color="auto"/>
        <w:left w:val="none" w:sz="0" w:space="0" w:color="auto"/>
        <w:bottom w:val="none" w:sz="0" w:space="0" w:color="auto"/>
        <w:right w:val="none" w:sz="0" w:space="0" w:color="auto"/>
      </w:divBdr>
      <w:divsChild>
        <w:div w:id="936206648">
          <w:marLeft w:val="576"/>
          <w:marRight w:val="0"/>
          <w:marTop w:val="101"/>
          <w:marBottom w:val="0"/>
          <w:divBdr>
            <w:top w:val="none" w:sz="0" w:space="0" w:color="auto"/>
            <w:left w:val="none" w:sz="0" w:space="0" w:color="auto"/>
            <w:bottom w:val="none" w:sz="0" w:space="0" w:color="auto"/>
            <w:right w:val="none" w:sz="0" w:space="0" w:color="auto"/>
          </w:divBdr>
        </w:div>
        <w:div w:id="963927878">
          <w:marLeft w:val="576"/>
          <w:marRight w:val="0"/>
          <w:marTop w:val="101"/>
          <w:marBottom w:val="0"/>
          <w:divBdr>
            <w:top w:val="none" w:sz="0" w:space="0" w:color="auto"/>
            <w:left w:val="none" w:sz="0" w:space="0" w:color="auto"/>
            <w:bottom w:val="none" w:sz="0" w:space="0" w:color="auto"/>
            <w:right w:val="none" w:sz="0" w:space="0" w:color="auto"/>
          </w:divBdr>
        </w:div>
        <w:div w:id="1482431798">
          <w:marLeft w:val="576"/>
          <w:marRight w:val="0"/>
          <w:marTop w:val="101"/>
          <w:marBottom w:val="0"/>
          <w:divBdr>
            <w:top w:val="none" w:sz="0" w:space="0" w:color="auto"/>
            <w:left w:val="none" w:sz="0" w:space="0" w:color="auto"/>
            <w:bottom w:val="none" w:sz="0" w:space="0" w:color="auto"/>
            <w:right w:val="none" w:sz="0" w:space="0" w:color="auto"/>
          </w:divBdr>
        </w:div>
        <w:div w:id="1987781450">
          <w:marLeft w:val="576"/>
          <w:marRight w:val="0"/>
          <w:marTop w:val="101"/>
          <w:marBottom w:val="0"/>
          <w:divBdr>
            <w:top w:val="none" w:sz="0" w:space="0" w:color="auto"/>
            <w:left w:val="none" w:sz="0" w:space="0" w:color="auto"/>
            <w:bottom w:val="none" w:sz="0" w:space="0" w:color="auto"/>
            <w:right w:val="none" w:sz="0" w:space="0" w:color="auto"/>
          </w:divBdr>
        </w:div>
      </w:divsChild>
    </w:div>
    <w:div w:id="732046775">
      <w:bodyDiv w:val="1"/>
      <w:marLeft w:val="0"/>
      <w:marRight w:val="0"/>
      <w:marTop w:val="0"/>
      <w:marBottom w:val="0"/>
      <w:divBdr>
        <w:top w:val="none" w:sz="0" w:space="0" w:color="auto"/>
        <w:left w:val="none" w:sz="0" w:space="0" w:color="auto"/>
        <w:bottom w:val="none" w:sz="0" w:space="0" w:color="auto"/>
        <w:right w:val="none" w:sz="0" w:space="0" w:color="auto"/>
      </w:divBdr>
    </w:div>
    <w:div w:id="748384121">
      <w:bodyDiv w:val="1"/>
      <w:marLeft w:val="0"/>
      <w:marRight w:val="0"/>
      <w:marTop w:val="0"/>
      <w:marBottom w:val="0"/>
      <w:divBdr>
        <w:top w:val="none" w:sz="0" w:space="0" w:color="auto"/>
        <w:left w:val="none" w:sz="0" w:space="0" w:color="auto"/>
        <w:bottom w:val="none" w:sz="0" w:space="0" w:color="auto"/>
        <w:right w:val="none" w:sz="0" w:space="0" w:color="auto"/>
      </w:divBdr>
      <w:divsChild>
        <w:div w:id="1368338193">
          <w:marLeft w:val="1570"/>
          <w:marRight w:val="0"/>
          <w:marTop w:val="91"/>
          <w:marBottom w:val="0"/>
          <w:divBdr>
            <w:top w:val="none" w:sz="0" w:space="0" w:color="auto"/>
            <w:left w:val="none" w:sz="0" w:space="0" w:color="auto"/>
            <w:bottom w:val="none" w:sz="0" w:space="0" w:color="auto"/>
            <w:right w:val="none" w:sz="0" w:space="0" w:color="auto"/>
          </w:divBdr>
        </w:div>
        <w:div w:id="2019653358">
          <w:marLeft w:val="1570"/>
          <w:marRight w:val="0"/>
          <w:marTop w:val="91"/>
          <w:marBottom w:val="0"/>
          <w:divBdr>
            <w:top w:val="none" w:sz="0" w:space="0" w:color="auto"/>
            <w:left w:val="none" w:sz="0" w:space="0" w:color="auto"/>
            <w:bottom w:val="none" w:sz="0" w:space="0" w:color="auto"/>
            <w:right w:val="none" w:sz="0" w:space="0" w:color="auto"/>
          </w:divBdr>
        </w:div>
      </w:divsChild>
    </w:div>
    <w:div w:id="760106803">
      <w:bodyDiv w:val="1"/>
      <w:marLeft w:val="0"/>
      <w:marRight w:val="0"/>
      <w:marTop w:val="0"/>
      <w:marBottom w:val="0"/>
      <w:divBdr>
        <w:top w:val="none" w:sz="0" w:space="0" w:color="auto"/>
        <w:left w:val="none" w:sz="0" w:space="0" w:color="auto"/>
        <w:bottom w:val="none" w:sz="0" w:space="0" w:color="auto"/>
        <w:right w:val="none" w:sz="0" w:space="0" w:color="auto"/>
      </w:divBdr>
    </w:div>
    <w:div w:id="762536126">
      <w:bodyDiv w:val="1"/>
      <w:marLeft w:val="0"/>
      <w:marRight w:val="0"/>
      <w:marTop w:val="0"/>
      <w:marBottom w:val="0"/>
      <w:divBdr>
        <w:top w:val="none" w:sz="0" w:space="0" w:color="auto"/>
        <w:left w:val="none" w:sz="0" w:space="0" w:color="auto"/>
        <w:bottom w:val="none" w:sz="0" w:space="0" w:color="auto"/>
        <w:right w:val="none" w:sz="0" w:space="0" w:color="auto"/>
      </w:divBdr>
    </w:div>
    <w:div w:id="765347075">
      <w:bodyDiv w:val="1"/>
      <w:marLeft w:val="0"/>
      <w:marRight w:val="0"/>
      <w:marTop w:val="0"/>
      <w:marBottom w:val="0"/>
      <w:divBdr>
        <w:top w:val="none" w:sz="0" w:space="0" w:color="auto"/>
        <w:left w:val="none" w:sz="0" w:space="0" w:color="auto"/>
        <w:bottom w:val="none" w:sz="0" w:space="0" w:color="auto"/>
        <w:right w:val="none" w:sz="0" w:space="0" w:color="auto"/>
      </w:divBdr>
    </w:div>
    <w:div w:id="790827922">
      <w:bodyDiv w:val="1"/>
      <w:marLeft w:val="0"/>
      <w:marRight w:val="0"/>
      <w:marTop w:val="0"/>
      <w:marBottom w:val="0"/>
      <w:divBdr>
        <w:top w:val="none" w:sz="0" w:space="0" w:color="auto"/>
        <w:left w:val="none" w:sz="0" w:space="0" w:color="auto"/>
        <w:bottom w:val="none" w:sz="0" w:space="0" w:color="auto"/>
        <w:right w:val="none" w:sz="0" w:space="0" w:color="auto"/>
      </w:divBdr>
      <w:divsChild>
        <w:div w:id="811409366">
          <w:marLeft w:val="576"/>
          <w:marRight w:val="0"/>
          <w:marTop w:val="101"/>
          <w:marBottom w:val="0"/>
          <w:divBdr>
            <w:top w:val="none" w:sz="0" w:space="0" w:color="auto"/>
            <w:left w:val="none" w:sz="0" w:space="0" w:color="auto"/>
            <w:bottom w:val="none" w:sz="0" w:space="0" w:color="auto"/>
            <w:right w:val="none" w:sz="0" w:space="0" w:color="auto"/>
          </w:divBdr>
        </w:div>
        <w:div w:id="825778495">
          <w:marLeft w:val="576"/>
          <w:marRight w:val="0"/>
          <w:marTop w:val="101"/>
          <w:marBottom w:val="0"/>
          <w:divBdr>
            <w:top w:val="none" w:sz="0" w:space="0" w:color="auto"/>
            <w:left w:val="none" w:sz="0" w:space="0" w:color="auto"/>
            <w:bottom w:val="none" w:sz="0" w:space="0" w:color="auto"/>
            <w:right w:val="none" w:sz="0" w:space="0" w:color="auto"/>
          </w:divBdr>
        </w:div>
        <w:div w:id="977566922">
          <w:marLeft w:val="576"/>
          <w:marRight w:val="0"/>
          <w:marTop w:val="101"/>
          <w:marBottom w:val="0"/>
          <w:divBdr>
            <w:top w:val="none" w:sz="0" w:space="0" w:color="auto"/>
            <w:left w:val="none" w:sz="0" w:space="0" w:color="auto"/>
            <w:bottom w:val="none" w:sz="0" w:space="0" w:color="auto"/>
            <w:right w:val="none" w:sz="0" w:space="0" w:color="auto"/>
          </w:divBdr>
        </w:div>
        <w:div w:id="1033380094">
          <w:marLeft w:val="576"/>
          <w:marRight w:val="0"/>
          <w:marTop w:val="101"/>
          <w:marBottom w:val="0"/>
          <w:divBdr>
            <w:top w:val="none" w:sz="0" w:space="0" w:color="auto"/>
            <w:left w:val="none" w:sz="0" w:space="0" w:color="auto"/>
            <w:bottom w:val="none" w:sz="0" w:space="0" w:color="auto"/>
            <w:right w:val="none" w:sz="0" w:space="0" w:color="auto"/>
          </w:divBdr>
        </w:div>
        <w:div w:id="1043946901">
          <w:marLeft w:val="576"/>
          <w:marRight w:val="0"/>
          <w:marTop w:val="101"/>
          <w:marBottom w:val="0"/>
          <w:divBdr>
            <w:top w:val="none" w:sz="0" w:space="0" w:color="auto"/>
            <w:left w:val="none" w:sz="0" w:space="0" w:color="auto"/>
            <w:bottom w:val="none" w:sz="0" w:space="0" w:color="auto"/>
            <w:right w:val="none" w:sz="0" w:space="0" w:color="auto"/>
          </w:divBdr>
        </w:div>
        <w:div w:id="1134953324">
          <w:marLeft w:val="576"/>
          <w:marRight w:val="0"/>
          <w:marTop w:val="101"/>
          <w:marBottom w:val="0"/>
          <w:divBdr>
            <w:top w:val="none" w:sz="0" w:space="0" w:color="auto"/>
            <w:left w:val="none" w:sz="0" w:space="0" w:color="auto"/>
            <w:bottom w:val="none" w:sz="0" w:space="0" w:color="auto"/>
            <w:right w:val="none" w:sz="0" w:space="0" w:color="auto"/>
          </w:divBdr>
        </w:div>
        <w:div w:id="1142652741">
          <w:marLeft w:val="576"/>
          <w:marRight w:val="0"/>
          <w:marTop w:val="101"/>
          <w:marBottom w:val="0"/>
          <w:divBdr>
            <w:top w:val="none" w:sz="0" w:space="0" w:color="auto"/>
            <w:left w:val="none" w:sz="0" w:space="0" w:color="auto"/>
            <w:bottom w:val="none" w:sz="0" w:space="0" w:color="auto"/>
            <w:right w:val="none" w:sz="0" w:space="0" w:color="auto"/>
          </w:divBdr>
        </w:div>
        <w:div w:id="1326282688">
          <w:marLeft w:val="576"/>
          <w:marRight w:val="0"/>
          <w:marTop w:val="101"/>
          <w:marBottom w:val="0"/>
          <w:divBdr>
            <w:top w:val="none" w:sz="0" w:space="0" w:color="auto"/>
            <w:left w:val="none" w:sz="0" w:space="0" w:color="auto"/>
            <w:bottom w:val="none" w:sz="0" w:space="0" w:color="auto"/>
            <w:right w:val="none" w:sz="0" w:space="0" w:color="auto"/>
          </w:divBdr>
        </w:div>
        <w:div w:id="1697341578">
          <w:marLeft w:val="576"/>
          <w:marRight w:val="0"/>
          <w:marTop w:val="101"/>
          <w:marBottom w:val="0"/>
          <w:divBdr>
            <w:top w:val="none" w:sz="0" w:space="0" w:color="auto"/>
            <w:left w:val="none" w:sz="0" w:space="0" w:color="auto"/>
            <w:bottom w:val="none" w:sz="0" w:space="0" w:color="auto"/>
            <w:right w:val="none" w:sz="0" w:space="0" w:color="auto"/>
          </w:divBdr>
        </w:div>
        <w:div w:id="2014186553">
          <w:marLeft w:val="576"/>
          <w:marRight w:val="0"/>
          <w:marTop w:val="101"/>
          <w:marBottom w:val="0"/>
          <w:divBdr>
            <w:top w:val="none" w:sz="0" w:space="0" w:color="auto"/>
            <w:left w:val="none" w:sz="0" w:space="0" w:color="auto"/>
            <w:bottom w:val="none" w:sz="0" w:space="0" w:color="auto"/>
            <w:right w:val="none" w:sz="0" w:space="0" w:color="auto"/>
          </w:divBdr>
        </w:div>
        <w:div w:id="2094624314">
          <w:marLeft w:val="576"/>
          <w:marRight w:val="0"/>
          <w:marTop w:val="101"/>
          <w:marBottom w:val="0"/>
          <w:divBdr>
            <w:top w:val="none" w:sz="0" w:space="0" w:color="auto"/>
            <w:left w:val="none" w:sz="0" w:space="0" w:color="auto"/>
            <w:bottom w:val="none" w:sz="0" w:space="0" w:color="auto"/>
            <w:right w:val="none" w:sz="0" w:space="0" w:color="auto"/>
          </w:divBdr>
        </w:div>
      </w:divsChild>
    </w:div>
    <w:div w:id="801388487">
      <w:bodyDiv w:val="1"/>
      <w:marLeft w:val="0"/>
      <w:marRight w:val="0"/>
      <w:marTop w:val="0"/>
      <w:marBottom w:val="0"/>
      <w:divBdr>
        <w:top w:val="none" w:sz="0" w:space="0" w:color="auto"/>
        <w:left w:val="none" w:sz="0" w:space="0" w:color="auto"/>
        <w:bottom w:val="none" w:sz="0" w:space="0" w:color="auto"/>
        <w:right w:val="none" w:sz="0" w:space="0" w:color="auto"/>
      </w:divBdr>
      <w:divsChild>
        <w:div w:id="430778041">
          <w:marLeft w:val="1570"/>
          <w:marRight w:val="0"/>
          <w:marTop w:val="96"/>
          <w:marBottom w:val="0"/>
          <w:divBdr>
            <w:top w:val="none" w:sz="0" w:space="0" w:color="auto"/>
            <w:left w:val="none" w:sz="0" w:space="0" w:color="auto"/>
            <w:bottom w:val="none" w:sz="0" w:space="0" w:color="auto"/>
            <w:right w:val="none" w:sz="0" w:space="0" w:color="auto"/>
          </w:divBdr>
        </w:div>
        <w:div w:id="602691861">
          <w:marLeft w:val="1570"/>
          <w:marRight w:val="0"/>
          <w:marTop w:val="96"/>
          <w:marBottom w:val="0"/>
          <w:divBdr>
            <w:top w:val="none" w:sz="0" w:space="0" w:color="auto"/>
            <w:left w:val="none" w:sz="0" w:space="0" w:color="auto"/>
            <w:bottom w:val="none" w:sz="0" w:space="0" w:color="auto"/>
            <w:right w:val="none" w:sz="0" w:space="0" w:color="auto"/>
          </w:divBdr>
        </w:div>
        <w:div w:id="1326665573">
          <w:marLeft w:val="1570"/>
          <w:marRight w:val="0"/>
          <w:marTop w:val="96"/>
          <w:marBottom w:val="0"/>
          <w:divBdr>
            <w:top w:val="none" w:sz="0" w:space="0" w:color="auto"/>
            <w:left w:val="none" w:sz="0" w:space="0" w:color="auto"/>
            <w:bottom w:val="none" w:sz="0" w:space="0" w:color="auto"/>
            <w:right w:val="none" w:sz="0" w:space="0" w:color="auto"/>
          </w:divBdr>
        </w:div>
        <w:div w:id="1599752131">
          <w:marLeft w:val="1570"/>
          <w:marRight w:val="0"/>
          <w:marTop w:val="96"/>
          <w:marBottom w:val="0"/>
          <w:divBdr>
            <w:top w:val="none" w:sz="0" w:space="0" w:color="auto"/>
            <w:left w:val="none" w:sz="0" w:space="0" w:color="auto"/>
            <w:bottom w:val="none" w:sz="0" w:space="0" w:color="auto"/>
            <w:right w:val="none" w:sz="0" w:space="0" w:color="auto"/>
          </w:divBdr>
        </w:div>
      </w:divsChild>
    </w:div>
    <w:div w:id="819421334">
      <w:bodyDiv w:val="1"/>
      <w:marLeft w:val="0"/>
      <w:marRight w:val="0"/>
      <w:marTop w:val="0"/>
      <w:marBottom w:val="0"/>
      <w:divBdr>
        <w:top w:val="none" w:sz="0" w:space="0" w:color="auto"/>
        <w:left w:val="none" w:sz="0" w:space="0" w:color="auto"/>
        <w:bottom w:val="none" w:sz="0" w:space="0" w:color="auto"/>
        <w:right w:val="none" w:sz="0" w:space="0" w:color="auto"/>
      </w:divBdr>
      <w:divsChild>
        <w:div w:id="50621001">
          <w:marLeft w:val="2203"/>
          <w:marRight w:val="0"/>
          <w:marTop w:val="91"/>
          <w:marBottom w:val="0"/>
          <w:divBdr>
            <w:top w:val="none" w:sz="0" w:space="0" w:color="auto"/>
            <w:left w:val="none" w:sz="0" w:space="0" w:color="auto"/>
            <w:bottom w:val="none" w:sz="0" w:space="0" w:color="auto"/>
            <w:right w:val="none" w:sz="0" w:space="0" w:color="auto"/>
          </w:divBdr>
        </w:div>
        <w:div w:id="375275875">
          <w:marLeft w:val="1570"/>
          <w:marRight w:val="0"/>
          <w:marTop w:val="91"/>
          <w:marBottom w:val="0"/>
          <w:divBdr>
            <w:top w:val="none" w:sz="0" w:space="0" w:color="auto"/>
            <w:left w:val="none" w:sz="0" w:space="0" w:color="auto"/>
            <w:bottom w:val="none" w:sz="0" w:space="0" w:color="auto"/>
            <w:right w:val="none" w:sz="0" w:space="0" w:color="auto"/>
          </w:divBdr>
        </w:div>
        <w:div w:id="397284383">
          <w:marLeft w:val="1570"/>
          <w:marRight w:val="0"/>
          <w:marTop w:val="91"/>
          <w:marBottom w:val="0"/>
          <w:divBdr>
            <w:top w:val="none" w:sz="0" w:space="0" w:color="auto"/>
            <w:left w:val="none" w:sz="0" w:space="0" w:color="auto"/>
            <w:bottom w:val="none" w:sz="0" w:space="0" w:color="auto"/>
            <w:right w:val="none" w:sz="0" w:space="0" w:color="auto"/>
          </w:divBdr>
        </w:div>
        <w:div w:id="533929755">
          <w:marLeft w:val="2203"/>
          <w:marRight w:val="0"/>
          <w:marTop w:val="91"/>
          <w:marBottom w:val="0"/>
          <w:divBdr>
            <w:top w:val="none" w:sz="0" w:space="0" w:color="auto"/>
            <w:left w:val="none" w:sz="0" w:space="0" w:color="auto"/>
            <w:bottom w:val="none" w:sz="0" w:space="0" w:color="auto"/>
            <w:right w:val="none" w:sz="0" w:space="0" w:color="auto"/>
          </w:divBdr>
        </w:div>
        <w:div w:id="617489895">
          <w:marLeft w:val="2203"/>
          <w:marRight w:val="0"/>
          <w:marTop w:val="91"/>
          <w:marBottom w:val="0"/>
          <w:divBdr>
            <w:top w:val="none" w:sz="0" w:space="0" w:color="auto"/>
            <w:left w:val="none" w:sz="0" w:space="0" w:color="auto"/>
            <w:bottom w:val="none" w:sz="0" w:space="0" w:color="auto"/>
            <w:right w:val="none" w:sz="0" w:space="0" w:color="auto"/>
          </w:divBdr>
        </w:div>
        <w:div w:id="888226800">
          <w:marLeft w:val="2203"/>
          <w:marRight w:val="0"/>
          <w:marTop w:val="91"/>
          <w:marBottom w:val="0"/>
          <w:divBdr>
            <w:top w:val="none" w:sz="0" w:space="0" w:color="auto"/>
            <w:left w:val="none" w:sz="0" w:space="0" w:color="auto"/>
            <w:bottom w:val="none" w:sz="0" w:space="0" w:color="auto"/>
            <w:right w:val="none" w:sz="0" w:space="0" w:color="auto"/>
          </w:divBdr>
        </w:div>
        <w:div w:id="1636334478">
          <w:marLeft w:val="2203"/>
          <w:marRight w:val="0"/>
          <w:marTop w:val="91"/>
          <w:marBottom w:val="0"/>
          <w:divBdr>
            <w:top w:val="none" w:sz="0" w:space="0" w:color="auto"/>
            <w:left w:val="none" w:sz="0" w:space="0" w:color="auto"/>
            <w:bottom w:val="none" w:sz="0" w:space="0" w:color="auto"/>
            <w:right w:val="none" w:sz="0" w:space="0" w:color="auto"/>
          </w:divBdr>
        </w:div>
        <w:div w:id="1855681447">
          <w:marLeft w:val="1570"/>
          <w:marRight w:val="0"/>
          <w:marTop w:val="91"/>
          <w:marBottom w:val="0"/>
          <w:divBdr>
            <w:top w:val="none" w:sz="0" w:space="0" w:color="auto"/>
            <w:left w:val="none" w:sz="0" w:space="0" w:color="auto"/>
            <w:bottom w:val="none" w:sz="0" w:space="0" w:color="auto"/>
            <w:right w:val="none" w:sz="0" w:space="0" w:color="auto"/>
          </w:divBdr>
        </w:div>
        <w:div w:id="1896890820">
          <w:marLeft w:val="2203"/>
          <w:marRight w:val="0"/>
          <w:marTop w:val="91"/>
          <w:marBottom w:val="0"/>
          <w:divBdr>
            <w:top w:val="none" w:sz="0" w:space="0" w:color="auto"/>
            <w:left w:val="none" w:sz="0" w:space="0" w:color="auto"/>
            <w:bottom w:val="none" w:sz="0" w:space="0" w:color="auto"/>
            <w:right w:val="none" w:sz="0" w:space="0" w:color="auto"/>
          </w:divBdr>
        </w:div>
        <w:div w:id="2144423371">
          <w:marLeft w:val="2203"/>
          <w:marRight w:val="0"/>
          <w:marTop w:val="91"/>
          <w:marBottom w:val="0"/>
          <w:divBdr>
            <w:top w:val="none" w:sz="0" w:space="0" w:color="auto"/>
            <w:left w:val="none" w:sz="0" w:space="0" w:color="auto"/>
            <w:bottom w:val="none" w:sz="0" w:space="0" w:color="auto"/>
            <w:right w:val="none" w:sz="0" w:space="0" w:color="auto"/>
          </w:divBdr>
        </w:div>
      </w:divsChild>
    </w:div>
    <w:div w:id="821697118">
      <w:bodyDiv w:val="1"/>
      <w:marLeft w:val="0"/>
      <w:marRight w:val="0"/>
      <w:marTop w:val="0"/>
      <w:marBottom w:val="0"/>
      <w:divBdr>
        <w:top w:val="none" w:sz="0" w:space="0" w:color="auto"/>
        <w:left w:val="none" w:sz="0" w:space="0" w:color="auto"/>
        <w:bottom w:val="none" w:sz="0" w:space="0" w:color="auto"/>
        <w:right w:val="none" w:sz="0" w:space="0" w:color="auto"/>
      </w:divBdr>
    </w:div>
    <w:div w:id="846678717">
      <w:bodyDiv w:val="1"/>
      <w:marLeft w:val="0"/>
      <w:marRight w:val="0"/>
      <w:marTop w:val="0"/>
      <w:marBottom w:val="0"/>
      <w:divBdr>
        <w:top w:val="none" w:sz="0" w:space="0" w:color="auto"/>
        <w:left w:val="none" w:sz="0" w:space="0" w:color="auto"/>
        <w:bottom w:val="none" w:sz="0" w:space="0" w:color="auto"/>
        <w:right w:val="none" w:sz="0" w:space="0" w:color="auto"/>
      </w:divBdr>
    </w:div>
    <w:div w:id="861162276">
      <w:bodyDiv w:val="1"/>
      <w:marLeft w:val="0"/>
      <w:marRight w:val="0"/>
      <w:marTop w:val="0"/>
      <w:marBottom w:val="0"/>
      <w:divBdr>
        <w:top w:val="none" w:sz="0" w:space="0" w:color="auto"/>
        <w:left w:val="none" w:sz="0" w:space="0" w:color="auto"/>
        <w:bottom w:val="none" w:sz="0" w:space="0" w:color="auto"/>
        <w:right w:val="none" w:sz="0" w:space="0" w:color="auto"/>
      </w:divBdr>
      <w:divsChild>
        <w:div w:id="560600323">
          <w:marLeft w:val="547"/>
          <w:marRight w:val="0"/>
          <w:marTop w:val="0"/>
          <w:marBottom w:val="0"/>
          <w:divBdr>
            <w:top w:val="none" w:sz="0" w:space="0" w:color="auto"/>
            <w:left w:val="none" w:sz="0" w:space="0" w:color="auto"/>
            <w:bottom w:val="none" w:sz="0" w:space="0" w:color="auto"/>
            <w:right w:val="none" w:sz="0" w:space="0" w:color="auto"/>
          </w:divBdr>
        </w:div>
      </w:divsChild>
    </w:div>
    <w:div w:id="889537526">
      <w:bodyDiv w:val="1"/>
      <w:marLeft w:val="0"/>
      <w:marRight w:val="0"/>
      <w:marTop w:val="0"/>
      <w:marBottom w:val="0"/>
      <w:divBdr>
        <w:top w:val="none" w:sz="0" w:space="0" w:color="auto"/>
        <w:left w:val="none" w:sz="0" w:space="0" w:color="auto"/>
        <w:bottom w:val="none" w:sz="0" w:space="0" w:color="auto"/>
        <w:right w:val="none" w:sz="0" w:space="0" w:color="auto"/>
      </w:divBdr>
    </w:div>
    <w:div w:id="893734654">
      <w:bodyDiv w:val="1"/>
      <w:marLeft w:val="0"/>
      <w:marRight w:val="0"/>
      <w:marTop w:val="0"/>
      <w:marBottom w:val="0"/>
      <w:divBdr>
        <w:top w:val="none" w:sz="0" w:space="0" w:color="auto"/>
        <w:left w:val="none" w:sz="0" w:space="0" w:color="auto"/>
        <w:bottom w:val="none" w:sz="0" w:space="0" w:color="auto"/>
        <w:right w:val="none" w:sz="0" w:space="0" w:color="auto"/>
      </w:divBdr>
    </w:div>
    <w:div w:id="901793626">
      <w:bodyDiv w:val="1"/>
      <w:marLeft w:val="0"/>
      <w:marRight w:val="0"/>
      <w:marTop w:val="0"/>
      <w:marBottom w:val="0"/>
      <w:divBdr>
        <w:top w:val="none" w:sz="0" w:space="0" w:color="auto"/>
        <w:left w:val="none" w:sz="0" w:space="0" w:color="auto"/>
        <w:bottom w:val="none" w:sz="0" w:space="0" w:color="auto"/>
        <w:right w:val="none" w:sz="0" w:space="0" w:color="auto"/>
      </w:divBdr>
    </w:div>
    <w:div w:id="934247573">
      <w:bodyDiv w:val="1"/>
      <w:marLeft w:val="0"/>
      <w:marRight w:val="0"/>
      <w:marTop w:val="0"/>
      <w:marBottom w:val="0"/>
      <w:divBdr>
        <w:top w:val="none" w:sz="0" w:space="0" w:color="auto"/>
        <w:left w:val="none" w:sz="0" w:space="0" w:color="auto"/>
        <w:bottom w:val="none" w:sz="0" w:space="0" w:color="auto"/>
        <w:right w:val="none" w:sz="0" w:space="0" w:color="auto"/>
      </w:divBdr>
      <w:divsChild>
        <w:div w:id="13505984">
          <w:marLeft w:val="576"/>
          <w:marRight w:val="0"/>
          <w:marTop w:val="101"/>
          <w:marBottom w:val="0"/>
          <w:divBdr>
            <w:top w:val="none" w:sz="0" w:space="0" w:color="auto"/>
            <w:left w:val="none" w:sz="0" w:space="0" w:color="auto"/>
            <w:bottom w:val="none" w:sz="0" w:space="0" w:color="auto"/>
            <w:right w:val="none" w:sz="0" w:space="0" w:color="auto"/>
          </w:divBdr>
        </w:div>
        <w:div w:id="144930179">
          <w:marLeft w:val="1570"/>
          <w:marRight w:val="0"/>
          <w:marTop w:val="101"/>
          <w:marBottom w:val="0"/>
          <w:divBdr>
            <w:top w:val="none" w:sz="0" w:space="0" w:color="auto"/>
            <w:left w:val="none" w:sz="0" w:space="0" w:color="auto"/>
            <w:bottom w:val="none" w:sz="0" w:space="0" w:color="auto"/>
            <w:right w:val="none" w:sz="0" w:space="0" w:color="auto"/>
          </w:divBdr>
        </w:div>
        <w:div w:id="180973374">
          <w:marLeft w:val="1570"/>
          <w:marRight w:val="0"/>
          <w:marTop w:val="101"/>
          <w:marBottom w:val="0"/>
          <w:divBdr>
            <w:top w:val="none" w:sz="0" w:space="0" w:color="auto"/>
            <w:left w:val="none" w:sz="0" w:space="0" w:color="auto"/>
            <w:bottom w:val="none" w:sz="0" w:space="0" w:color="auto"/>
            <w:right w:val="none" w:sz="0" w:space="0" w:color="auto"/>
          </w:divBdr>
        </w:div>
        <w:div w:id="235632715">
          <w:marLeft w:val="1570"/>
          <w:marRight w:val="0"/>
          <w:marTop w:val="101"/>
          <w:marBottom w:val="0"/>
          <w:divBdr>
            <w:top w:val="none" w:sz="0" w:space="0" w:color="auto"/>
            <w:left w:val="none" w:sz="0" w:space="0" w:color="auto"/>
            <w:bottom w:val="none" w:sz="0" w:space="0" w:color="auto"/>
            <w:right w:val="none" w:sz="0" w:space="0" w:color="auto"/>
          </w:divBdr>
        </w:div>
        <w:div w:id="408617177">
          <w:marLeft w:val="576"/>
          <w:marRight w:val="0"/>
          <w:marTop w:val="101"/>
          <w:marBottom w:val="0"/>
          <w:divBdr>
            <w:top w:val="none" w:sz="0" w:space="0" w:color="auto"/>
            <w:left w:val="none" w:sz="0" w:space="0" w:color="auto"/>
            <w:bottom w:val="none" w:sz="0" w:space="0" w:color="auto"/>
            <w:right w:val="none" w:sz="0" w:space="0" w:color="auto"/>
          </w:divBdr>
        </w:div>
        <w:div w:id="588386643">
          <w:marLeft w:val="576"/>
          <w:marRight w:val="0"/>
          <w:marTop w:val="101"/>
          <w:marBottom w:val="0"/>
          <w:divBdr>
            <w:top w:val="none" w:sz="0" w:space="0" w:color="auto"/>
            <w:left w:val="none" w:sz="0" w:space="0" w:color="auto"/>
            <w:bottom w:val="none" w:sz="0" w:space="0" w:color="auto"/>
            <w:right w:val="none" w:sz="0" w:space="0" w:color="auto"/>
          </w:divBdr>
        </w:div>
        <w:div w:id="682242283">
          <w:marLeft w:val="1570"/>
          <w:marRight w:val="0"/>
          <w:marTop w:val="101"/>
          <w:marBottom w:val="0"/>
          <w:divBdr>
            <w:top w:val="none" w:sz="0" w:space="0" w:color="auto"/>
            <w:left w:val="none" w:sz="0" w:space="0" w:color="auto"/>
            <w:bottom w:val="none" w:sz="0" w:space="0" w:color="auto"/>
            <w:right w:val="none" w:sz="0" w:space="0" w:color="auto"/>
          </w:divBdr>
        </w:div>
        <w:div w:id="929318852">
          <w:marLeft w:val="1570"/>
          <w:marRight w:val="0"/>
          <w:marTop w:val="101"/>
          <w:marBottom w:val="0"/>
          <w:divBdr>
            <w:top w:val="none" w:sz="0" w:space="0" w:color="auto"/>
            <w:left w:val="none" w:sz="0" w:space="0" w:color="auto"/>
            <w:bottom w:val="none" w:sz="0" w:space="0" w:color="auto"/>
            <w:right w:val="none" w:sz="0" w:space="0" w:color="auto"/>
          </w:divBdr>
        </w:div>
        <w:div w:id="1535073876">
          <w:marLeft w:val="1570"/>
          <w:marRight w:val="0"/>
          <w:marTop w:val="101"/>
          <w:marBottom w:val="0"/>
          <w:divBdr>
            <w:top w:val="none" w:sz="0" w:space="0" w:color="auto"/>
            <w:left w:val="none" w:sz="0" w:space="0" w:color="auto"/>
            <w:bottom w:val="none" w:sz="0" w:space="0" w:color="auto"/>
            <w:right w:val="none" w:sz="0" w:space="0" w:color="auto"/>
          </w:divBdr>
        </w:div>
        <w:div w:id="2080251321">
          <w:marLeft w:val="1570"/>
          <w:marRight w:val="0"/>
          <w:marTop w:val="101"/>
          <w:marBottom w:val="0"/>
          <w:divBdr>
            <w:top w:val="none" w:sz="0" w:space="0" w:color="auto"/>
            <w:left w:val="none" w:sz="0" w:space="0" w:color="auto"/>
            <w:bottom w:val="none" w:sz="0" w:space="0" w:color="auto"/>
            <w:right w:val="none" w:sz="0" w:space="0" w:color="auto"/>
          </w:divBdr>
        </w:div>
      </w:divsChild>
    </w:div>
    <w:div w:id="935135529">
      <w:bodyDiv w:val="1"/>
      <w:marLeft w:val="0"/>
      <w:marRight w:val="0"/>
      <w:marTop w:val="0"/>
      <w:marBottom w:val="0"/>
      <w:divBdr>
        <w:top w:val="none" w:sz="0" w:space="0" w:color="auto"/>
        <w:left w:val="none" w:sz="0" w:space="0" w:color="auto"/>
        <w:bottom w:val="none" w:sz="0" w:space="0" w:color="auto"/>
        <w:right w:val="none" w:sz="0" w:space="0" w:color="auto"/>
      </w:divBdr>
    </w:div>
    <w:div w:id="942810956">
      <w:bodyDiv w:val="1"/>
      <w:marLeft w:val="0"/>
      <w:marRight w:val="0"/>
      <w:marTop w:val="0"/>
      <w:marBottom w:val="0"/>
      <w:divBdr>
        <w:top w:val="none" w:sz="0" w:space="0" w:color="auto"/>
        <w:left w:val="none" w:sz="0" w:space="0" w:color="auto"/>
        <w:bottom w:val="none" w:sz="0" w:space="0" w:color="auto"/>
        <w:right w:val="none" w:sz="0" w:space="0" w:color="auto"/>
      </w:divBdr>
      <w:divsChild>
        <w:div w:id="165484764">
          <w:marLeft w:val="576"/>
          <w:marRight w:val="0"/>
          <w:marTop w:val="101"/>
          <w:marBottom w:val="0"/>
          <w:divBdr>
            <w:top w:val="none" w:sz="0" w:space="0" w:color="auto"/>
            <w:left w:val="none" w:sz="0" w:space="0" w:color="auto"/>
            <w:bottom w:val="none" w:sz="0" w:space="0" w:color="auto"/>
            <w:right w:val="none" w:sz="0" w:space="0" w:color="auto"/>
          </w:divBdr>
        </w:div>
        <w:div w:id="177932197">
          <w:marLeft w:val="1570"/>
          <w:marRight w:val="0"/>
          <w:marTop w:val="101"/>
          <w:marBottom w:val="0"/>
          <w:divBdr>
            <w:top w:val="none" w:sz="0" w:space="0" w:color="auto"/>
            <w:left w:val="none" w:sz="0" w:space="0" w:color="auto"/>
            <w:bottom w:val="none" w:sz="0" w:space="0" w:color="auto"/>
            <w:right w:val="none" w:sz="0" w:space="0" w:color="auto"/>
          </w:divBdr>
        </w:div>
        <w:div w:id="298003072">
          <w:marLeft w:val="1570"/>
          <w:marRight w:val="0"/>
          <w:marTop w:val="101"/>
          <w:marBottom w:val="0"/>
          <w:divBdr>
            <w:top w:val="none" w:sz="0" w:space="0" w:color="auto"/>
            <w:left w:val="none" w:sz="0" w:space="0" w:color="auto"/>
            <w:bottom w:val="none" w:sz="0" w:space="0" w:color="auto"/>
            <w:right w:val="none" w:sz="0" w:space="0" w:color="auto"/>
          </w:divBdr>
        </w:div>
        <w:div w:id="777678917">
          <w:marLeft w:val="1570"/>
          <w:marRight w:val="0"/>
          <w:marTop w:val="101"/>
          <w:marBottom w:val="0"/>
          <w:divBdr>
            <w:top w:val="none" w:sz="0" w:space="0" w:color="auto"/>
            <w:left w:val="none" w:sz="0" w:space="0" w:color="auto"/>
            <w:bottom w:val="none" w:sz="0" w:space="0" w:color="auto"/>
            <w:right w:val="none" w:sz="0" w:space="0" w:color="auto"/>
          </w:divBdr>
        </w:div>
        <w:div w:id="965819801">
          <w:marLeft w:val="576"/>
          <w:marRight w:val="0"/>
          <w:marTop w:val="101"/>
          <w:marBottom w:val="0"/>
          <w:divBdr>
            <w:top w:val="none" w:sz="0" w:space="0" w:color="auto"/>
            <w:left w:val="none" w:sz="0" w:space="0" w:color="auto"/>
            <w:bottom w:val="none" w:sz="0" w:space="0" w:color="auto"/>
            <w:right w:val="none" w:sz="0" w:space="0" w:color="auto"/>
          </w:divBdr>
        </w:div>
        <w:div w:id="1113327147">
          <w:marLeft w:val="1570"/>
          <w:marRight w:val="0"/>
          <w:marTop w:val="101"/>
          <w:marBottom w:val="0"/>
          <w:divBdr>
            <w:top w:val="none" w:sz="0" w:space="0" w:color="auto"/>
            <w:left w:val="none" w:sz="0" w:space="0" w:color="auto"/>
            <w:bottom w:val="none" w:sz="0" w:space="0" w:color="auto"/>
            <w:right w:val="none" w:sz="0" w:space="0" w:color="auto"/>
          </w:divBdr>
        </w:div>
        <w:div w:id="1197424848">
          <w:marLeft w:val="1570"/>
          <w:marRight w:val="0"/>
          <w:marTop w:val="101"/>
          <w:marBottom w:val="0"/>
          <w:divBdr>
            <w:top w:val="none" w:sz="0" w:space="0" w:color="auto"/>
            <w:left w:val="none" w:sz="0" w:space="0" w:color="auto"/>
            <w:bottom w:val="none" w:sz="0" w:space="0" w:color="auto"/>
            <w:right w:val="none" w:sz="0" w:space="0" w:color="auto"/>
          </w:divBdr>
        </w:div>
        <w:div w:id="1349865219">
          <w:marLeft w:val="1570"/>
          <w:marRight w:val="0"/>
          <w:marTop w:val="101"/>
          <w:marBottom w:val="0"/>
          <w:divBdr>
            <w:top w:val="none" w:sz="0" w:space="0" w:color="auto"/>
            <w:left w:val="none" w:sz="0" w:space="0" w:color="auto"/>
            <w:bottom w:val="none" w:sz="0" w:space="0" w:color="auto"/>
            <w:right w:val="none" w:sz="0" w:space="0" w:color="auto"/>
          </w:divBdr>
        </w:div>
        <w:div w:id="1553496858">
          <w:marLeft w:val="1570"/>
          <w:marRight w:val="0"/>
          <w:marTop w:val="101"/>
          <w:marBottom w:val="0"/>
          <w:divBdr>
            <w:top w:val="none" w:sz="0" w:space="0" w:color="auto"/>
            <w:left w:val="none" w:sz="0" w:space="0" w:color="auto"/>
            <w:bottom w:val="none" w:sz="0" w:space="0" w:color="auto"/>
            <w:right w:val="none" w:sz="0" w:space="0" w:color="auto"/>
          </w:divBdr>
        </w:div>
        <w:div w:id="1746415063">
          <w:marLeft w:val="1570"/>
          <w:marRight w:val="0"/>
          <w:marTop w:val="101"/>
          <w:marBottom w:val="0"/>
          <w:divBdr>
            <w:top w:val="none" w:sz="0" w:space="0" w:color="auto"/>
            <w:left w:val="none" w:sz="0" w:space="0" w:color="auto"/>
            <w:bottom w:val="none" w:sz="0" w:space="0" w:color="auto"/>
            <w:right w:val="none" w:sz="0" w:space="0" w:color="auto"/>
          </w:divBdr>
        </w:div>
        <w:div w:id="2144032732">
          <w:marLeft w:val="576"/>
          <w:marRight w:val="0"/>
          <w:marTop w:val="101"/>
          <w:marBottom w:val="0"/>
          <w:divBdr>
            <w:top w:val="none" w:sz="0" w:space="0" w:color="auto"/>
            <w:left w:val="none" w:sz="0" w:space="0" w:color="auto"/>
            <w:bottom w:val="none" w:sz="0" w:space="0" w:color="auto"/>
            <w:right w:val="none" w:sz="0" w:space="0" w:color="auto"/>
          </w:divBdr>
        </w:div>
      </w:divsChild>
    </w:div>
    <w:div w:id="950210151">
      <w:bodyDiv w:val="1"/>
      <w:marLeft w:val="0"/>
      <w:marRight w:val="0"/>
      <w:marTop w:val="0"/>
      <w:marBottom w:val="0"/>
      <w:divBdr>
        <w:top w:val="none" w:sz="0" w:space="0" w:color="auto"/>
        <w:left w:val="none" w:sz="0" w:space="0" w:color="auto"/>
        <w:bottom w:val="none" w:sz="0" w:space="0" w:color="auto"/>
        <w:right w:val="none" w:sz="0" w:space="0" w:color="auto"/>
      </w:divBdr>
    </w:div>
    <w:div w:id="971980677">
      <w:bodyDiv w:val="1"/>
      <w:marLeft w:val="0"/>
      <w:marRight w:val="0"/>
      <w:marTop w:val="0"/>
      <w:marBottom w:val="0"/>
      <w:divBdr>
        <w:top w:val="none" w:sz="0" w:space="0" w:color="auto"/>
        <w:left w:val="none" w:sz="0" w:space="0" w:color="auto"/>
        <w:bottom w:val="none" w:sz="0" w:space="0" w:color="auto"/>
        <w:right w:val="none" w:sz="0" w:space="0" w:color="auto"/>
      </w:divBdr>
    </w:div>
    <w:div w:id="1008171625">
      <w:bodyDiv w:val="1"/>
      <w:marLeft w:val="0"/>
      <w:marRight w:val="0"/>
      <w:marTop w:val="0"/>
      <w:marBottom w:val="0"/>
      <w:divBdr>
        <w:top w:val="none" w:sz="0" w:space="0" w:color="auto"/>
        <w:left w:val="none" w:sz="0" w:space="0" w:color="auto"/>
        <w:bottom w:val="none" w:sz="0" w:space="0" w:color="auto"/>
        <w:right w:val="none" w:sz="0" w:space="0" w:color="auto"/>
      </w:divBdr>
    </w:div>
    <w:div w:id="1066076980">
      <w:bodyDiv w:val="1"/>
      <w:marLeft w:val="0"/>
      <w:marRight w:val="0"/>
      <w:marTop w:val="0"/>
      <w:marBottom w:val="0"/>
      <w:divBdr>
        <w:top w:val="none" w:sz="0" w:space="0" w:color="auto"/>
        <w:left w:val="none" w:sz="0" w:space="0" w:color="auto"/>
        <w:bottom w:val="none" w:sz="0" w:space="0" w:color="auto"/>
        <w:right w:val="none" w:sz="0" w:space="0" w:color="auto"/>
      </w:divBdr>
    </w:div>
    <w:div w:id="1099719110">
      <w:bodyDiv w:val="1"/>
      <w:marLeft w:val="0"/>
      <w:marRight w:val="0"/>
      <w:marTop w:val="0"/>
      <w:marBottom w:val="0"/>
      <w:divBdr>
        <w:top w:val="none" w:sz="0" w:space="0" w:color="auto"/>
        <w:left w:val="none" w:sz="0" w:space="0" w:color="auto"/>
        <w:bottom w:val="none" w:sz="0" w:space="0" w:color="auto"/>
        <w:right w:val="none" w:sz="0" w:space="0" w:color="auto"/>
      </w:divBdr>
    </w:div>
    <w:div w:id="1137186836">
      <w:bodyDiv w:val="1"/>
      <w:marLeft w:val="0"/>
      <w:marRight w:val="0"/>
      <w:marTop w:val="0"/>
      <w:marBottom w:val="0"/>
      <w:divBdr>
        <w:top w:val="none" w:sz="0" w:space="0" w:color="auto"/>
        <w:left w:val="none" w:sz="0" w:space="0" w:color="auto"/>
        <w:bottom w:val="none" w:sz="0" w:space="0" w:color="auto"/>
        <w:right w:val="none" w:sz="0" w:space="0" w:color="auto"/>
      </w:divBdr>
    </w:div>
    <w:div w:id="1159034974">
      <w:bodyDiv w:val="1"/>
      <w:marLeft w:val="0"/>
      <w:marRight w:val="0"/>
      <w:marTop w:val="0"/>
      <w:marBottom w:val="0"/>
      <w:divBdr>
        <w:top w:val="none" w:sz="0" w:space="0" w:color="auto"/>
        <w:left w:val="none" w:sz="0" w:space="0" w:color="auto"/>
        <w:bottom w:val="none" w:sz="0" w:space="0" w:color="auto"/>
        <w:right w:val="none" w:sz="0" w:space="0" w:color="auto"/>
      </w:divBdr>
    </w:div>
    <w:div w:id="1164127149">
      <w:bodyDiv w:val="1"/>
      <w:marLeft w:val="0"/>
      <w:marRight w:val="0"/>
      <w:marTop w:val="0"/>
      <w:marBottom w:val="0"/>
      <w:divBdr>
        <w:top w:val="none" w:sz="0" w:space="0" w:color="auto"/>
        <w:left w:val="none" w:sz="0" w:space="0" w:color="auto"/>
        <w:bottom w:val="none" w:sz="0" w:space="0" w:color="auto"/>
        <w:right w:val="none" w:sz="0" w:space="0" w:color="auto"/>
      </w:divBdr>
      <w:divsChild>
        <w:div w:id="245726737">
          <w:marLeft w:val="1570"/>
          <w:marRight w:val="0"/>
          <w:marTop w:val="101"/>
          <w:marBottom w:val="0"/>
          <w:divBdr>
            <w:top w:val="none" w:sz="0" w:space="0" w:color="auto"/>
            <w:left w:val="none" w:sz="0" w:space="0" w:color="auto"/>
            <w:bottom w:val="none" w:sz="0" w:space="0" w:color="auto"/>
            <w:right w:val="none" w:sz="0" w:space="0" w:color="auto"/>
          </w:divBdr>
        </w:div>
        <w:div w:id="691492080">
          <w:marLeft w:val="1570"/>
          <w:marRight w:val="0"/>
          <w:marTop w:val="101"/>
          <w:marBottom w:val="0"/>
          <w:divBdr>
            <w:top w:val="none" w:sz="0" w:space="0" w:color="auto"/>
            <w:left w:val="none" w:sz="0" w:space="0" w:color="auto"/>
            <w:bottom w:val="none" w:sz="0" w:space="0" w:color="auto"/>
            <w:right w:val="none" w:sz="0" w:space="0" w:color="auto"/>
          </w:divBdr>
        </w:div>
        <w:div w:id="1077896566">
          <w:marLeft w:val="576"/>
          <w:marRight w:val="0"/>
          <w:marTop w:val="101"/>
          <w:marBottom w:val="0"/>
          <w:divBdr>
            <w:top w:val="none" w:sz="0" w:space="0" w:color="auto"/>
            <w:left w:val="none" w:sz="0" w:space="0" w:color="auto"/>
            <w:bottom w:val="none" w:sz="0" w:space="0" w:color="auto"/>
            <w:right w:val="none" w:sz="0" w:space="0" w:color="auto"/>
          </w:divBdr>
        </w:div>
        <w:div w:id="1664355151">
          <w:marLeft w:val="1570"/>
          <w:marRight w:val="0"/>
          <w:marTop w:val="101"/>
          <w:marBottom w:val="0"/>
          <w:divBdr>
            <w:top w:val="none" w:sz="0" w:space="0" w:color="auto"/>
            <w:left w:val="none" w:sz="0" w:space="0" w:color="auto"/>
            <w:bottom w:val="none" w:sz="0" w:space="0" w:color="auto"/>
            <w:right w:val="none" w:sz="0" w:space="0" w:color="auto"/>
          </w:divBdr>
        </w:div>
        <w:div w:id="1784303620">
          <w:marLeft w:val="576"/>
          <w:marRight w:val="0"/>
          <w:marTop w:val="101"/>
          <w:marBottom w:val="0"/>
          <w:divBdr>
            <w:top w:val="none" w:sz="0" w:space="0" w:color="auto"/>
            <w:left w:val="none" w:sz="0" w:space="0" w:color="auto"/>
            <w:bottom w:val="none" w:sz="0" w:space="0" w:color="auto"/>
            <w:right w:val="none" w:sz="0" w:space="0" w:color="auto"/>
          </w:divBdr>
        </w:div>
        <w:div w:id="1807501349">
          <w:marLeft w:val="1570"/>
          <w:marRight w:val="0"/>
          <w:marTop w:val="101"/>
          <w:marBottom w:val="0"/>
          <w:divBdr>
            <w:top w:val="none" w:sz="0" w:space="0" w:color="auto"/>
            <w:left w:val="none" w:sz="0" w:space="0" w:color="auto"/>
            <w:bottom w:val="none" w:sz="0" w:space="0" w:color="auto"/>
            <w:right w:val="none" w:sz="0" w:space="0" w:color="auto"/>
          </w:divBdr>
        </w:div>
        <w:div w:id="2049139228">
          <w:marLeft w:val="1570"/>
          <w:marRight w:val="0"/>
          <w:marTop w:val="101"/>
          <w:marBottom w:val="0"/>
          <w:divBdr>
            <w:top w:val="none" w:sz="0" w:space="0" w:color="auto"/>
            <w:left w:val="none" w:sz="0" w:space="0" w:color="auto"/>
            <w:bottom w:val="none" w:sz="0" w:space="0" w:color="auto"/>
            <w:right w:val="none" w:sz="0" w:space="0" w:color="auto"/>
          </w:divBdr>
        </w:div>
      </w:divsChild>
    </w:div>
    <w:div w:id="1180239746">
      <w:bodyDiv w:val="1"/>
      <w:marLeft w:val="0"/>
      <w:marRight w:val="0"/>
      <w:marTop w:val="0"/>
      <w:marBottom w:val="0"/>
      <w:divBdr>
        <w:top w:val="none" w:sz="0" w:space="0" w:color="auto"/>
        <w:left w:val="none" w:sz="0" w:space="0" w:color="auto"/>
        <w:bottom w:val="none" w:sz="0" w:space="0" w:color="auto"/>
        <w:right w:val="none" w:sz="0" w:space="0" w:color="auto"/>
      </w:divBdr>
      <w:divsChild>
        <w:div w:id="75832926">
          <w:marLeft w:val="1570"/>
          <w:marRight w:val="0"/>
          <w:marTop w:val="86"/>
          <w:marBottom w:val="0"/>
          <w:divBdr>
            <w:top w:val="none" w:sz="0" w:space="0" w:color="auto"/>
            <w:left w:val="none" w:sz="0" w:space="0" w:color="auto"/>
            <w:bottom w:val="none" w:sz="0" w:space="0" w:color="auto"/>
            <w:right w:val="none" w:sz="0" w:space="0" w:color="auto"/>
          </w:divBdr>
        </w:div>
        <w:div w:id="882015723">
          <w:marLeft w:val="1570"/>
          <w:marRight w:val="0"/>
          <w:marTop w:val="86"/>
          <w:marBottom w:val="0"/>
          <w:divBdr>
            <w:top w:val="none" w:sz="0" w:space="0" w:color="auto"/>
            <w:left w:val="none" w:sz="0" w:space="0" w:color="auto"/>
            <w:bottom w:val="none" w:sz="0" w:space="0" w:color="auto"/>
            <w:right w:val="none" w:sz="0" w:space="0" w:color="auto"/>
          </w:divBdr>
        </w:div>
        <w:div w:id="1116830617">
          <w:marLeft w:val="1570"/>
          <w:marRight w:val="0"/>
          <w:marTop w:val="86"/>
          <w:marBottom w:val="0"/>
          <w:divBdr>
            <w:top w:val="none" w:sz="0" w:space="0" w:color="auto"/>
            <w:left w:val="none" w:sz="0" w:space="0" w:color="auto"/>
            <w:bottom w:val="none" w:sz="0" w:space="0" w:color="auto"/>
            <w:right w:val="none" w:sz="0" w:space="0" w:color="auto"/>
          </w:divBdr>
        </w:div>
      </w:divsChild>
    </w:div>
    <w:div w:id="1208418598">
      <w:bodyDiv w:val="1"/>
      <w:marLeft w:val="0"/>
      <w:marRight w:val="0"/>
      <w:marTop w:val="0"/>
      <w:marBottom w:val="0"/>
      <w:divBdr>
        <w:top w:val="none" w:sz="0" w:space="0" w:color="auto"/>
        <w:left w:val="none" w:sz="0" w:space="0" w:color="auto"/>
        <w:bottom w:val="none" w:sz="0" w:space="0" w:color="auto"/>
        <w:right w:val="none" w:sz="0" w:space="0" w:color="auto"/>
      </w:divBdr>
    </w:div>
    <w:div w:id="1208764596">
      <w:bodyDiv w:val="1"/>
      <w:marLeft w:val="0"/>
      <w:marRight w:val="0"/>
      <w:marTop w:val="0"/>
      <w:marBottom w:val="0"/>
      <w:divBdr>
        <w:top w:val="none" w:sz="0" w:space="0" w:color="auto"/>
        <w:left w:val="none" w:sz="0" w:space="0" w:color="auto"/>
        <w:bottom w:val="none" w:sz="0" w:space="0" w:color="auto"/>
        <w:right w:val="none" w:sz="0" w:space="0" w:color="auto"/>
      </w:divBdr>
    </w:div>
    <w:div w:id="1266419282">
      <w:bodyDiv w:val="1"/>
      <w:marLeft w:val="0"/>
      <w:marRight w:val="0"/>
      <w:marTop w:val="0"/>
      <w:marBottom w:val="0"/>
      <w:divBdr>
        <w:top w:val="none" w:sz="0" w:space="0" w:color="auto"/>
        <w:left w:val="none" w:sz="0" w:space="0" w:color="auto"/>
        <w:bottom w:val="none" w:sz="0" w:space="0" w:color="auto"/>
        <w:right w:val="none" w:sz="0" w:space="0" w:color="auto"/>
      </w:divBdr>
    </w:div>
    <w:div w:id="1306473226">
      <w:bodyDiv w:val="1"/>
      <w:marLeft w:val="0"/>
      <w:marRight w:val="0"/>
      <w:marTop w:val="0"/>
      <w:marBottom w:val="0"/>
      <w:divBdr>
        <w:top w:val="none" w:sz="0" w:space="0" w:color="auto"/>
        <w:left w:val="none" w:sz="0" w:space="0" w:color="auto"/>
        <w:bottom w:val="none" w:sz="0" w:space="0" w:color="auto"/>
        <w:right w:val="none" w:sz="0" w:space="0" w:color="auto"/>
      </w:divBdr>
    </w:div>
    <w:div w:id="1306743659">
      <w:bodyDiv w:val="1"/>
      <w:marLeft w:val="0"/>
      <w:marRight w:val="0"/>
      <w:marTop w:val="0"/>
      <w:marBottom w:val="0"/>
      <w:divBdr>
        <w:top w:val="none" w:sz="0" w:space="0" w:color="auto"/>
        <w:left w:val="none" w:sz="0" w:space="0" w:color="auto"/>
        <w:bottom w:val="none" w:sz="0" w:space="0" w:color="auto"/>
        <w:right w:val="none" w:sz="0" w:space="0" w:color="auto"/>
      </w:divBdr>
    </w:div>
    <w:div w:id="1314724711">
      <w:bodyDiv w:val="1"/>
      <w:marLeft w:val="0"/>
      <w:marRight w:val="0"/>
      <w:marTop w:val="0"/>
      <w:marBottom w:val="0"/>
      <w:divBdr>
        <w:top w:val="none" w:sz="0" w:space="0" w:color="auto"/>
        <w:left w:val="none" w:sz="0" w:space="0" w:color="auto"/>
        <w:bottom w:val="none" w:sz="0" w:space="0" w:color="auto"/>
        <w:right w:val="none" w:sz="0" w:space="0" w:color="auto"/>
      </w:divBdr>
    </w:div>
    <w:div w:id="1314792615">
      <w:bodyDiv w:val="1"/>
      <w:marLeft w:val="0"/>
      <w:marRight w:val="0"/>
      <w:marTop w:val="0"/>
      <w:marBottom w:val="0"/>
      <w:divBdr>
        <w:top w:val="none" w:sz="0" w:space="0" w:color="auto"/>
        <w:left w:val="none" w:sz="0" w:space="0" w:color="auto"/>
        <w:bottom w:val="none" w:sz="0" w:space="0" w:color="auto"/>
        <w:right w:val="none" w:sz="0" w:space="0" w:color="auto"/>
      </w:divBdr>
    </w:div>
    <w:div w:id="1325010511">
      <w:bodyDiv w:val="1"/>
      <w:marLeft w:val="0"/>
      <w:marRight w:val="0"/>
      <w:marTop w:val="0"/>
      <w:marBottom w:val="0"/>
      <w:divBdr>
        <w:top w:val="none" w:sz="0" w:space="0" w:color="auto"/>
        <w:left w:val="none" w:sz="0" w:space="0" w:color="auto"/>
        <w:bottom w:val="none" w:sz="0" w:space="0" w:color="auto"/>
        <w:right w:val="none" w:sz="0" w:space="0" w:color="auto"/>
      </w:divBdr>
    </w:div>
    <w:div w:id="1361975152">
      <w:bodyDiv w:val="1"/>
      <w:marLeft w:val="0"/>
      <w:marRight w:val="0"/>
      <w:marTop w:val="0"/>
      <w:marBottom w:val="0"/>
      <w:divBdr>
        <w:top w:val="none" w:sz="0" w:space="0" w:color="auto"/>
        <w:left w:val="none" w:sz="0" w:space="0" w:color="auto"/>
        <w:bottom w:val="none" w:sz="0" w:space="0" w:color="auto"/>
        <w:right w:val="none" w:sz="0" w:space="0" w:color="auto"/>
      </w:divBdr>
    </w:div>
    <w:div w:id="1428892453">
      <w:bodyDiv w:val="1"/>
      <w:marLeft w:val="0"/>
      <w:marRight w:val="0"/>
      <w:marTop w:val="0"/>
      <w:marBottom w:val="0"/>
      <w:divBdr>
        <w:top w:val="none" w:sz="0" w:space="0" w:color="auto"/>
        <w:left w:val="none" w:sz="0" w:space="0" w:color="auto"/>
        <w:bottom w:val="none" w:sz="0" w:space="0" w:color="auto"/>
        <w:right w:val="none" w:sz="0" w:space="0" w:color="auto"/>
      </w:divBdr>
    </w:div>
    <w:div w:id="1452356847">
      <w:bodyDiv w:val="1"/>
      <w:marLeft w:val="0"/>
      <w:marRight w:val="0"/>
      <w:marTop w:val="0"/>
      <w:marBottom w:val="0"/>
      <w:divBdr>
        <w:top w:val="none" w:sz="0" w:space="0" w:color="auto"/>
        <w:left w:val="none" w:sz="0" w:space="0" w:color="auto"/>
        <w:bottom w:val="none" w:sz="0" w:space="0" w:color="auto"/>
        <w:right w:val="none" w:sz="0" w:space="0" w:color="auto"/>
      </w:divBdr>
    </w:div>
    <w:div w:id="1489202783">
      <w:bodyDiv w:val="1"/>
      <w:marLeft w:val="0"/>
      <w:marRight w:val="0"/>
      <w:marTop w:val="0"/>
      <w:marBottom w:val="0"/>
      <w:divBdr>
        <w:top w:val="none" w:sz="0" w:space="0" w:color="auto"/>
        <w:left w:val="none" w:sz="0" w:space="0" w:color="auto"/>
        <w:bottom w:val="none" w:sz="0" w:space="0" w:color="auto"/>
        <w:right w:val="none" w:sz="0" w:space="0" w:color="auto"/>
      </w:divBdr>
    </w:div>
    <w:div w:id="1494953617">
      <w:bodyDiv w:val="1"/>
      <w:marLeft w:val="0"/>
      <w:marRight w:val="0"/>
      <w:marTop w:val="0"/>
      <w:marBottom w:val="0"/>
      <w:divBdr>
        <w:top w:val="none" w:sz="0" w:space="0" w:color="auto"/>
        <w:left w:val="none" w:sz="0" w:space="0" w:color="auto"/>
        <w:bottom w:val="none" w:sz="0" w:space="0" w:color="auto"/>
        <w:right w:val="none" w:sz="0" w:space="0" w:color="auto"/>
      </w:divBdr>
      <w:divsChild>
        <w:div w:id="43679587">
          <w:marLeft w:val="1570"/>
          <w:marRight w:val="0"/>
          <w:marTop w:val="86"/>
          <w:marBottom w:val="0"/>
          <w:divBdr>
            <w:top w:val="none" w:sz="0" w:space="0" w:color="auto"/>
            <w:left w:val="none" w:sz="0" w:space="0" w:color="auto"/>
            <w:bottom w:val="none" w:sz="0" w:space="0" w:color="auto"/>
            <w:right w:val="none" w:sz="0" w:space="0" w:color="auto"/>
          </w:divBdr>
        </w:div>
        <w:div w:id="129372011">
          <w:marLeft w:val="2203"/>
          <w:marRight w:val="0"/>
          <w:marTop w:val="86"/>
          <w:marBottom w:val="0"/>
          <w:divBdr>
            <w:top w:val="none" w:sz="0" w:space="0" w:color="auto"/>
            <w:left w:val="none" w:sz="0" w:space="0" w:color="auto"/>
            <w:bottom w:val="none" w:sz="0" w:space="0" w:color="auto"/>
            <w:right w:val="none" w:sz="0" w:space="0" w:color="auto"/>
          </w:divBdr>
        </w:div>
        <w:div w:id="164365778">
          <w:marLeft w:val="1570"/>
          <w:marRight w:val="0"/>
          <w:marTop w:val="86"/>
          <w:marBottom w:val="0"/>
          <w:divBdr>
            <w:top w:val="none" w:sz="0" w:space="0" w:color="auto"/>
            <w:left w:val="none" w:sz="0" w:space="0" w:color="auto"/>
            <w:bottom w:val="none" w:sz="0" w:space="0" w:color="auto"/>
            <w:right w:val="none" w:sz="0" w:space="0" w:color="auto"/>
          </w:divBdr>
        </w:div>
        <w:div w:id="182786767">
          <w:marLeft w:val="2203"/>
          <w:marRight w:val="0"/>
          <w:marTop w:val="86"/>
          <w:marBottom w:val="0"/>
          <w:divBdr>
            <w:top w:val="none" w:sz="0" w:space="0" w:color="auto"/>
            <w:left w:val="none" w:sz="0" w:space="0" w:color="auto"/>
            <w:bottom w:val="none" w:sz="0" w:space="0" w:color="auto"/>
            <w:right w:val="none" w:sz="0" w:space="0" w:color="auto"/>
          </w:divBdr>
        </w:div>
        <w:div w:id="187766923">
          <w:marLeft w:val="1570"/>
          <w:marRight w:val="0"/>
          <w:marTop w:val="86"/>
          <w:marBottom w:val="0"/>
          <w:divBdr>
            <w:top w:val="none" w:sz="0" w:space="0" w:color="auto"/>
            <w:left w:val="none" w:sz="0" w:space="0" w:color="auto"/>
            <w:bottom w:val="none" w:sz="0" w:space="0" w:color="auto"/>
            <w:right w:val="none" w:sz="0" w:space="0" w:color="auto"/>
          </w:divBdr>
        </w:div>
        <w:div w:id="252519172">
          <w:marLeft w:val="2203"/>
          <w:marRight w:val="0"/>
          <w:marTop w:val="86"/>
          <w:marBottom w:val="0"/>
          <w:divBdr>
            <w:top w:val="none" w:sz="0" w:space="0" w:color="auto"/>
            <w:left w:val="none" w:sz="0" w:space="0" w:color="auto"/>
            <w:bottom w:val="none" w:sz="0" w:space="0" w:color="auto"/>
            <w:right w:val="none" w:sz="0" w:space="0" w:color="auto"/>
          </w:divBdr>
        </w:div>
        <w:div w:id="485896838">
          <w:marLeft w:val="2203"/>
          <w:marRight w:val="0"/>
          <w:marTop w:val="86"/>
          <w:marBottom w:val="0"/>
          <w:divBdr>
            <w:top w:val="none" w:sz="0" w:space="0" w:color="auto"/>
            <w:left w:val="none" w:sz="0" w:space="0" w:color="auto"/>
            <w:bottom w:val="none" w:sz="0" w:space="0" w:color="auto"/>
            <w:right w:val="none" w:sz="0" w:space="0" w:color="auto"/>
          </w:divBdr>
        </w:div>
        <w:div w:id="2005358214">
          <w:marLeft w:val="2203"/>
          <w:marRight w:val="0"/>
          <w:marTop w:val="86"/>
          <w:marBottom w:val="0"/>
          <w:divBdr>
            <w:top w:val="none" w:sz="0" w:space="0" w:color="auto"/>
            <w:left w:val="none" w:sz="0" w:space="0" w:color="auto"/>
            <w:bottom w:val="none" w:sz="0" w:space="0" w:color="auto"/>
            <w:right w:val="none" w:sz="0" w:space="0" w:color="auto"/>
          </w:divBdr>
        </w:div>
        <w:div w:id="2006124043">
          <w:marLeft w:val="2203"/>
          <w:marRight w:val="0"/>
          <w:marTop w:val="86"/>
          <w:marBottom w:val="0"/>
          <w:divBdr>
            <w:top w:val="none" w:sz="0" w:space="0" w:color="auto"/>
            <w:left w:val="none" w:sz="0" w:space="0" w:color="auto"/>
            <w:bottom w:val="none" w:sz="0" w:space="0" w:color="auto"/>
            <w:right w:val="none" w:sz="0" w:space="0" w:color="auto"/>
          </w:divBdr>
        </w:div>
      </w:divsChild>
    </w:div>
    <w:div w:id="1519851086">
      <w:bodyDiv w:val="1"/>
      <w:marLeft w:val="0"/>
      <w:marRight w:val="0"/>
      <w:marTop w:val="0"/>
      <w:marBottom w:val="0"/>
      <w:divBdr>
        <w:top w:val="none" w:sz="0" w:space="0" w:color="auto"/>
        <w:left w:val="none" w:sz="0" w:space="0" w:color="auto"/>
        <w:bottom w:val="none" w:sz="0" w:space="0" w:color="auto"/>
        <w:right w:val="none" w:sz="0" w:space="0" w:color="auto"/>
      </w:divBdr>
    </w:div>
    <w:div w:id="1576282514">
      <w:bodyDiv w:val="1"/>
      <w:marLeft w:val="0"/>
      <w:marRight w:val="0"/>
      <w:marTop w:val="0"/>
      <w:marBottom w:val="0"/>
      <w:divBdr>
        <w:top w:val="none" w:sz="0" w:space="0" w:color="auto"/>
        <w:left w:val="none" w:sz="0" w:space="0" w:color="auto"/>
        <w:bottom w:val="none" w:sz="0" w:space="0" w:color="auto"/>
        <w:right w:val="none" w:sz="0" w:space="0" w:color="auto"/>
      </w:divBdr>
    </w:div>
    <w:div w:id="1588003512">
      <w:bodyDiv w:val="1"/>
      <w:marLeft w:val="0"/>
      <w:marRight w:val="0"/>
      <w:marTop w:val="0"/>
      <w:marBottom w:val="0"/>
      <w:divBdr>
        <w:top w:val="none" w:sz="0" w:space="0" w:color="auto"/>
        <w:left w:val="none" w:sz="0" w:space="0" w:color="auto"/>
        <w:bottom w:val="none" w:sz="0" w:space="0" w:color="auto"/>
        <w:right w:val="none" w:sz="0" w:space="0" w:color="auto"/>
      </w:divBdr>
      <w:divsChild>
        <w:div w:id="58137207">
          <w:marLeft w:val="1570"/>
          <w:marRight w:val="0"/>
          <w:marTop w:val="101"/>
          <w:marBottom w:val="0"/>
          <w:divBdr>
            <w:top w:val="none" w:sz="0" w:space="0" w:color="auto"/>
            <w:left w:val="none" w:sz="0" w:space="0" w:color="auto"/>
            <w:bottom w:val="none" w:sz="0" w:space="0" w:color="auto"/>
            <w:right w:val="none" w:sz="0" w:space="0" w:color="auto"/>
          </w:divBdr>
        </w:div>
        <w:div w:id="453211254">
          <w:marLeft w:val="1570"/>
          <w:marRight w:val="0"/>
          <w:marTop w:val="101"/>
          <w:marBottom w:val="0"/>
          <w:divBdr>
            <w:top w:val="none" w:sz="0" w:space="0" w:color="auto"/>
            <w:left w:val="none" w:sz="0" w:space="0" w:color="auto"/>
            <w:bottom w:val="none" w:sz="0" w:space="0" w:color="auto"/>
            <w:right w:val="none" w:sz="0" w:space="0" w:color="auto"/>
          </w:divBdr>
        </w:div>
        <w:div w:id="802229940">
          <w:marLeft w:val="1570"/>
          <w:marRight w:val="0"/>
          <w:marTop w:val="101"/>
          <w:marBottom w:val="0"/>
          <w:divBdr>
            <w:top w:val="none" w:sz="0" w:space="0" w:color="auto"/>
            <w:left w:val="none" w:sz="0" w:space="0" w:color="auto"/>
            <w:bottom w:val="none" w:sz="0" w:space="0" w:color="auto"/>
            <w:right w:val="none" w:sz="0" w:space="0" w:color="auto"/>
          </w:divBdr>
        </w:div>
        <w:div w:id="1297224027">
          <w:marLeft w:val="1570"/>
          <w:marRight w:val="0"/>
          <w:marTop w:val="101"/>
          <w:marBottom w:val="0"/>
          <w:divBdr>
            <w:top w:val="none" w:sz="0" w:space="0" w:color="auto"/>
            <w:left w:val="none" w:sz="0" w:space="0" w:color="auto"/>
            <w:bottom w:val="none" w:sz="0" w:space="0" w:color="auto"/>
            <w:right w:val="none" w:sz="0" w:space="0" w:color="auto"/>
          </w:divBdr>
        </w:div>
      </w:divsChild>
    </w:div>
    <w:div w:id="1660577170">
      <w:bodyDiv w:val="1"/>
      <w:marLeft w:val="0"/>
      <w:marRight w:val="0"/>
      <w:marTop w:val="0"/>
      <w:marBottom w:val="0"/>
      <w:divBdr>
        <w:top w:val="none" w:sz="0" w:space="0" w:color="auto"/>
        <w:left w:val="none" w:sz="0" w:space="0" w:color="auto"/>
        <w:bottom w:val="none" w:sz="0" w:space="0" w:color="auto"/>
        <w:right w:val="none" w:sz="0" w:space="0" w:color="auto"/>
      </w:divBdr>
      <w:divsChild>
        <w:div w:id="1837040032">
          <w:marLeft w:val="0"/>
          <w:marRight w:val="0"/>
          <w:marTop w:val="0"/>
          <w:marBottom w:val="0"/>
          <w:divBdr>
            <w:top w:val="none" w:sz="0" w:space="0" w:color="auto"/>
            <w:left w:val="none" w:sz="0" w:space="0" w:color="auto"/>
            <w:bottom w:val="none" w:sz="0" w:space="0" w:color="auto"/>
            <w:right w:val="none" w:sz="0" w:space="0" w:color="auto"/>
          </w:divBdr>
          <w:divsChild>
            <w:div w:id="2024041499">
              <w:marLeft w:val="0"/>
              <w:marRight w:val="0"/>
              <w:marTop w:val="0"/>
              <w:marBottom w:val="0"/>
              <w:divBdr>
                <w:top w:val="none" w:sz="0" w:space="0" w:color="auto"/>
                <w:left w:val="none" w:sz="0" w:space="0" w:color="auto"/>
                <w:bottom w:val="none" w:sz="0" w:space="0" w:color="auto"/>
                <w:right w:val="none" w:sz="0" w:space="0" w:color="auto"/>
              </w:divBdr>
              <w:divsChild>
                <w:div w:id="2127844307">
                  <w:marLeft w:val="0"/>
                  <w:marRight w:val="0"/>
                  <w:marTop w:val="0"/>
                  <w:marBottom w:val="0"/>
                  <w:divBdr>
                    <w:top w:val="none" w:sz="0" w:space="0" w:color="auto"/>
                    <w:left w:val="none" w:sz="0" w:space="0" w:color="auto"/>
                    <w:bottom w:val="none" w:sz="0" w:space="0" w:color="auto"/>
                    <w:right w:val="none" w:sz="0" w:space="0" w:color="auto"/>
                  </w:divBdr>
                  <w:divsChild>
                    <w:div w:id="1012534249">
                      <w:marLeft w:val="0"/>
                      <w:marRight w:val="0"/>
                      <w:marTop w:val="0"/>
                      <w:marBottom w:val="0"/>
                      <w:divBdr>
                        <w:top w:val="none" w:sz="0" w:space="0" w:color="auto"/>
                        <w:left w:val="none" w:sz="0" w:space="0" w:color="auto"/>
                        <w:bottom w:val="none" w:sz="0" w:space="0" w:color="auto"/>
                        <w:right w:val="none" w:sz="0" w:space="0" w:color="auto"/>
                      </w:divBdr>
                      <w:divsChild>
                        <w:div w:id="1316757384">
                          <w:marLeft w:val="0"/>
                          <w:marRight w:val="0"/>
                          <w:marTop w:val="0"/>
                          <w:marBottom w:val="0"/>
                          <w:divBdr>
                            <w:top w:val="none" w:sz="0" w:space="0" w:color="auto"/>
                            <w:left w:val="none" w:sz="0" w:space="0" w:color="auto"/>
                            <w:bottom w:val="none" w:sz="0" w:space="0" w:color="auto"/>
                            <w:right w:val="none" w:sz="0" w:space="0" w:color="auto"/>
                          </w:divBdr>
                          <w:divsChild>
                            <w:div w:id="826432283">
                              <w:marLeft w:val="0"/>
                              <w:marRight w:val="0"/>
                              <w:marTop w:val="0"/>
                              <w:marBottom w:val="0"/>
                              <w:divBdr>
                                <w:top w:val="none" w:sz="0" w:space="0" w:color="auto"/>
                                <w:left w:val="none" w:sz="0" w:space="0" w:color="auto"/>
                                <w:bottom w:val="none" w:sz="0" w:space="0" w:color="auto"/>
                                <w:right w:val="none" w:sz="0" w:space="0" w:color="auto"/>
                              </w:divBdr>
                              <w:divsChild>
                                <w:div w:id="1958443358">
                                  <w:marLeft w:val="0"/>
                                  <w:marRight w:val="0"/>
                                  <w:marTop w:val="0"/>
                                  <w:marBottom w:val="0"/>
                                  <w:divBdr>
                                    <w:top w:val="none" w:sz="0" w:space="0" w:color="auto"/>
                                    <w:left w:val="none" w:sz="0" w:space="0" w:color="auto"/>
                                    <w:bottom w:val="none" w:sz="0" w:space="0" w:color="auto"/>
                                    <w:right w:val="none" w:sz="0" w:space="0" w:color="auto"/>
                                  </w:divBdr>
                                  <w:divsChild>
                                    <w:div w:id="1324238576">
                                      <w:marLeft w:val="0"/>
                                      <w:marRight w:val="0"/>
                                      <w:marTop w:val="0"/>
                                      <w:marBottom w:val="0"/>
                                      <w:divBdr>
                                        <w:top w:val="none" w:sz="0" w:space="0" w:color="auto"/>
                                        <w:left w:val="none" w:sz="0" w:space="0" w:color="auto"/>
                                        <w:bottom w:val="none" w:sz="0" w:space="0" w:color="auto"/>
                                        <w:right w:val="none" w:sz="0" w:space="0" w:color="auto"/>
                                      </w:divBdr>
                                      <w:divsChild>
                                        <w:div w:id="269553043">
                                          <w:marLeft w:val="0"/>
                                          <w:marRight w:val="0"/>
                                          <w:marTop w:val="0"/>
                                          <w:marBottom w:val="0"/>
                                          <w:divBdr>
                                            <w:top w:val="none" w:sz="0" w:space="0" w:color="auto"/>
                                            <w:left w:val="none" w:sz="0" w:space="0" w:color="auto"/>
                                            <w:bottom w:val="none" w:sz="0" w:space="0" w:color="auto"/>
                                            <w:right w:val="none" w:sz="0" w:space="0" w:color="auto"/>
                                          </w:divBdr>
                                          <w:divsChild>
                                            <w:div w:id="1931356256">
                                              <w:marLeft w:val="0"/>
                                              <w:marRight w:val="0"/>
                                              <w:marTop w:val="0"/>
                                              <w:marBottom w:val="0"/>
                                              <w:divBdr>
                                                <w:top w:val="none" w:sz="0" w:space="0" w:color="auto"/>
                                                <w:left w:val="none" w:sz="0" w:space="0" w:color="auto"/>
                                                <w:bottom w:val="none" w:sz="0" w:space="0" w:color="auto"/>
                                                <w:right w:val="none" w:sz="0" w:space="0" w:color="auto"/>
                                              </w:divBdr>
                                              <w:divsChild>
                                                <w:div w:id="1602831394">
                                                  <w:marLeft w:val="0"/>
                                                  <w:marRight w:val="0"/>
                                                  <w:marTop w:val="0"/>
                                                  <w:marBottom w:val="0"/>
                                                  <w:divBdr>
                                                    <w:top w:val="none" w:sz="0" w:space="0" w:color="auto"/>
                                                    <w:left w:val="none" w:sz="0" w:space="0" w:color="auto"/>
                                                    <w:bottom w:val="none" w:sz="0" w:space="0" w:color="auto"/>
                                                    <w:right w:val="none" w:sz="0" w:space="0" w:color="auto"/>
                                                  </w:divBdr>
                                                  <w:divsChild>
                                                    <w:div w:id="1526480960">
                                                      <w:marLeft w:val="0"/>
                                                      <w:marRight w:val="0"/>
                                                      <w:marTop w:val="0"/>
                                                      <w:marBottom w:val="0"/>
                                                      <w:divBdr>
                                                        <w:top w:val="none" w:sz="0" w:space="0" w:color="auto"/>
                                                        <w:left w:val="none" w:sz="0" w:space="0" w:color="auto"/>
                                                        <w:bottom w:val="none" w:sz="0" w:space="0" w:color="auto"/>
                                                        <w:right w:val="none" w:sz="0" w:space="0" w:color="auto"/>
                                                      </w:divBdr>
                                                      <w:divsChild>
                                                        <w:div w:id="165367325">
                                                          <w:marLeft w:val="0"/>
                                                          <w:marRight w:val="0"/>
                                                          <w:marTop w:val="0"/>
                                                          <w:marBottom w:val="0"/>
                                                          <w:divBdr>
                                                            <w:top w:val="none" w:sz="0" w:space="0" w:color="auto"/>
                                                            <w:left w:val="none" w:sz="0" w:space="0" w:color="auto"/>
                                                            <w:bottom w:val="none" w:sz="0" w:space="0" w:color="auto"/>
                                                            <w:right w:val="none" w:sz="0" w:space="0" w:color="auto"/>
                                                          </w:divBdr>
                                                          <w:divsChild>
                                                            <w:div w:id="1627010335">
                                                              <w:marLeft w:val="0"/>
                                                              <w:marRight w:val="0"/>
                                                              <w:marTop w:val="0"/>
                                                              <w:marBottom w:val="0"/>
                                                              <w:divBdr>
                                                                <w:top w:val="none" w:sz="0" w:space="0" w:color="auto"/>
                                                                <w:left w:val="none" w:sz="0" w:space="0" w:color="auto"/>
                                                                <w:bottom w:val="none" w:sz="0" w:space="0" w:color="auto"/>
                                                                <w:right w:val="none" w:sz="0" w:space="0" w:color="auto"/>
                                                              </w:divBdr>
                                                              <w:divsChild>
                                                                <w:div w:id="182861584">
                                                                  <w:marLeft w:val="0"/>
                                                                  <w:marRight w:val="0"/>
                                                                  <w:marTop w:val="0"/>
                                                                  <w:marBottom w:val="0"/>
                                                                  <w:divBdr>
                                                                    <w:top w:val="none" w:sz="0" w:space="0" w:color="auto"/>
                                                                    <w:left w:val="none" w:sz="0" w:space="0" w:color="auto"/>
                                                                    <w:bottom w:val="none" w:sz="0" w:space="0" w:color="auto"/>
                                                                    <w:right w:val="none" w:sz="0" w:space="0" w:color="auto"/>
                                                                  </w:divBdr>
                                                                  <w:divsChild>
                                                                    <w:div w:id="1337686508">
                                                                      <w:marLeft w:val="0"/>
                                                                      <w:marRight w:val="0"/>
                                                                      <w:marTop w:val="0"/>
                                                                      <w:marBottom w:val="0"/>
                                                                      <w:divBdr>
                                                                        <w:top w:val="none" w:sz="0" w:space="0" w:color="auto"/>
                                                                        <w:left w:val="none" w:sz="0" w:space="0" w:color="auto"/>
                                                                        <w:bottom w:val="none" w:sz="0" w:space="0" w:color="auto"/>
                                                                        <w:right w:val="none" w:sz="0" w:space="0" w:color="auto"/>
                                                                      </w:divBdr>
                                                                      <w:divsChild>
                                                                        <w:div w:id="527761481">
                                                                          <w:marLeft w:val="0"/>
                                                                          <w:marRight w:val="0"/>
                                                                          <w:marTop w:val="0"/>
                                                                          <w:marBottom w:val="0"/>
                                                                          <w:divBdr>
                                                                            <w:top w:val="none" w:sz="0" w:space="0" w:color="auto"/>
                                                                            <w:left w:val="none" w:sz="0" w:space="0" w:color="auto"/>
                                                                            <w:bottom w:val="none" w:sz="0" w:space="0" w:color="auto"/>
                                                                            <w:right w:val="none" w:sz="0" w:space="0" w:color="auto"/>
                                                                          </w:divBdr>
                                                                          <w:divsChild>
                                                                            <w:div w:id="677542107">
                                                                              <w:marLeft w:val="0"/>
                                                                              <w:marRight w:val="0"/>
                                                                              <w:marTop w:val="0"/>
                                                                              <w:marBottom w:val="0"/>
                                                                              <w:divBdr>
                                                                                <w:top w:val="none" w:sz="0" w:space="0" w:color="auto"/>
                                                                                <w:left w:val="none" w:sz="0" w:space="0" w:color="auto"/>
                                                                                <w:bottom w:val="none" w:sz="0" w:space="0" w:color="auto"/>
                                                                                <w:right w:val="none" w:sz="0" w:space="0" w:color="auto"/>
                                                                              </w:divBdr>
                                                                              <w:divsChild>
                                                                                <w:div w:id="718016954">
                                                                                  <w:marLeft w:val="0"/>
                                                                                  <w:marRight w:val="0"/>
                                                                                  <w:marTop w:val="0"/>
                                                                                  <w:marBottom w:val="0"/>
                                                                                  <w:divBdr>
                                                                                    <w:top w:val="none" w:sz="0" w:space="0" w:color="auto"/>
                                                                                    <w:left w:val="none" w:sz="0" w:space="0" w:color="auto"/>
                                                                                    <w:bottom w:val="none" w:sz="0" w:space="0" w:color="auto"/>
                                                                                    <w:right w:val="none" w:sz="0" w:space="0" w:color="auto"/>
                                                                                  </w:divBdr>
                                                                                  <w:divsChild>
                                                                                    <w:div w:id="759570645">
                                                                                      <w:marLeft w:val="0"/>
                                                                                      <w:marRight w:val="0"/>
                                                                                      <w:marTop w:val="0"/>
                                                                                      <w:marBottom w:val="0"/>
                                                                                      <w:divBdr>
                                                                                        <w:top w:val="none" w:sz="0" w:space="0" w:color="auto"/>
                                                                                        <w:left w:val="none" w:sz="0" w:space="0" w:color="auto"/>
                                                                                        <w:bottom w:val="none" w:sz="0" w:space="0" w:color="auto"/>
                                                                                        <w:right w:val="none" w:sz="0" w:space="0" w:color="auto"/>
                                                                                      </w:divBdr>
                                                                                      <w:divsChild>
                                                                                        <w:div w:id="920410029">
                                                                                          <w:marLeft w:val="0"/>
                                                                                          <w:marRight w:val="0"/>
                                                                                          <w:marTop w:val="0"/>
                                                                                          <w:marBottom w:val="0"/>
                                                                                          <w:divBdr>
                                                                                            <w:top w:val="none" w:sz="0" w:space="0" w:color="auto"/>
                                                                                            <w:left w:val="none" w:sz="0" w:space="0" w:color="auto"/>
                                                                                            <w:bottom w:val="none" w:sz="0" w:space="0" w:color="auto"/>
                                                                                            <w:right w:val="none" w:sz="0" w:space="0" w:color="auto"/>
                                                                                          </w:divBdr>
                                                                                          <w:divsChild>
                                                                                            <w:div w:id="1102914620">
                                                                                              <w:marLeft w:val="0"/>
                                                                                              <w:marRight w:val="120"/>
                                                                                              <w:marTop w:val="0"/>
                                                                                              <w:marBottom w:val="150"/>
                                                                                              <w:divBdr>
                                                                                                <w:top w:val="single" w:sz="2" w:space="0" w:color="EFEFEF"/>
                                                                                                <w:left w:val="single" w:sz="6" w:space="0" w:color="EFEFEF"/>
                                                                                                <w:bottom w:val="single" w:sz="6" w:space="0" w:color="E2E2E2"/>
                                                                                                <w:right w:val="single" w:sz="6" w:space="0" w:color="EFEFEF"/>
                                                                                              </w:divBdr>
                                                                                              <w:divsChild>
                                                                                                <w:div w:id="1274093815">
                                                                                                  <w:marLeft w:val="0"/>
                                                                                                  <w:marRight w:val="0"/>
                                                                                                  <w:marTop w:val="0"/>
                                                                                                  <w:marBottom w:val="0"/>
                                                                                                  <w:divBdr>
                                                                                                    <w:top w:val="none" w:sz="0" w:space="0" w:color="auto"/>
                                                                                                    <w:left w:val="none" w:sz="0" w:space="0" w:color="auto"/>
                                                                                                    <w:bottom w:val="none" w:sz="0" w:space="0" w:color="auto"/>
                                                                                                    <w:right w:val="none" w:sz="0" w:space="0" w:color="auto"/>
                                                                                                  </w:divBdr>
                                                                                                  <w:divsChild>
                                                                                                    <w:div w:id="374890541">
                                                                                                      <w:marLeft w:val="0"/>
                                                                                                      <w:marRight w:val="0"/>
                                                                                                      <w:marTop w:val="0"/>
                                                                                                      <w:marBottom w:val="0"/>
                                                                                                      <w:divBdr>
                                                                                                        <w:top w:val="none" w:sz="0" w:space="0" w:color="auto"/>
                                                                                                        <w:left w:val="none" w:sz="0" w:space="0" w:color="auto"/>
                                                                                                        <w:bottom w:val="none" w:sz="0" w:space="0" w:color="auto"/>
                                                                                                        <w:right w:val="none" w:sz="0" w:space="0" w:color="auto"/>
                                                                                                      </w:divBdr>
                                                                                                      <w:divsChild>
                                                                                                        <w:div w:id="964652237">
                                                                                                          <w:marLeft w:val="0"/>
                                                                                                          <w:marRight w:val="0"/>
                                                                                                          <w:marTop w:val="0"/>
                                                                                                          <w:marBottom w:val="0"/>
                                                                                                          <w:divBdr>
                                                                                                            <w:top w:val="none" w:sz="0" w:space="0" w:color="auto"/>
                                                                                                            <w:left w:val="none" w:sz="0" w:space="0" w:color="auto"/>
                                                                                                            <w:bottom w:val="none" w:sz="0" w:space="0" w:color="auto"/>
                                                                                                            <w:right w:val="none" w:sz="0" w:space="0" w:color="auto"/>
                                                                                                          </w:divBdr>
                                                                                                          <w:divsChild>
                                                                                                            <w:div w:id="1438596512">
                                                                                                              <w:marLeft w:val="0"/>
                                                                                                              <w:marRight w:val="0"/>
                                                                                                              <w:marTop w:val="0"/>
                                                                                                              <w:marBottom w:val="0"/>
                                                                                                              <w:divBdr>
                                                                                                                <w:top w:val="none" w:sz="0" w:space="0" w:color="auto"/>
                                                                                                                <w:left w:val="none" w:sz="0" w:space="0" w:color="auto"/>
                                                                                                                <w:bottom w:val="none" w:sz="0" w:space="0" w:color="auto"/>
                                                                                                                <w:right w:val="none" w:sz="0" w:space="0" w:color="auto"/>
                                                                                                              </w:divBdr>
                                                                                                              <w:divsChild>
                                                                                                                <w:div w:id="733238827">
                                                                                                                  <w:marLeft w:val="0"/>
                                                                                                                  <w:marRight w:val="0"/>
                                                                                                                  <w:marTop w:val="0"/>
                                                                                                                  <w:marBottom w:val="0"/>
                                                                                                                  <w:divBdr>
                                                                                                                    <w:top w:val="single" w:sz="2" w:space="4" w:color="D8D8D8"/>
                                                                                                                    <w:left w:val="single" w:sz="2" w:space="0" w:color="D8D8D8"/>
                                                                                                                    <w:bottom w:val="single" w:sz="2" w:space="4" w:color="D8D8D8"/>
                                                                                                                    <w:right w:val="single" w:sz="2" w:space="0" w:color="D8D8D8"/>
                                                                                                                  </w:divBdr>
                                                                                                                  <w:divsChild>
                                                                                                                    <w:div w:id="1379743769">
                                                                                                                      <w:marLeft w:val="225"/>
                                                                                                                      <w:marRight w:val="225"/>
                                                                                                                      <w:marTop w:val="75"/>
                                                                                                                      <w:marBottom w:val="75"/>
                                                                                                                      <w:divBdr>
                                                                                                                        <w:top w:val="none" w:sz="0" w:space="0" w:color="auto"/>
                                                                                                                        <w:left w:val="none" w:sz="0" w:space="0" w:color="auto"/>
                                                                                                                        <w:bottom w:val="none" w:sz="0" w:space="0" w:color="auto"/>
                                                                                                                        <w:right w:val="none" w:sz="0" w:space="0" w:color="auto"/>
                                                                                                                      </w:divBdr>
                                                                                                                      <w:divsChild>
                                                                                                                        <w:div w:id="968437815">
                                                                                                                          <w:marLeft w:val="0"/>
                                                                                                                          <w:marRight w:val="0"/>
                                                                                                                          <w:marTop w:val="0"/>
                                                                                                                          <w:marBottom w:val="0"/>
                                                                                                                          <w:divBdr>
                                                                                                                            <w:top w:val="single" w:sz="6" w:space="0" w:color="auto"/>
                                                                                                                            <w:left w:val="single" w:sz="6" w:space="0" w:color="auto"/>
                                                                                                                            <w:bottom w:val="single" w:sz="6" w:space="0" w:color="auto"/>
                                                                                                                            <w:right w:val="single" w:sz="6" w:space="0" w:color="auto"/>
                                                                                                                          </w:divBdr>
                                                                                                                          <w:divsChild>
                                                                                                                            <w:div w:id="825974395">
                                                                                                                              <w:marLeft w:val="0"/>
                                                                                                                              <w:marRight w:val="0"/>
                                                                                                                              <w:marTop w:val="0"/>
                                                                                                                              <w:marBottom w:val="0"/>
                                                                                                                              <w:divBdr>
                                                                                                                                <w:top w:val="none" w:sz="0" w:space="0" w:color="auto"/>
                                                                                                                                <w:left w:val="none" w:sz="0" w:space="0" w:color="auto"/>
                                                                                                                                <w:bottom w:val="none" w:sz="0" w:space="0" w:color="auto"/>
                                                                                                                                <w:right w:val="none" w:sz="0" w:space="0" w:color="auto"/>
                                                                                                                              </w:divBdr>
                                                                                                                              <w:divsChild>
                                                                                                                                <w:div w:id="1972595123">
                                                                                                                                  <w:marLeft w:val="0"/>
                                                                                                                                  <w:marRight w:val="0"/>
                                                                                                                                  <w:marTop w:val="0"/>
                                                                                                                                  <w:marBottom w:val="0"/>
                                                                                                                                  <w:divBdr>
                                                                                                                                    <w:top w:val="none" w:sz="0" w:space="0" w:color="auto"/>
                                                                                                                                    <w:left w:val="none" w:sz="0" w:space="0" w:color="auto"/>
                                                                                                                                    <w:bottom w:val="none" w:sz="0" w:space="0" w:color="auto"/>
                                                                                                                                    <w:right w:val="none" w:sz="0" w:space="0" w:color="auto"/>
                                                                                                                                  </w:divBdr>
                                                                                                                                  <w:divsChild>
                                                                                                                                    <w:div w:id="1361928562">
                                                                                                                                      <w:marLeft w:val="120"/>
                                                                                                                                      <w:marRight w:val="120"/>
                                                                                                                                      <w:marTop w:val="0"/>
                                                                                                                                      <w:marBottom w:val="0"/>
                                                                                                                                      <w:divBdr>
                                                                                                                                        <w:top w:val="none" w:sz="0" w:space="0" w:color="auto"/>
                                                                                                                                        <w:left w:val="none" w:sz="0" w:space="0" w:color="auto"/>
                                                                                                                                        <w:bottom w:val="none" w:sz="0" w:space="0" w:color="auto"/>
                                                                                                                                        <w:right w:val="none" w:sz="0" w:space="0" w:color="auto"/>
                                                                                                                                      </w:divBdr>
                                                                                                                                      <w:divsChild>
                                                                                                                                        <w:div w:id="1191726374">
                                                                                                                                          <w:marLeft w:val="0"/>
                                                                                                                                          <w:marRight w:val="0"/>
                                                                                                                                          <w:marTop w:val="0"/>
                                                                                                                                          <w:marBottom w:val="0"/>
                                                                                                                                          <w:divBdr>
                                                                                                                                            <w:top w:val="none" w:sz="0" w:space="0" w:color="auto"/>
                                                                                                                                            <w:left w:val="none" w:sz="0" w:space="0" w:color="auto"/>
                                                                                                                                            <w:bottom w:val="none" w:sz="0" w:space="0" w:color="auto"/>
                                                                                                                                            <w:right w:val="none" w:sz="0" w:space="0" w:color="auto"/>
                                                                                                                                          </w:divBdr>
                                                                                                                                          <w:divsChild>
                                                                                                                                            <w:div w:id="225528052">
                                                                                                                                              <w:marLeft w:val="0"/>
                                                                                                                                              <w:marRight w:val="0"/>
                                                                                                                                              <w:marTop w:val="0"/>
                                                                                                                                              <w:marBottom w:val="0"/>
                                                                                                                                              <w:divBdr>
                                                                                                                                                <w:top w:val="none" w:sz="0" w:space="0" w:color="auto"/>
                                                                                                                                                <w:left w:val="none" w:sz="0" w:space="0" w:color="auto"/>
                                                                                                                                                <w:bottom w:val="none" w:sz="0" w:space="0" w:color="auto"/>
                                                                                                                                                <w:right w:val="none" w:sz="0" w:space="0" w:color="auto"/>
                                                                                                                                              </w:divBdr>
                                                                                                                                            </w:div>
                                                                                                                                            <w:div w:id="1029524778">
                                                                                                                                              <w:marLeft w:val="0"/>
                                                                                                                                              <w:marRight w:val="0"/>
                                                                                                                                              <w:marTop w:val="0"/>
                                                                                                                                              <w:marBottom w:val="0"/>
                                                                                                                                              <w:divBdr>
                                                                                                                                                <w:top w:val="none" w:sz="0" w:space="0" w:color="auto"/>
                                                                                                                                                <w:left w:val="none" w:sz="0" w:space="0" w:color="auto"/>
                                                                                                                                                <w:bottom w:val="none" w:sz="0" w:space="0" w:color="auto"/>
                                                                                                                                                <w:right w:val="none" w:sz="0" w:space="0" w:color="auto"/>
                                                                                                                                              </w:divBdr>
                                                                                                                                            </w:div>
                                                                                                                                            <w:div w:id="1035278511">
                                                                                                                                              <w:marLeft w:val="0"/>
                                                                                                                                              <w:marRight w:val="0"/>
                                                                                                                                              <w:marTop w:val="0"/>
                                                                                                                                              <w:marBottom w:val="0"/>
                                                                                                                                              <w:divBdr>
                                                                                                                                                <w:top w:val="none" w:sz="0" w:space="0" w:color="auto"/>
                                                                                                                                                <w:left w:val="none" w:sz="0" w:space="0" w:color="auto"/>
                                                                                                                                                <w:bottom w:val="none" w:sz="0" w:space="0" w:color="auto"/>
                                                                                                                                                <w:right w:val="none" w:sz="0" w:space="0" w:color="auto"/>
                                                                                                                                              </w:divBdr>
                                                                                                                                            </w:div>
                                                                                                                                            <w:div w:id="1268927194">
                                                                                                                                              <w:marLeft w:val="0"/>
                                                                                                                                              <w:marRight w:val="0"/>
                                                                                                                                              <w:marTop w:val="0"/>
                                                                                                                                              <w:marBottom w:val="0"/>
                                                                                                                                              <w:divBdr>
                                                                                                                                                <w:top w:val="none" w:sz="0" w:space="0" w:color="auto"/>
                                                                                                                                                <w:left w:val="none" w:sz="0" w:space="0" w:color="auto"/>
                                                                                                                                                <w:bottom w:val="none" w:sz="0" w:space="0" w:color="auto"/>
                                                                                                                                                <w:right w:val="none" w:sz="0" w:space="0" w:color="auto"/>
                                                                                                                                              </w:divBdr>
                                                                                                                                            </w:div>
                                                                                                                                            <w:div w:id="1479106084">
                                                                                                                                              <w:marLeft w:val="0"/>
                                                                                                                                              <w:marRight w:val="0"/>
                                                                                                                                              <w:marTop w:val="0"/>
                                                                                                                                              <w:marBottom w:val="0"/>
                                                                                                                                              <w:divBdr>
                                                                                                                                                <w:top w:val="none" w:sz="0" w:space="0" w:color="auto"/>
                                                                                                                                                <w:left w:val="none" w:sz="0" w:space="0" w:color="auto"/>
                                                                                                                                                <w:bottom w:val="none" w:sz="0" w:space="0" w:color="auto"/>
                                                                                                                                                <w:right w:val="none" w:sz="0" w:space="0" w:color="auto"/>
                                                                                                                                              </w:divBdr>
                                                                                                                                            </w:div>
                                                                                                                                            <w:div w:id="1667708686">
                                                                                                                                              <w:marLeft w:val="0"/>
                                                                                                                                              <w:marRight w:val="0"/>
                                                                                                                                              <w:marTop w:val="0"/>
                                                                                                                                              <w:marBottom w:val="0"/>
                                                                                                                                              <w:divBdr>
                                                                                                                                                <w:top w:val="none" w:sz="0" w:space="0" w:color="auto"/>
                                                                                                                                                <w:left w:val="none" w:sz="0" w:space="0" w:color="auto"/>
                                                                                                                                                <w:bottom w:val="none" w:sz="0" w:space="0" w:color="auto"/>
                                                                                                                                                <w:right w:val="none" w:sz="0" w:space="0" w:color="auto"/>
                                                                                                                                              </w:divBdr>
                                                                                                                                            </w:div>
                                                                                                                                            <w:div w:id="17618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817224">
      <w:bodyDiv w:val="1"/>
      <w:marLeft w:val="0"/>
      <w:marRight w:val="0"/>
      <w:marTop w:val="0"/>
      <w:marBottom w:val="0"/>
      <w:divBdr>
        <w:top w:val="none" w:sz="0" w:space="0" w:color="auto"/>
        <w:left w:val="none" w:sz="0" w:space="0" w:color="auto"/>
        <w:bottom w:val="none" w:sz="0" w:space="0" w:color="auto"/>
        <w:right w:val="none" w:sz="0" w:space="0" w:color="auto"/>
      </w:divBdr>
      <w:divsChild>
        <w:div w:id="342174884">
          <w:marLeft w:val="576"/>
          <w:marRight w:val="0"/>
          <w:marTop w:val="101"/>
          <w:marBottom w:val="0"/>
          <w:divBdr>
            <w:top w:val="none" w:sz="0" w:space="0" w:color="auto"/>
            <w:left w:val="none" w:sz="0" w:space="0" w:color="auto"/>
            <w:bottom w:val="none" w:sz="0" w:space="0" w:color="auto"/>
            <w:right w:val="none" w:sz="0" w:space="0" w:color="auto"/>
          </w:divBdr>
        </w:div>
        <w:div w:id="478687878">
          <w:marLeft w:val="1570"/>
          <w:marRight w:val="0"/>
          <w:marTop w:val="101"/>
          <w:marBottom w:val="0"/>
          <w:divBdr>
            <w:top w:val="none" w:sz="0" w:space="0" w:color="auto"/>
            <w:left w:val="none" w:sz="0" w:space="0" w:color="auto"/>
            <w:bottom w:val="none" w:sz="0" w:space="0" w:color="auto"/>
            <w:right w:val="none" w:sz="0" w:space="0" w:color="auto"/>
          </w:divBdr>
        </w:div>
        <w:div w:id="1626619554">
          <w:marLeft w:val="1570"/>
          <w:marRight w:val="0"/>
          <w:marTop w:val="101"/>
          <w:marBottom w:val="0"/>
          <w:divBdr>
            <w:top w:val="none" w:sz="0" w:space="0" w:color="auto"/>
            <w:left w:val="none" w:sz="0" w:space="0" w:color="auto"/>
            <w:bottom w:val="none" w:sz="0" w:space="0" w:color="auto"/>
            <w:right w:val="none" w:sz="0" w:space="0" w:color="auto"/>
          </w:divBdr>
        </w:div>
      </w:divsChild>
    </w:div>
    <w:div w:id="1723824522">
      <w:bodyDiv w:val="1"/>
      <w:marLeft w:val="0"/>
      <w:marRight w:val="0"/>
      <w:marTop w:val="0"/>
      <w:marBottom w:val="0"/>
      <w:divBdr>
        <w:top w:val="none" w:sz="0" w:space="0" w:color="auto"/>
        <w:left w:val="none" w:sz="0" w:space="0" w:color="auto"/>
        <w:bottom w:val="none" w:sz="0" w:space="0" w:color="auto"/>
        <w:right w:val="none" w:sz="0" w:space="0" w:color="auto"/>
      </w:divBdr>
    </w:div>
    <w:div w:id="1728609764">
      <w:bodyDiv w:val="1"/>
      <w:marLeft w:val="0"/>
      <w:marRight w:val="0"/>
      <w:marTop w:val="0"/>
      <w:marBottom w:val="0"/>
      <w:divBdr>
        <w:top w:val="none" w:sz="0" w:space="0" w:color="auto"/>
        <w:left w:val="none" w:sz="0" w:space="0" w:color="auto"/>
        <w:bottom w:val="none" w:sz="0" w:space="0" w:color="auto"/>
        <w:right w:val="none" w:sz="0" w:space="0" w:color="auto"/>
      </w:divBdr>
      <w:divsChild>
        <w:div w:id="484246547">
          <w:marLeft w:val="576"/>
          <w:marRight w:val="0"/>
          <w:marTop w:val="101"/>
          <w:marBottom w:val="0"/>
          <w:divBdr>
            <w:top w:val="none" w:sz="0" w:space="0" w:color="auto"/>
            <w:left w:val="none" w:sz="0" w:space="0" w:color="auto"/>
            <w:bottom w:val="none" w:sz="0" w:space="0" w:color="auto"/>
            <w:right w:val="none" w:sz="0" w:space="0" w:color="auto"/>
          </w:divBdr>
        </w:div>
        <w:div w:id="511455900">
          <w:marLeft w:val="1570"/>
          <w:marRight w:val="0"/>
          <w:marTop w:val="101"/>
          <w:marBottom w:val="0"/>
          <w:divBdr>
            <w:top w:val="none" w:sz="0" w:space="0" w:color="auto"/>
            <w:left w:val="none" w:sz="0" w:space="0" w:color="auto"/>
            <w:bottom w:val="none" w:sz="0" w:space="0" w:color="auto"/>
            <w:right w:val="none" w:sz="0" w:space="0" w:color="auto"/>
          </w:divBdr>
        </w:div>
        <w:div w:id="776562960">
          <w:marLeft w:val="1570"/>
          <w:marRight w:val="0"/>
          <w:marTop w:val="101"/>
          <w:marBottom w:val="0"/>
          <w:divBdr>
            <w:top w:val="none" w:sz="0" w:space="0" w:color="auto"/>
            <w:left w:val="none" w:sz="0" w:space="0" w:color="auto"/>
            <w:bottom w:val="none" w:sz="0" w:space="0" w:color="auto"/>
            <w:right w:val="none" w:sz="0" w:space="0" w:color="auto"/>
          </w:divBdr>
        </w:div>
        <w:div w:id="1396508914">
          <w:marLeft w:val="1570"/>
          <w:marRight w:val="0"/>
          <w:marTop w:val="101"/>
          <w:marBottom w:val="0"/>
          <w:divBdr>
            <w:top w:val="none" w:sz="0" w:space="0" w:color="auto"/>
            <w:left w:val="none" w:sz="0" w:space="0" w:color="auto"/>
            <w:bottom w:val="none" w:sz="0" w:space="0" w:color="auto"/>
            <w:right w:val="none" w:sz="0" w:space="0" w:color="auto"/>
          </w:divBdr>
        </w:div>
        <w:div w:id="1428769891">
          <w:marLeft w:val="1570"/>
          <w:marRight w:val="0"/>
          <w:marTop w:val="101"/>
          <w:marBottom w:val="0"/>
          <w:divBdr>
            <w:top w:val="none" w:sz="0" w:space="0" w:color="auto"/>
            <w:left w:val="none" w:sz="0" w:space="0" w:color="auto"/>
            <w:bottom w:val="none" w:sz="0" w:space="0" w:color="auto"/>
            <w:right w:val="none" w:sz="0" w:space="0" w:color="auto"/>
          </w:divBdr>
        </w:div>
        <w:div w:id="1527864546">
          <w:marLeft w:val="576"/>
          <w:marRight w:val="0"/>
          <w:marTop w:val="101"/>
          <w:marBottom w:val="0"/>
          <w:divBdr>
            <w:top w:val="none" w:sz="0" w:space="0" w:color="auto"/>
            <w:left w:val="none" w:sz="0" w:space="0" w:color="auto"/>
            <w:bottom w:val="none" w:sz="0" w:space="0" w:color="auto"/>
            <w:right w:val="none" w:sz="0" w:space="0" w:color="auto"/>
          </w:divBdr>
        </w:div>
        <w:div w:id="1558590890">
          <w:marLeft w:val="1570"/>
          <w:marRight w:val="0"/>
          <w:marTop w:val="101"/>
          <w:marBottom w:val="0"/>
          <w:divBdr>
            <w:top w:val="none" w:sz="0" w:space="0" w:color="auto"/>
            <w:left w:val="none" w:sz="0" w:space="0" w:color="auto"/>
            <w:bottom w:val="none" w:sz="0" w:space="0" w:color="auto"/>
            <w:right w:val="none" w:sz="0" w:space="0" w:color="auto"/>
          </w:divBdr>
        </w:div>
        <w:div w:id="1636832650">
          <w:marLeft w:val="576"/>
          <w:marRight w:val="0"/>
          <w:marTop w:val="101"/>
          <w:marBottom w:val="0"/>
          <w:divBdr>
            <w:top w:val="none" w:sz="0" w:space="0" w:color="auto"/>
            <w:left w:val="none" w:sz="0" w:space="0" w:color="auto"/>
            <w:bottom w:val="none" w:sz="0" w:space="0" w:color="auto"/>
            <w:right w:val="none" w:sz="0" w:space="0" w:color="auto"/>
          </w:divBdr>
        </w:div>
        <w:div w:id="1659259943">
          <w:marLeft w:val="1570"/>
          <w:marRight w:val="0"/>
          <w:marTop w:val="101"/>
          <w:marBottom w:val="0"/>
          <w:divBdr>
            <w:top w:val="none" w:sz="0" w:space="0" w:color="auto"/>
            <w:left w:val="none" w:sz="0" w:space="0" w:color="auto"/>
            <w:bottom w:val="none" w:sz="0" w:space="0" w:color="auto"/>
            <w:right w:val="none" w:sz="0" w:space="0" w:color="auto"/>
          </w:divBdr>
        </w:div>
        <w:div w:id="1728064855">
          <w:marLeft w:val="1570"/>
          <w:marRight w:val="0"/>
          <w:marTop w:val="101"/>
          <w:marBottom w:val="0"/>
          <w:divBdr>
            <w:top w:val="none" w:sz="0" w:space="0" w:color="auto"/>
            <w:left w:val="none" w:sz="0" w:space="0" w:color="auto"/>
            <w:bottom w:val="none" w:sz="0" w:space="0" w:color="auto"/>
            <w:right w:val="none" w:sz="0" w:space="0" w:color="auto"/>
          </w:divBdr>
        </w:div>
      </w:divsChild>
    </w:div>
    <w:div w:id="1745227227">
      <w:bodyDiv w:val="1"/>
      <w:marLeft w:val="0"/>
      <w:marRight w:val="0"/>
      <w:marTop w:val="0"/>
      <w:marBottom w:val="0"/>
      <w:divBdr>
        <w:top w:val="none" w:sz="0" w:space="0" w:color="auto"/>
        <w:left w:val="none" w:sz="0" w:space="0" w:color="auto"/>
        <w:bottom w:val="none" w:sz="0" w:space="0" w:color="auto"/>
        <w:right w:val="none" w:sz="0" w:space="0" w:color="auto"/>
      </w:divBdr>
      <w:divsChild>
        <w:div w:id="487981540">
          <w:marLeft w:val="1570"/>
          <w:marRight w:val="0"/>
          <w:marTop w:val="91"/>
          <w:marBottom w:val="0"/>
          <w:divBdr>
            <w:top w:val="none" w:sz="0" w:space="0" w:color="auto"/>
            <w:left w:val="none" w:sz="0" w:space="0" w:color="auto"/>
            <w:bottom w:val="none" w:sz="0" w:space="0" w:color="auto"/>
            <w:right w:val="none" w:sz="0" w:space="0" w:color="auto"/>
          </w:divBdr>
        </w:div>
        <w:div w:id="575479339">
          <w:marLeft w:val="576"/>
          <w:marRight w:val="0"/>
          <w:marTop w:val="106"/>
          <w:marBottom w:val="0"/>
          <w:divBdr>
            <w:top w:val="none" w:sz="0" w:space="0" w:color="auto"/>
            <w:left w:val="none" w:sz="0" w:space="0" w:color="auto"/>
            <w:bottom w:val="none" w:sz="0" w:space="0" w:color="auto"/>
            <w:right w:val="none" w:sz="0" w:space="0" w:color="auto"/>
          </w:divBdr>
        </w:div>
        <w:div w:id="1048188585">
          <w:marLeft w:val="1570"/>
          <w:marRight w:val="0"/>
          <w:marTop w:val="91"/>
          <w:marBottom w:val="0"/>
          <w:divBdr>
            <w:top w:val="none" w:sz="0" w:space="0" w:color="auto"/>
            <w:left w:val="none" w:sz="0" w:space="0" w:color="auto"/>
            <w:bottom w:val="none" w:sz="0" w:space="0" w:color="auto"/>
            <w:right w:val="none" w:sz="0" w:space="0" w:color="auto"/>
          </w:divBdr>
        </w:div>
        <w:div w:id="1970937359">
          <w:marLeft w:val="1570"/>
          <w:marRight w:val="0"/>
          <w:marTop w:val="91"/>
          <w:marBottom w:val="0"/>
          <w:divBdr>
            <w:top w:val="none" w:sz="0" w:space="0" w:color="auto"/>
            <w:left w:val="none" w:sz="0" w:space="0" w:color="auto"/>
            <w:bottom w:val="none" w:sz="0" w:space="0" w:color="auto"/>
            <w:right w:val="none" w:sz="0" w:space="0" w:color="auto"/>
          </w:divBdr>
        </w:div>
        <w:div w:id="2052415582">
          <w:marLeft w:val="1570"/>
          <w:marRight w:val="0"/>
          <w:marTop w:val="91"/>
          <w:marBottom w:val="0"/>
          <w:divBdr>
            <w:top w:val="none" w:sz="0" w:space="0" w:color="auto"/>
            <w:left w:val="none" w:sz="0" w:space="0" w:color="auto"/>
            <w:bottom w:val="none" w:sz="0" w:space="0" w:color="auto"/>
            <w:right w:val="none" w:sz="0" w:space="0" w:color="auto"/>
          </w:divBdr>
        </w:div>
        <w:div w:id="2070834840">
          <w:marLeft w:val="1570"/>
          <w:marRight w:val="0"/>
          <w:marTop w:val="91"/>
          <w:marBottom w:val="0"/>
          <w:divBdr>
            <w:top w:val="none" w:sz="0" w:space="0" w:color="auto"/>
            <w:left w:val="none" w:sz="0" w:space="0" w:color="auto"/>
            <w:bottom w:val="none" w:sz="0" w:space="0" w:color="auto"/>
            <w:right w:val="none" w:sz="0" w:space="0" w:color="auto"/>
          </w:divBdr>
        </w:div>
      </w:divsChild>
    </w:div>
    <w:div w:id="1761179880">
      <w:bodyDiv w:val="1"/>
      <w:marLeft w:val="0"/>
      <w:marRight w:val="0"/>
      <w:marTop w:val="0"/>
      <w:marBottom w:val="0"/>
      <w:divBdr>
        <w:top w:val="none" w:sz="0" w:space="0" w:color="auto"/>
        <w:left w:val="none" w:sz="0" w:space="0" w:color="auto"/>
        <w:bottom w:val="none" w:sz="0" w:space="0" w:color="auto"/>
        <w:right w:val="none" w:sz="0" w:space="0" w:color="auto"/>
      </w:divBdr>
    </w:div>
    <w:div w:id="1790277899">
      <w:bodyDiv w:val="1"/>
      <w:marLeft w:val="0"/>
      <w:marRight w:val="0"/>
      <w:marTop w:val="0"/>
      <w:marBottom w:val="0"/>
      <w:divBdr>
        <w:top w:val="none" w:sz="0" w:space="0" w:color="auto"/>
        <w:left w:val="none" w:sz="0" w:space="0" w:color="auto"/>
        <w:bottom w:val="none" w:sz="0" w:space="0" w:color="auto"/>
        <w:right w:val="none" w:sz="0" w:space="0" w:color="auto"/>
      </w:divBdr>
      <w:divsChild>
        <w:div w:id="154689233">
          <w:marLeft w:val="2203"/>
          <w:marRight w:val="0"/>
          <w:marTop w:val="86"/>
          <w:marBottom w:val="0"/>
          <w:divBdr>
            <w:top w:val="none" w:sz="0" w:space="0" w:color="auto"/>
            <w:left w:val="none" w:sz="0" w:space="0" w:color="auto"/>
            <w:bottom w:val="none" w:sz="0" w:space="0" w:color="auto"/>
            <w:right w:val="none" w:sz="0" w:space="0" w:color="auto"/>
          </w:divBdr>
        </w:div>
        <w:div w:id="259458061">
          <w:marLeft w:val="2203"/>
          <w:marRight w:val="0"/>
          <w:marTop w:val="86"/>
          <w:marBottom w:val="0"/>
          <w:divBdr>
            <w:top w:val="none" w:sz="0" w:space="0" w:color="auto"/>
            <w:left w:val="none" w:sz="0" w:space="0" w:color="auto"/>
            <w:bottom w:val="none" w:sz="0" w:space="0" w:color="auto"/>
            <w:right w:val="none" w:sz="0" w:space="0" w:color="auto"/>
          </w:divBdr>
        </w:div>
        <w:div w:id="965504534">
          <w:marLeft w:val="2203"/>
          <w:marRight w:val="0"/>
          <w:marTop w:val="86"/>
          <w:marBottom w:val="0"/>
          <w:divBdr>
            <w:top w:val="none" w:sz="0" w:space="0" w:color="auto"/>
            <w:left w:val="none" w:sz="0" w:space="0" w:color="auto"/>
            <w:bottom w:val="none" w:sz="0" w:space="0" w:color="auto"/>
            <w:right w:val="none" w:sz="0" w:space="0" w:color="auto"/>
          </w:divBdr>
        </w:div>
        <w:div w:id="1007826021">
          <w:marLeft w:val="1570"/>
          <w:marRight w:val="0"/>
          <w:marTop w:val="86"/>
          <w:marBottom w:val="0"/>
          <w:divBdr>
            <w:top w:val="none" w:sz="0" w:space="0" w:color="auto"/>
            <w:left w:val="none" w:sz="0" w:space="0" w:color="auto"/>
            <w:bottom w:val="none" w:sz="0" w:space="0" w:color="auto"/>
            <w:right w:val="none" w:sz="0" w:space="0" w:color="auto"/>
          </w:divBdr>
        </w:div>
        <w:div w:id="1056394940">
          <w:marLeft w:val="2203"/>
          <w:marRight w:val="0"/>
          <w:marTop w:val="86"/>
          <w:marBottom w:val="0"/>
          <w:divBdr>
            <w:top w:val="none" w:sz="0" w:space="0" w:color="auto"/>
            <w:left w:val="none" w:sz="0" w:space="0" w:color="auto"/>
            <w:bottom w:val="none" w:sz="0" w:space="0" w:color="auto"/>
            <w:right w:val="none" w:sz="0" w:space="0" w:color="auto"/>
          </w:divBdr>
        </w:div>
        <w:div w:id="2092044439">
          <w:marLeft w:val="2203"/>
          <w:marRight w:val="0"/>
          <w:marTop w:val="86"/>
          <w:marBottom w:val="0"/>
          <w:divBdr>
            <w:top w:val="none" w:sz="0" w:space="0" w:color="auto"/>
            <w:left w:val="none" w:sz="0" w:space="0" w:color="auto"/>
            <w:bottom w:val="none" w:sz="0" w:space="0" w:color="auto"/>
            <w:right w:val="none" w:sz="0" w:space="0" w:color="auto"/>
          </w:divBdr>
        </w:div>
      </w:divsChild>
    </w:div>
    <w:div w:id="1797598187">
      <w:bodyDiv w:val="1"/>
      <w:marLeft w:val="0"/>
      <w:marRight w:val="0"/>
      <w:marTop w:val="0"/>
      <w:marBottom w:val="0"/>
      <w:divBdr>
        <w:top w:val="none" w:sz="0" w:space="0" w:color="auto"/>
        <w:left w:val="none" w:sz="0" w:space="0" w:color="auto"/>
        <w:bottom w:val="none" w:sz="0" w:space="0" w:color="auto"/>
        <w:right w:val="none" w:sz="0" w:space="0" w:color="auto"/>
      </w:divBdr>
      <w:divsChild>
        <w:div w:id="191500697">
          <w:marLeft w:val="1570"/>
          <w:marRight w:val="0"/>
          <w:marTop w:val="86"/>
          <w:marBottom w:val="0"/>
          <w:divBdr>
            <w:top w:val="none" w:sz="0" w:space="0" w:color="auto"/>
            <w:left w:val="none" w:sz="0" w:space="0" w:color="auto"/>
            <w:bottom w:val="none" w:sz="0" w:space="0" w:color="auto"/>
            <w:right w:val="none" w:sz="0" w:space="0" w:color="auto"/>
          </w:divBdr>
        </w:div>
        <w:div w:id="1248424421">
          <w:marLeft w:val="1570"/>
          <w:marRight w:val="0"/>
          <w:marTop w:val="86"/>
          <w:marBottom w:val="0"/>
          <w:divBdr>
            <w:top w:val="none" w:sz="0" w:space="0" w:color="auto"/>
            <w:left w:val="none" w:sz="0" w:space="0" w:color="auto"/>
            <w:bottom w:val="none" w:sz="0" w:space="0" w:color="auto"/>
            <w:right w:val="none" w:sz="0" w:space="0" w:color="auto"/>
          </w:divBdr>
        </w:div>
        <w:div w:id="1954747422">
          <w:marLeft w:val="576"/>
          <w:marRight w:val="0"/>
          <w:marTop w:val="86"/>
          <w:marBottom w:val="0"/>
          <w:divBdr>
            <w:top w:val="none" w:sz="0" w:space="0" w:color="auto"/>
            <w:left w:val="none" w:sz="0" w:space="0" w:color="auto"/>
            <w:bottom w:val="none" w:sz="0" w:space="0" w:color="auto"/>
            <w:right w:val="none" w:sz="0" w:space="0" w:color="auto"/>
          </w:divBdr>
        </w:div>
        <w:div w:id="2009166709">
          <w:marLeft w:val="1570"/>
          <w:marRight w:val="0"/>
          <w:marTop w:val="86"/>
          <w:marBottom w:val="0"/>
          <w:divBdr>
            <w:top w:val="none" w:sz="0" w:space="0" w:color="auto"/>
            <w:left w:val="none" w:sz="0" w:space="0" w:color="auto"/>
            <w:bottom w:val="none" w:sz="0" w:space="0" w:color="auto"/>
            <w:right w:val="none" w:sz="0" w:space="0" w:color="auto"/>
          </w:divBdr>
        </w:div>
      </w:divsChild>
    </w:div>
    <w:div w:id="1799060604">
      <w:bodyDiv w:val="1"/>
      <w:marLeft w:val="0"/>
      <w:marRight w:val="0"/>
      <w:marTop w:val="0"/>
      <w:marBottom w:val="0"/>
      <w:divBdr>
        <w:top w:val="none" w:sz="0" w:space="0" w:color="auto"/>
        <w:left w:val="none" w:sz="0" w:space="0" w:color="auto"/>
        <w:bottom w:val="none" w:sz="0" w:space="0" w:color="auto"/>
        <w:right w:val="none" w:sz="0" w:space="0" w:color="auto"/>
      </w:divBdr>
    </w:div>
    <w:div w:id="1799716449">
      <w:bodyDiv w:val="1"/>
      <w:marLeft w:val="0"/>
      <w:marRight w:val="0"/>
      <w:marTop w:val="0"/>
      <w:marBottom w:val="0"/>
      <w:divBdr>
        <w:top w:val="none" w:sz="0" w:space="0" w:color="auto"/>
        <w:left w:val="none" w:sz="0" w:space="0" w:color="auto"/>
        <w:bottom w:val="none" w:sz="0" w:space="0" w:color="auto"/>
        <w:right w:val="none" w:sz="0" w:space="0" w:color="auto"/>
      </w:divBdr>
      <w:divsChild>
        <w:div w:id="210113121">
          <w:marLeft w:val="1570"/>
          <w:marRight w:val="0"/>
          <w:marTop w:val="86"/>
          <w:marBottom w:val="0"/>
          <w:divBdr>
            <w:top w:val="none" w:sz="0" w:space="0" w:color="auto"/>
            <w:left w:val="none" w:sz="0" w:space="0" w:color="auto"/>
            <w:bottom w:val="none" w:sz="0" w:space="0" w:color="auto"/>
            <w:right w:val="none" w:sz="0" w:space="0" w:color="auto"/>
          </w:divBdr>
        </w:div>
        <w:div w:id="384644946">
          <w:marLeft w:val="1570"/>
          <w:marRight w:val="0"/>
          <w:marTop w:val="86"/>
          <w:marBottom w:val="0"/>
          <w:divBdr>
            <w:top w:val="none" w:sz="0" w:space="0" w:color="auto"/>
            <w:left w:val="none" w:sz="0" w:space="0" w:color="auto"/>
            <w:bottom w:val="none" w:sz="0" w:space="0" w:color="auto"/>
            <w:right w:val="none" w:sz="0" w:space="0" w:color="auto"/>
          </w:divBdr>
        </w:div>
        <w:div w:id="1591549865">
          <w:marLeft w:val="1570"/>
          <w:marRight w:val="0"/>
          <w:marTop w:val="86"/>
          <w:marBottom w:val="0"/>
          <w:divBdr>
            <w:top w:val="none" w:sz="0" w:space="0" w:color="auto"/>
            <w:left w:val="none" w:sz="0" w:space="0" w:color="auto"/>
            <w:bottom w:val="none" w:sz="0" w:space="0" w:color="auto"/>
            <w:right w:val="none" w:sz="0" w:space="0" w:color="auto"/>
          </w:divBdr>
        </w:div>
        <w:div w:id="1720395061">
          <w:marLeft w:val="576"/>
          <w:marRight w:val="0"/>
          <w:marTop w:val="86"/>
          <w:marBottom w:val="0"/>
          <w:divBdr>
            <w:top w:val="none" w:sz="0" w:space="0" w:color="auto"/>
            <w:left w:val="none" w:sz="0" w:space="0" w:color="auto"/>
            <w:bottom w:val="none" w:sz="0" w:space="0" w:color="auto"/>
            <w:right w:val="none" w:sz="0" w:space="0" w:color="auto"/>
          </w:divBdr>
        </w:div>
        <w:div w:id="1758089551">
          <w:marLeft w:val="1570"/>
          <w:marRight w:val="0"/>
          <w:marTop w:val="86"/>
          <w:marBottom w:val="0"/>
          <w:divBdr>
            <w:top w:val="none" w:sz="0" w:space="0" w:color="auto"/>
            <w:left w:val="none" w:sz="0" w:space="0" w:color="auto"/>
            <w:bottom w:val="none" w:sz="0" w:space="0" w:color="auto"/>
            <w:right w:val="none" w:sz="0" w:space="0" w:color="auto"/>
          </w:divBdr>
        </w:div>
        <w:div w:id="1885558550">
          <w:marLeft w:val="1570"/>
          <w:marRight w:val="0"/>
          <w:marTop w:val="86"/>
          <w:marBottom w:val="0"/>
          <w:divBdr>
            <w:top w:val="none" w:sz="0" w:space="0" w:color="auto"/>
            <w:left w:val="none" w:sz="0" w:space="0" w:color="auto"/>
            <w:bottom w:val="none" w:sz="0" w:space="0" w:color="auto"/>
            <w:right w:val="none" w:sz="0" w:space="0" w:color="auto"/>
          </w:divBdr>
        </w:div>
        <w:div w:id="2034990327">
          <w:marLeft w:val="576"/>
          <w:marRight w:val="0"/>
          <w:marTop w:val="86"/>
          <w:marBottom w:val="0"/>
          <w:divBdr>
            <w:top w:val="none" w:sz="0" w:space="0" w:color="auto"/>
            <w:left w:val="none" w:sz="0" w:space="0" w:color="auto"/>
            <w:bottom w:val="none" w:sz="0" w:space="0" w:color="auto"/>
            <w:right w:val="none" w:sz="0" w:space="0" w:color="auto"/>
          </w:divBdr>
        </w:div>
      </w:divsChild>
    </w:div>
    <w:div w:id="1866017337">
      <w:bodyDiv w:val="1"/>
      <w:marLeft w:val="0"/>
      <w:marRight w:val="0"/>
      <w:marTop w:val="0"/>
      <w:marBottom w:val="0"/>
      <w:divBdr>
        <w:top w:val="none" w:sz="0" w:space="0" w:color="auto"/>
        <w:left w:val="none" w:sz="0" w:space="0" w:color="auto"/>
        <w:bottom w:val="none" w:sz="0" w:space="0" w:color="auto"/>
        <w:right w:val="none" w:sz="0" w:space="0" w:color="auto"/>
      </w:divBdr>
      <w:divsChild>
        <w:div w:id="102111015">
          <w:marLeft w:val="1570"/>
          <w:marRight w:val="0"/>
          <w:marTop w:val="86"/>
          <w:marBottom w:val="0"/>
          <w:divBdr>
            <w:top w:val="none" w:sz="0" w:space="0" w:color="auto"/>
            <w:left w:val="none" w:sz="0" w:space="0" w:color="auto"/>
            <w:bottom w:val="none" w:sz="0" w:space="0" w:color="auto"/>
            <w:right w:val="none" w:sz="0" w:space="0" w:color="auto"/>
          </w:divBdr>
        </w:div>
        <w:div w:id="866143871">
          <w:marLeft w:val="1570"/>
          <w:marRight w:val="0"/>
          <w:marTop w:val="86"/>
          <w:marBottom w:val="0"/>
          <w:divBdr>
            <w:top w:val="none" w:sz="0" w:space="0" w:color="auto"/>
            <w:left w:val="none" w:sz="0" w:space="0" w:color="auto"/>
            <w:bottom w:val="none" w:sz="0" w:space="0" w:color="auto"/>
            <w:right w:val="none" w:sz="0" w:space="0" w:color="auto"/>
          </w:divBdr>
        </w:div>
        <w:div w:id="906376435">
          <w:marLeft w:val="1570"/>
          <w:marRight w:val="0"/>
          <w:marTop w:val="86"/>
          <w:marBottom w:val="0"/>
          <w:divBdr>
            <w:top w:val="none" w:sz="0" w:space="0" w:color="auto"/>
            <w:left w:val="none" w:sz="0" w:space="0" w:color="auto"/>
            <w:bottom w:val="none" w:sz="0" w:space="0" w:color="auto"/>
            <w:right w:val="none" w:sz="0" w:space="0" w:color="auto"/>
          </w:divBdr>
        </w:div>
        <w:div w:id="1543519915">
          <w:marLeft w:val="1570"/>
          <w:marRight w:val="0"/>
          <w:marTop w:val="86"/>
          <w:marBottom w:val="0"/>
          <w:divBdr>
            <w:top w:val="none" w:sz="0" w:space="0" w:color="auto"/>
            <w:left w:val="none" w:sz="0" w:space="0" w:color="auto"/>
            <w:bottom w:val="none" w:sz="0" w:space="0" w:color="auto"/>
            <w:right w:val="none" w:sz="0" w:space="0" w:color="auto"/>
          </w:divBdr>
        </w:div>
        <w:div w:id="1699625420">
          <w:marLeft w:val="1570"/>
          <w:marRight w:val="0"/>
          <w:marTop w:val="86"/>
          <w:marBottom w:val="0"/>
          <w:divBdr>
            <w:top w:val="none" w:sz="0" w:space="0" w:color="auto"/>
            <w:left w:val="none" w:sz="0" w:space="0" w:color="auto"/>
            <w:bottom w:val="none" w:sz="0" w:space="0" w:color="auto"/>
            <w:right w:val="none" w:sz="0" w:space="0" w:color="auto"/>
          </w:divBdr>
        </w:div>
        <w:div w:id="1975669714">
          <w:marLeft w:val="576"/>
          <w:marRight w:val="0"/>
          <w:marTop w:val="96"/>
          <w:marBottom w:val="0"/>
          <w:divBdr>
            <w:top w:val="none" w:sz="0" w:space="0" w:color="auto"/>
            <w:left w:val="none" w:sz="0" w:space="0" w:color="auto"/>
            <w:bottom w:val="none" w:sz="0" w:space="0" w:color="auto"/>
            <w:right w:val="none" w:sz="0" w:space="0" w:color="auto"/>
          </w:divBdr>
        </w:div>
      </w:divsChild>
    </w:div>
    <w:div w:id="1898935829">
      <w:bodyDiv w:val="1"/>
      <w:marLeft w:val="0"/>
      <w:marRight w:val="0"/>
      <w:marTop w:val="0"/>
      <w:marBottom w:val="0"/>
      <w:divBdr>
        <w:top w:val="none" w:sz="0" w:space="0" w:color="auto"/>
        <w:left w:val="none" w:sz="0" w:space="0" w:color="auto"/>
        <w:bottom w:val="none" w:sz="0" w:space="0" w:color="auto"/>
        <w:right w:val="none" w:sz="0" w:space="0" w:color="auto"/>
      </w:divBdr>
    </w:div>
    <w:div w:id="1900282651">
      <w:bodyDiv w:val="1"/>
      <w:marLeft w:val="0"/>
      <w:marRight w:val="0"/>
      <w:marTop w:val="0"/>
      <w:marBottom w:val="0"/>
      <w:divBdr>
        <w:top w:val="none" w:sz="0" w:space="0" w:color="auto"/>
        <w:left w:val="none" w:sz="0" w:space="0" w:color="auto"/>
        <w:bottom w:val="none" w:sz="0" w:space="0" w:color="auto"/>
        <w:right w:val="none" w:sz="0" w:space="0" w:color="auto"/>
      </w:divBdr>
      <w:divsChild>
        <w:div w:id="313334518">
          <w:marLeft w:val="1570"/>
          <w:marRight w:val="0"/>
          <w:marTop w:val="86"/>
          <w:marBottom w:val="0"/>
          <w:divBdr>
            <w:top w:val="none" w:sz="0" w:space="0" w:color="auto"/>
            <w:left w:val="none" w:sz="0" w:space="0" w:color="auto"/>
            <w:bottom w:val="none" w:sz="0" w:space="0" w:color="auto"/>
            <w:right w:val="none" w:sz="0" w:space="0" w:color="auto"/>
          </w:divBdr>
        </w:div>
        <w:div w:id="362680401">
          <w:marLeft w:val="1570"/>
          <w:marRight w:val="0"/>
          <w:marTop w:val="86"/>
          <w:marBottom w:val="0"/>
          <w:divBdr>
            <w:top w:val="none" w:sz="0" w:space="0" w:color="auto"/>
            <w:left w:val="none" w:sz="0" w:space="0" w:color="auto"/>
            <w:bottom w:val="none" w:sz="0" w:space="0" w:color="auto"/>
            <w:right w:val="none" w:sz="0" w:space="0" w:color="auto"/>
          </w:divBdr>
        </w:div>
        <w:div w:id="519903113">
          <w:marLeft w:val="576"/>
          <w:marRight w:val="0"/>
          <w:marTop w:val="86"/>
          <w:marBottom w:val="0"/>
          <w:divBdr>
            <w:top w:val="none" w:sz="0" w:space="0" w:color="auto"/>
            <w:left w:val="none" w:sz="0" w:space="0" w:color="auto"/>
            <w:bottom w:val="none" w:sz="0" w:space="0" w:color="auto"/>
            <w:right w:val="none" w:sz="0" w:space="0" w:color="auto"/>
          </w:divBdr>
        </w:div>
        <w:div w:id="630943300">
          <w:marLeft w:val="576"/>
          <w:marRight w:val="0"/>
          <w:marTop w:val="86"/>
          <w:marBottom w:val="0"/>
          <w:divBdr>
            <w:top w:val="none" w:sz="0" w:space="0" w:color="auto"/>
            <w:left w:val="none" w:sz="0" w:space="0" w:color="auto"/>
            <w:bottom w:val="none" w:sz="0" w:space="0" w:color="auto"/>
            <w:right w:val="none" w:sz="0" w:space="0" w:color="auto"/>
          </w:divBdr>
        </w:div>
        <w:div w:id="642195976">
          <w:marLeft w:val="1570"/>
          <w:marRight w:val="0"/>
          <w:marTop w:val="86"/>
          <w:marBottom w:val="0"/>
          <w:divBdr>
            <w:top w:val="none" w:sz="0" w:space="0" w:color="auto"/>
            <w:left w:val="none" w:sz="0" w:space="0" w:color="auto"/>
            <w:bottom w:val="none" w:sz="0" w:space="0" w:color="auto"/>
            <w:right w:val="none" w:sz="0" w:space="0" w:color="auto"/>
          </w:divBdr>
        </w:div>
        <w:div w:id="706879539">
          <w:marLeft w:val="1570"/>
          <w:marRight w:val="0"/>
          <w:marTop w:val="86"/>
          <w:marBottom w:val="0"/>
          <w:divBdr>
            <w:top w:val="none" w:sz="0" w:space="0" w:color="auto"/>
            <w:left w:val="none" w:sz="0" w:space="0" w:color="auto"/>
            <w:bottom w:val="none" w:sz="0" w:space="0" w:color="auto"/>
            <w:right w:val="none" w:sz="0" w:space="0" w:color="auto"/>
          </w:divBdr>
        </w:div>
        <w:div w:id="916860941">
          <w:marLeft w:val="1570"/>
          <w:marRight w:val="0"/>
          <w:marTop w:val="86"/>
          <w:marBottom w:val="0"/>
          <w:divBdr>
            <w:top w:val="none" w:sz="0" w:space="0" w:color="auto"/>
            <w:left w:val="none" w:sz="0" w:space="0" w:color="auto"/>
            <w:bottom w:val="none" w:sz="0" w:space="0" w:color="auto"/>
            <w:right w:val="none" w:sz="0" w:space="0" w:color="auto"/>
          </w:divBdr>
        </w:div>
        <w:div w:id="1093433870">
          <w:marLeft w:val="576"/>
          <w:marRight w:val="0"/>
          <w:marTop w:val="86"/>
          <w:marBottom w:val="0"/>
          <w:divBdr>
            <w:top w:val="none" w:sz="0" w:space="0" w:color="auto"/>
            <w:left w:val="none" w:sz="0" w:space="0" w:color="auto"/>
            <w:bottom w:val="none" w:sz="0" w:space="0" w:color="auto"/>
            <w:right w:val="none" w:sz="0" w:space="0" w:color="auto"/>
          </w:divBdr>
        </w:div>
        <w:div w:id="1237713863">
          <w:marLeft w:val="1570"/>
          <w:marRight w:val="0"/>
          <w:marTop w:val="86"/>
          <w:marBottom w:val="0"/>
          <w:divBdr>
            <w:top w:val="none" w:sz="0" w:space="0" w:color="auto"/>
            <w:left w:val="none" w:sz="0" w:space="0" w:color="auto"/>
            <w:bottom w:val="none" w:sz="0" w:space="0" w:color="auto"/>
            <w:right w:val="none" w:sz="0" w:space="0" w:color="auto"/>
          </w:divBdr>
        </w:div>
        <w:div w:id="1636449099">
          <w:marLeft w:val="1570"/>
          <w:marRight w:val="0"/>
          <w:marTop w:val="86"/>
          <w:marBottom w:val="0"/>
          <w:divBdr>
            <w:top w:val="none" w:sz="0" w:space="0" w:color="auto"/>
            <w:left w:val="none" w:sz="0" w:space="0" w:color="auto"/>
            <w:bottom w:val="none" w:sz="0" w:space="0" w:color="auto"/>
            <w:right w:val="none" w:sz="0" w:space="0" w:color="auto"/>
          </w:divBdr>
        </w:div>
        <w:div w:id="1817382317">
          <w:marLeft w:val="1570"/>
          <w:marRight w:val="0"/>
          <w:marTop w:val="86"/>
          <w:marBottom w:val="0"/>
          <w:divBdr>
            <w:top w:val="none" w:sz="0" w:space="0" w:color="auto"/>
            <w:left w:val="none" w:sz="0" w:space="0" w:color="auto"/>
            <w:bottom w:val="none" w:sz="0" w:space="0" w:color="auto"/>
            <w:right w:val="none" w:sz="0" w:space="0" w:color="auto"/>
          </w:divBdr>
        </w:div>
        <w:div w:id="1985962687">
          <w:marLeft w:val="1570"/>
          <w:marRight w:val="0"/>
          <w:marTop w:val="86"/>
          <w:marBottom w:val="0"/>
          <w:divBdr>
            <w:top w:val="none" w:sz="0" w:space="0" w:color="auto"/>
            <w:left w:val="none" w:sz="0" w:space="0" w:color="auto"/>
            <w:bottom w:val="none" w:sz="0" w:space="0" w:color="auto"/>
            <w:right w:val="none" w:sz="0" w:space="0" w:color="auto"/>
          </w:divBdr>
        </w:div>
      </w:divsChild>
    </w:div>
    <w:div w:id="1913393018">
      <w:bodyDiv w:val="1"/>
      <w:marLeft w:val="0"/>
      <w:marRight w:val="0"/>
      <w:marTop w:val="0"/>
      <w:marBottom w:val="0"/>
      <w:divBdr>
        <w:top w:val="none" w:sz="0" w:space="0" w:color="auto"/>
        <w:left w:val="none" w:sz="0" w:space="0" w:color="auto"/>
        <w:bottom w:val="none" w:sz="0" w:space="0" w:color="auto"/>
        <w:right w:val="none" w:sz="0" w:space="0" w:color="auto"/>
      </w:divBdr>
      <w:divsChild>
        <w:div w:id="270942553">
          <w:marLeft w:val="576"/>
          <w:marRight w:val="0"/>
          <w:marTop w:val="101"/>
          <w:marBottom w:val="0"/>
          <w:divBdr>
            <w:top w:val="none" w:sz="0" w:space="0" w:color="auto"/>
            <w:left w:val="none" w:sz="0" w:space="0" w:color="auto"/>
            <w:bottom w:val="none" w:sz="0" w:space="0" w:color="auto"/>
            <w:right w:val="none" w:sz="0" w:space="0" w:color="auto"/>
          </w:divBdr>
        </w:div>
        <w:div w:id="609048655">
          <w:marLeft w:val="576"/>
          <w:marRight w:val="0"/>
          <w:marTop w:val="101"/>
          <w:marBottom w:val="0"/>
          <w:divBdr>
            <w:top w:val="none" w:sz="0" w:space="0" w:color="auto"/>
            <w:left w:val="none" w:sz="0" w:space="0" w:color="auto"/>
            <w:bottom w:val="none" w:sz="0" w:space="0" w:color="auto"/>
            <w:right w:val="none" w:sz="0" w:space="0" w:color="auto"/>
          </w:divBdr>
        </w:div>
        <w:div w:id="653536018">
          <w:marLeft w:val="576"/>
          <w:marRight w:val="0"/>
          <w:marTop w:val="101"/>
          <w:marBottom w:val="0"/>
          <w:divBdr>
            <w:top w:val="none" w:sz="0" w:space="0" w:color="auto"/>
            <w:left w:val="none" w:sz="0" w:space="0" w:color="auto"/>
            <w:bottom w:val="none" w:sz="0" w:space="0" w:color="auto"/>
            <w:right w:val="none" w:sz="0" w:space="0" w:color="auto"/>
          </w:divBdr>
        </w:div>
        <w:div w:id="1515848804">
          <w:marLeft w:val="576"/>
          <w:marRight w:val="0"/>
          <w:marTop w:val="101"/>
          <w:marBottom w:val="0"/>
          <w:divBdr>
            <w:top w:val="none" w:sz="0" w:space="0" w:color="auto"/>
            <w:left w:val="none" w:sz="0" w:space="0" w:color="auto"/>
            <w:bottom w:val="none" w:sz="0" w:space="0" w:color="auto"/>
            <w:right w:val="none" w:sz="0" w:space="0" w:color="auto"/>
          </w:divBdr>
        </w:div>
      </w:divsChild>
    </w:div>
    <w:div w:id="1937445853">
      <w:bodyDiv w:val="1"/>
      <w:marLeft w:val="0"/>
      <w:marRight w:val="0"/>
      <w:marTop w:val="0"/>
      <w:marBottom w:val="0"/>
      <w:divBdr>
        <w:top w:val="none" w:sz="0" w:space="0" w:color="auto"/>
        <w:left w:val="none" w:sz="0" w:space="0" w:color="auto"/>
        <w:bottom w:val="none" w:sz="0" w:space="0" w:color="auto"/>
        <w:right w:val="none" w:sz="0" w:space="0" w:color="auto"/>
      </w:divBdr>
      <w:divsChild>
        <w:div w:id="41251527">
          <w:marLeft w:val="1570"/>
          <w:marRight w:val="0"/>
          <w:marTop w:val="91"/>
          <w:marBottom w:val="0"/>
          <w:divBdr>
            <w:top w:val="none" w:sz="0" w:space="0" w:color="auto"/>
            <w:left w:val="none" w:sz="0" w:space="0" w:color="auto"/>
            <w:bottom w:val="none" w:sz="0" w:space="0" w:color="auto"/>
            <w:right w:val="none" w:sz="0" w:space="0" w:color="auto"/>
          </w:divBdr>
        </w:div>
        <w:div w:id="101800049">
          <w:marLeft w:val="1570"/>
          <w:marRight w:val="0"/>
          <w:marTop w:val="91"/>
          <w:marBottom w:val="0"/>
          <w:divBdr>
            <w:top w:val="none" w:sz="0" w:space="0" w:color="auto"/>
            <w:left w:val="none" w:sz="0" w:space="0" w:color="auto"/>
            <w:bottom w:val="none" w:sz="0" w:space="0" w:color="auto"/>
            <w:right w:val="none" w:sz="0" w:space="0" w:color="auto"/>
          </w:divBdr>
        </w:div>
        <w:div w:id="1542590438">
          <w:marLeft w:val="1570"/>
          <w:marRight w:val="0"/>
          <w:marTop w:val="91"/>
          <w:marBottom w:val="0"/>
          <w:divBdr>
            <w:top w:val="none" w:sz="0" w:space="0" w:color="auto"/>
            <w:left w:val="none" w:sz="0" w:space="0" w:color="auto"/>
            <w:bottom w:val="none" w:sz="0" w:space="0" w:color="auto"/>
            <w:right w:val="none" w:sz="0" w:space="0" w:color="auto"/>
          </w:divBdr>
        </w:div>
        <w:div w:id="1997688667">
          <w:marLeft w:val="1570"/>
          <w:marRight w:val="0"/>
          <w:marTop w:val="91"/>
          <w:marBottom w:val="0"/>
          <w:divBdr>
            <w:top w:val="none" w:sz="0" w:space="0" w:color="auto"/>
            <w:left w:val="none" w:sz="0" w:space="0" w:color="auto"/>
            <w:bottom w:val="none" w:sz="0" w:space="0" w:color="auto"/>
            <w:right w:val="none" w:sz="0" w:space="0" w:color="auto"/>
          </w:divBdr>
        </w:div>
      </w:divsChild>
    </w:div>
    <w:div w:id="1957449266">
      <w:bodyDiv w:val="1"/>
      <w:marLeft w:val="0"/>
      <w:marRight w:val="0"/>
      <w:marTop w:val="0"/>
      <w:marBottom w:val="0"/>
      <w:divBdr>
        <w:top w:val="none" w:sz="0" w:space="0" w:color="auto"/>
        <w:left w:val="none" w:sz="0" w:space="0" w:color="auto"/>
        <w:bottom w:val="none" w:sz="0" w:space="0" w:color="auto"/>
        <w:right w:val="none" w:sz="0" w:space="0" w:color="auto"/>
      </w:divBdr>
    </w:div>
    <w:div w:id="1975209148">
      <w:bodyDiv w:val="1"/>
      <w:marLeft w:val="0"/>
      <w:marRight w:val="0"/>
      <w:marTop w:val="0"/>
      <w:marBottom w:val="0"/>
      <w:divBdr>
        <w:top w:val="none" w:sz="0" w:space="0" w:color="auto"/>
        <w:left w:val="none" w:sz="0" w:space="0" w:color="auto"/>
        <w:bottom w:val="none" w:sz="0" w:space="0" w:color="auto"/>
        <w:right w:val="none" w:sz="0" w:space="0" w:color="auto"/>
      </w:divBdr>
      <w:divsChild>
        <w:div w:id="299654026">
          <w:marLeft w:val="1570"/>
          <w:marRight w:val="0"/>
          <w:marTop w:val="101"/>
          <w:marBottom w:val="0"/>
          <w:divBdr>
            <w:top w:val="none" w:sz="0" w:space="0" w:color="auto"/>
            <w:left w:val="none" w:sz="0" w:space="0" w:color="auto"/>
            <w:bottom w:val="none" w:sz="0" w:space="0" w:color="auto"/>
            <w:right w:val="none" w:sz="0" w:space="0" w:color="auto"/>
          </w:divBdr>
        </w:div>
        <w:div w:id="379596266">
          <w:marLeft w:val="1570"/>
          <w:marRight w:val="0"/>
          <w:marTop w:val="101"/>
          <w:marBottom w:val="0"/>
          <w:divBdr>
            <w:top w:val="none" w:sz="0" w:space="0" w:color="auto"/>
            <w:left w:val="none" w:sz="0" w:space="0" w:color="auto"/>
            <w:bottom w:val="none" w:sz="0" w:space="0" w:color="auto"/>
            <w:right w:val="none" w:sz="0" w:space="0" w:color="auto"/>
          </w:divBdr>
        </w:div>
        <w:div w:id="612639009">
          <w:marLeft w:val="576"/>
          <w:marRight w:val="0"/>
          <w:marTop w:val="101"/>
          <w:marBottom w:val="0"/>
          <w:divBdr>
            <w:top w:val="none" w:sz="0" w:space="0" w:color="auto"/>
            <w:left w:val="none" w:sz="0" w:space="0" w:color="auto"/>
            <w:bottom w:val="none" w:sz="0" w:space="0" w:color="auto"/>
            <w:right w:val="none" w:sz="0" w:space="0" w:color="auto"/>
          </w:divBdr>
        </w:div>
      </w:divsChild>
    </w:div>
    <w:div w:id="2036467102">
      <w:bodyDiv w:val="1"/>
      <w:marLeft w:val="0"/>
      <w:marRight w:val="0"/>
      <w:marTop w:val="0"/>
      <w:marBottom w:val="0"/>
      <w:divBdr>
        <w:top w:val="none" w:sz="0" w:space="0" w:color="auto"/>
        <w:left w:val="none" w:sz="0" w:space="0" w:color="auto"/>
        <w:bottom w:val="none" w:sz="0" w:space="0" w:color="auto"/>
        <w:right w:val="none" w:sz="0" w:space="0" w:color="auto"/>
      </w:divBdr>
    </w:div>
    <w:div w:id="2037457795">
      <w:bodyDiv w:val="1"/>
      <w:marLeft w:val="0"/>
      <w:marRight w:val="0"/>
      <w:marTop w:val="0"/>
      <w:marBottom w:val="0"/>
      <w:divBdr>
        <w:top w:val="none" w:sz="0" w:space="0" w:color="auto"/>
        <w:left w:val="none" w:sz="0" w:space="0" w:color="auto"/>
        <w:bottom w:val="none" w:sz="0" w:space="0" w:color="auto"/>
        <w:right w:val="none" w:sz="0" w:space="0" w:color="auto"/>
      </w:divBdr>
    </w:div>
    <w:div w:id="2062360681">
      <w:bodyDiv w:val="1"/>
      <w:marLeft w:val="0"/>
      <w:marRight w:val="0"/>
      <w:marTop w:val="0"/>
      <w:marBottom w:val="0"/>
      <w:divBdr>
        <w:top w:val="none" w:sz="0" w:space="0" w:color="auto"/>
        <w:left w:val="none" w:sz="0" w:space="0" w:color="auto"/>
        <w:bottom w:val="none" w:sz="0" w:space="0" w:color="auto"/>
        <w:right w:val="none" w:sz="0" w:space="0" w:color="auto"/>
      </w:divBdr>
      <w:divsChild>
        <w:div w:id="252280103">
          <w:marLeft w:val="1570"/>
          <w:marRight w:val="0"/>
          <w:marTop w:val="91"/>
          <w:marBottom w:val="0"/>
          <w:divBdr>
            <w:top w:val="none" w:sz="0" w:space="0" w:color="auto"/>
            <w:left w:val="none" w:sz="0" w:space="0" w:color="auto"/>
            <w:bottom w:val="none" w:sz="0" w:space="0" w:color="auto"/>
            <w:right w:val="none" w:sz="0" w:space="0" w:color="auto"/>
          </w:divBdr>
        </w:div>
        <w:div w:id="912739773">
          <w:marLeft w:val="1570"/>
          <w:marRight w:val="0"/>
          <w:marTop w:val="91"/>
          <w:marBottom w:val="0"/>
          <w:divBdr>
            <w:top w:val="none" w:sz="0" w:space="0" w:color="auto"/>
            <w:left w:val="none" w:sz="0" w:space="0" w:color="auto"/>
            <w:bottom w:val="none" w:sz="0" w:space="0" w:color="auto"/>
            <w:right w:val="none" w:sz="0" w:space="0" w:color="auto"/>
          </w:divBdr>
        </w:div>
      </w:divsChild>
    </w:div>
    <w:div w:id="2103407680">
      <w:bodyDiv w:val="1"/>
      <w:marLeft w:val="0"/>
      <w:marRight w:val="0"/>
      <w:marTop w:val="0"/>
      <w:marBottom w:val="0"/>
      <w:divBdr>
        <w:top w:val="none" w:sz="0" w:space="0" w:color="auto"/>
        <w:left w:val="none" w:sz="0" w:space="0" w:color="auto"/>
        <w:bottom w:val="none" w:sz="0" w:space="0" w:color="auto"/>
        <w:right w:val="none" w:sz="0" w:space="0" w:color="auto"/>
      </w:divBdr>
      <w:divsChild>
        <w:div w:id="330110592">
          <w:marLeft w:val="1570"/>
          <w:marRight w:val="0"/>
          <w:marTop w:val="91"/>
          <w:marBottom w:val="0"/>
          <w:divBdr>
            <w:top w:val="none" w:sz="0" w:space="0" w:color="auto"/>
            <w:left w:val="none" w:sz="0" w:space="0" w:color="auto"/>
            <w:bottom w:val="none" w:sz="0" w:space="0" w:color="auto"/>
            <w:right w:val="none" w:sz="0" w:space="0" w:color="auto"/>
          </w:divBdr>
        </w:div>
        <w:div w:id="831481365">
          <w:marLeft w:val="1570"/>
          <w:marRight w:val="0"/>
          <w:marTop w:val="91"/>
          <w:marBottom w:val="0"/>
          <w:divBdr>
            <w:top w:val="none" w:sz="0" w:space="0" w:color="auto"/>
            <w:left w:val="none" w:sz="0" w:space="0" w:color="auto"/>
            <w:bottom w:val="none" w:sz="0" w:space="0" w:color="auto"/>
            <w:right w:val="none" w:sz="0" w:space="0" w:color="auto"/>
          </w:divBdr>
        </w:div>
        <w:div w:id="1409956975">
          <w:marLeft w:val="1570"/>
          <w:marRight w:val="0"/>
          <w:marTop w:val="91"/>
          <w:marBottom w:val="0"/>
          <w:divBdr>
            <w:top w:val="none" w:sz="0" w:space="0" w:color="auto"/>
            <w:left w:val="none" w:sz="0" w:space="0" w:color="auto"/>
            <w:bottom w:val="none" w:sz="0" w:space="0" w:color="auto"/>
            <w:right w:val="none" w:sz="0" w:space="0" w:color="auto"/>
          </w:divBdr>
        </w:div>
      </w:divsChild>
    </w:div>
    <w:div w:id="2119130719">
      <w:bodyDiv w:val="1"/>
      <w:marLeft w:val="0"/>
      <w:marRight w:val="0"/>
      <w:marTop w:val="0"/>
      <w:marBottom w:val="0"/>
      <w:divBdr>
        <w:top w:val="none" w:sz="0" w:space="0" w:color="auto"/>
        <w:left w:val="none" w:sz="0" w:space="0" w:color="auto"/>
        <w:bottom w:val="none" w:sz="0" w:space="0" w:color="auto"/>
        <w:right w:val="none" w:sz="0" w:space="0" w:color="auto"/>
      </w:divBdr>
    </w:div>
    <w:div w:id="2120299709">
      <w:bodyDiv w:val="1"/>
      <w:marLeft w:val="0"/>
      <w:marRight w:val="0"/>
      <w:marTop w:val="0"/>
      <w:marBottom w:val="0"/>
      <w:divBdr>
        <w:top w:val="none" w:sz="0" w:space="0" w:color="auto"/>
        <w:left w:val="none" w:sz="0" w:space="0" w:color="auto"/>
        <w:bottom w:val="none" w:sz="0" w:space="0" w:color="auto"/>
        <w:right w:val="none" w:sz="0" w:space="0" w:color="auto"/>
      </w:divBdr>
      <w:divsChild>
        <w:div w:id="261380632">
          <w:marLeft w:val="1570"/>
          <w:marRight w:val="0"/>
          <w:marTop w:val="101"/>
          <w:marBottom w:val="0"/>
          <w:divBdr>
            <w:top w:val="none" w:sz="0" w:space="0" w:color="auto"/>
            <w:left w:val="none" w:sz="0" w:space="0" w:color="auto"/>
            <w:bottom w:val="none" w:sz="0" w:space="0" w:color="auto"/>
            <w:right w:val="none" w:sz="0" w:space="0" w:color="auto"/>
          </w:divBdr>
        </w:div>
        <w:div w:id="788086758">
          <w:marLeft w:val="1570"/>
          <w:marRight w:val="0"/>
          <w:marTop w:val="101"/>
          <w:marBottom w:val="0"/>
          <w:divBdr>
            <w:top w:val="none" w:sz="0" w:space="0" w:color="auto"/>
            <w:left w:val="none" w:sz="0" w:space="0" w:color="auto"/>
            <w:bottom w:val="none" w:sz="0" w:space="0" w:color="auto"/>
            <w:right w:val="none" w:sz="0" w:space="0" w:color="auto"/>
          </w:divBdr>
        </w:div>
      </w:divsChild>
    </w:div>
    <w:div w:id="214724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image" Target="media/image6.emf"/><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image" Target="media/image12.jpeg"/><Relationship Id="rId50" Type="http://schemas.openxmlformats.org/officeDocument/2006/relationships/image" Target="media/image1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microsoft.com/office/2007/relationships/diagramDrawing" Target="diagrams/drawing1.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image" Target="media/image10.emf"/><Relationship Id="rId53" Type="http://schemas.openxmlformats.org/officeDocument/2006/relationships/image" Target="media/image18.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image" Target="media/image16.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11.emf"/><Relationship Id="rId20" Type="http://schemas.openxmlformats.org/officeDocument/2006/relationships/image" Target="media/image5.png"/><Relationship Id="rId41" Type="http://schemas.openxmlformats.org/officeDocument/2006/relationships/diagramLayout" Target="diagrams/layout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image" Target="media/image14.emf"/></Relationships>
</file>

<file path=word/_rels/footnotes.xml.rels><?xml version="1.0" encoding="UTF-8" standalone="yes"?>
<Relationships xmlns="http://schemas.openxmlformats.org/package/2006/relationships"><Relationship Id="rId2" Type="http://schemas.openxmlformats.org/officeDocument/2006/relationships/hyperlink" Target="https://new.abb.com/news/detail/45805/abb-inaugurates-microgrid-in-south-africa-boosting-renewables-and-power-reliability" TargetMode="External"/><Relationship Id="rId1" Type="http://schemas.openxmlformats.org/officeDocument/2006/relationships/hyperlink" Target="https://webstore.iec.ch/publication/64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lorine%20Thiery\My%20Documents\Templates\Report%20TEMPLATE%20.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503AD1-E6DB-4D24-A2A8-81711BFDB19A}" type="doc">
      <dgm:prSet loTypeId="urn:microsoft.com/office/officeart/2005/8/layout/chevron1" loCatId="process" qsTypeId="urn:microsoft.com/office/officeart/2005/8/quickstyle/simple1" qsCatId="simple" csTypeId="urn:microsoft.com/office/officeart/2005/8/colors/accent1_2" csCatId="accent1" phldr="1"/>
      <dgm:spPr/>
    </dgm:pt>
    <dgm:pt modelId="{9F3E0CBC-94F5-4506-9C68-048A9D661E17}">
      <dgm:prSet phldrT="[Text]" custT="1"/>
      <dgm:spPr/>
      <dgm:t>
        <a:bodyPr/>
        <a:lstStyle/>
        <a:p>
          <a:r>
            <a:rPr lang="en-US" sz="900">
              <a:latin typeface="Arial" panose="020B0604020202020204" pitchFamily="34" charset="0"/>
              <a:cs typeface="Arial" panose="020B0604020202020204" pitchFamily="34" charset="0"/>
            </a:rPr>
            <a:t>Entry into the market</a:t>
          </a:r>
        </a:p>
        <a:p>
          <a:r>
            <a:rPr lang="en-US" sz="900">
              <a:latin typeface="Arial" panose="020B0604020202020204" pitchFamily="34" charset="0"/>
              <a:cs typeface="Arial" panose="020B0604020202020204" pitchFamily="34" charset="0"/>
            </a:rPr>
            <a:t>1</a:t>
          </a:r>
        </a:p>
      </dgm:t>
    </dgm:pt>
    <dgm:pt modelId="{A80299CB-E8BB-457D-BD24-98341BD73C0E}" type="parTrans" cxnId="{A85A4D5B-108E-4639-9F88-B469C148553E}">
      <dgm:prSet/>
      <dgm:spPr/>
      <dgm:t>
        <a:bodyPr/>
        <a:lstStyle/>
        <a:p>
          <a:endParaRPr lang="en-US" sz="900">
            <a:latin typeface="Arial" panose="020B0604020202020204" pitchFamily="34" charset="0"/>
            <a:cs typeface="Arial" panose="020B0604020202020204" pitchFamily="34" charset="0"/>
          </a:endParaRPr>
        </a:p>
      </dgm:t>
    </dgm:pt>
    <dgm:pt modelId="{BAD1F08D-4589-4568-84F5-FDFC66FD59FF}" type="sibTrans" cxnId="{A85A4D5B-108E-4639-9F88-B469C148553E}">
      <dgm:prSet/>
      <dgm:spPr/>
      <dgm:t>
        <a:bodyPr/>
        <a:lstStyle/>
        <a:p>
          <a:endParaRPr lang="en-US" sz="900">
            <a:latin typeface="Arial" panose="020B0604020202020204" pitchFamily="34" charset="0"/>
            <a:cs typeface="Arial" panose="020B0604020202020204" pitchFamily="34" charset="0"/>
          </a:endParaRPr>
        </a:p>
      </dgm:t>
    </dgm:pt>
    <dgm:pt modelId="{E34459C4-3323-4871-A54C-5DAFD0500942}">
      <dgm:prSet phldrT="[Text]" custT="1"/>
      <dgm:spPr/>
      <dgm:t>
        <a:bodyPr/>
        <a:lstStyle/>
        <a:p>
          <a:r>
            <a:rPr lang="en-US" sz="900">
              <a:latin typeface="Arial" panose="020B0604020202020204" pitchFamily="34" charset="0"/>
              <a:cs typeface="Arial" panose="020B0604020202020204" pitchFamily="34" charset="0"/>
            </a:rPr>
            <a:t>Participation in the market</a:t>
          </a:r>
        </a:p>
        <a:p>
          <a:r>
            <a:rPr lang="en-US" sz="900">
              <a:latin typeface="Arial" panose="020B0604020202020204" pitchFamily="34" charset="0"/>
              <a:cs typeface="Arial" panose="020B0604020202020204" pitchFamily="34" charset="0"/>
            </a:rPr>
            <a:t>2-3-4</a:t>
          </a:r>
        </a:p>
      </dgm:t>
    </dgm:pt>
    <dgm:pt modelId="{0F3AC83F-DC66-44B7-9888-93032BD0C258}" type="parTrans" cxnId="{12806E76-3880-438D-9FB4-CC383FDD768F}">
      <dgm:prSet/>
      <dgm:spPr/>
      <dgm:t>
        <a:bodyPr/>
        <a:lstStyle/>
        <a:p>
          <a:endParaRPr lang="en-US" sz="900">
            <a:latin typeface="Arial" panose="020B0604020202020204" pitchFamily="34" charset="0"/>
            <a:cs typeface="Arial" panose="020B0604020202020204" pitchFamily="34" charset="0"/>
          </a:endParaRPr>
        </a:p>
      </dgm:t>
    </dgm:pt>
    <dgm:pt modelId="{CD96BE74-0D00-4C78-A106-70E0A491BF5C}" type="sibTrans" cxnId="{12806E76-3880-438D-9FB4-CC383FDD768F}">
      <dgm:prSet/>
      <dgm:spPr/>
      <dgm:t>
        <a:bodyPr/>
        <a:lstStyle/>
        <a:p>
          <a:endParaRPr lang="en-US" sz="900">
            <a:latin typeface="Arial" panose="020B0604020202020204" pitchFamily="34" charset="0"/>
            <a:cs typeface="Arial" panose="020B0604020202020204" pitchFamily="34" charset="0"/>
          </a:endParaRPr>
        </a:p>
      </dgm:t>
    </dgm:pt>
    <dgm:pt modelId="{BED3BADE-A9E5-4E5B-BF7E-822F14063764}">
      <dgm:prSet phldrT="[Text]" custT="1"/>
      <dgm:spPr/>
      <dgm:t>
        <a:bodyPr/>
        <a:lstStyle/>
        <a:p>
          <a:r>
            <a:rPr lang="en-US" sz="900">
              <a:latin typeface="Arial" panose="020B0604020202020204" pitchFamily="34" charset="0"/>
              <a:cs typeface="Arial" panose="020B0604020202020204" pitchFamily="34" charset="0"/>
            </a:rPr>
            <a:t>Exit from the market</a:t>
          </a:r>
        </a:p>
        <a:p>
          <a:r>
            <a:rPr lang="en-US" sz="900">
              <a:latin typeface="Arial" panose="020B0604020202020204" pitchFamily="34" charset="0"/>
              <a:cs typeface="Arial" panose="020B0604020202020204" pitchFamily="34" charset="0"/>
            </a:rPr>
            <a:t>5</a:t>
          </a:r>
        </a:p>
      </dgm:t>
    </dgm:pt>
    <dgm:pt modelId="{C567A803-AA9B-49BA-A404-335A1D6A7F8E}" type="parTrans" cxnId="{E10B1C10-5DB3-4F79-BCB6-BD0A21A2FA47}">
      <dgm:prSet/>
      <dgm:spPr/>
      <dgm:t>
        <a:bodyPr/>
        <a:lstStyle/>
        <a:p>
          <a:endParaRPr lang="en-US" sz="900">
            <a:latin typeface="Arial" panose="020B0604020202020204" pitchFamily="34" charset="0"/>
            <a:cs typeface="Arial" panose="020B0604020202020204" pitchFamily="34" charset="0"/>
          </a:endParaRPr>
        </a:p>
      </dgm:t>
    </dgm:pt>
    <dgm:pt modelId="{25E13C7D-ED50-496C-9CF5-3DC8C56847F3}" type="sibTrans" cxnId="{E10B1C10-5DB3-4F79-BCB6-BD0A21A2FA47}">
      <dgm:prSet/>
      <dgm:spPr/>
      <dgm:t>
        <a:bodyPr/>
        <a:lstStyle/>
        <a:p>
          <a:endParaRPr lang="en-US" sz="900">
            <a:latin typeface="Arial" panose="020B0604020202020204" pitchFamily="34" charset="0"/>
            <a:cs typeface="Arial" panose="020B0604020202020204" pitchFamily="34" charset="0"/>
          </a:endParaRPr>
        </a:p>
      </dgm:t>
    </dgm:pt>
    <dgm:pt modelId="{BA59D594-2571-489A-AF78-B53620188E4A}" type="pres">
      <dgm:prSet presAssocID="{5D503AD1-E6DB-4D24-A2A8-81711BFDB19A}" presName="Name0" presStyleCnt="0">
        <dgm:presLayoutVars>
          <dgm:dir/>
          <dgm:animLvl val="lvl"/>
          <dgm:resizeHandles val="exact"/>
        </dgm:presLayoutVars>
      </dgm:prSet>
      <dgm:spPr/>
    </dgm:pt>
    <dgm:pt modelId="{118839BF-7ED7-4613-AE02-83BF9EE22DCF}" type="pres">
      <dgm:prSet presAssocID="{9F3E0CBC-94F5-4506-9C68-048A9D661E17}" presName="parTxOnly" presStyleLbl="node1" presStyleIdx="0" presStyleCnt="3" custScaleX="52002">
        <dgm:presLayoutVars>
          <dgm:chMax val="0"/>
          <dgm:chPref val="0"/>
          <dgm:bulletEnabled val="1"/>
        </dgm:presLayoutVars>
      </dgm:prSet>
      <dgm:spPr/>
    </dgm:pt>
    <dgm:pt modelId="{13AFC645-2BD2-4C4A-B43C-51F4F38A73F9}" type="pres">
      <dgm:prSet presAssocID="{BAD1F08D-4589-4568-84F5-FDFC66FD59FF}" presName="parTxOnlySpace" presStyleCnt="0"/>
      <dgm:spPr/>
    </dgm:pt>
    <dgm:pt modelId="{450092DC-D761-414D-8B15-C4041EBC21BD}" type="pres">
      <dgm:prSet presAssocID="{E34459C4-3323-4871-A54C-5DAFD0500942}" presName="parTxOnly" presStyleLbl="node1" presStyleIdx="1" presStyleCnt="3">
        <dgm:presLayoutVars>
          <dgm:chMax val="0"/>
          <dgm:chPref val="0"/>
          <dgm:bulletEnabled val="1"/>
        </dgm:presLayoutVars>
      </dgm:prSet>
      <dgm:spPr/>
    </dgm:pt>
    <dgm:pt modelId="{EAC7356B-9B36-4C0D-91A0-F0689FA2FF82}" type="pres">
      <dgm:prSet presAssocID="{CD96BE74-0D00-4C78-A106-70E0A491BF5C}" presName="parTxOnlySpace" presStyleCnt="0"/>
      <dgm:spPr/>
    </dgm:pt>
    <dgm:pt modelId="{270EBE83-57E1-45DE-835A-09A8EABA7315}" type="pres">
      <dgm:prSet presAssocID="{BED3BADE-A9E5-4E5B-BF7E-822F14063764}" presName="parTxOnly" presStyleLbl="node1" presStyleIdx="2" presStyleCnt="3" custScaleX="50399">
        <dgm:presLayoutVars>
          <dgm:chMax val="0"/>
          <dgm:chPref val="0"/>
          <dgm:bulletEnabled val="1"/>
        </dgm:presLayoutVars>
      </dgm:prSet>
      <dgm:spPr/>
    </dgm:pt>
  </dgm:ptLst>
  <dgm:cxnLst>
    <dgm:cxn modelId="{E10B1C10-5DB3-4F79-BCB6-BD0A21A2FA47}" srcId="{5D503AD1-E6DB-4D24-A2A8-81711BFDB19A}" destId="{BED3BADE-A9E5-4E5B-BF7E-822F14063764}" srcOrd="2" destOrd="0" parTransId="{C567A803-AA9B-49BA-A404-335A1D6A7F8E}" sibTransId="{25E13C7D-ED50-496C-9CF5-3DC8C56847F3}"/>
    <dgm:cxn modelId="{A85A4D5B-108E-4639-9F88-B469C148553E}" srcId="{5D503AD1-E6DB-4D24-A2A8-81711BFDB19A}" destId="{9F3E0CBC-94F5-4506-9C68-048A9D661E17}" srcOrd="0" destOrd="0" parTransId="{A80299CB-E8BB-457D-BD24-98341BD73C0E}" sibTransId="{BAD1F08D-4589-4568-84F5-FDFC66FD59FF}"/>
    <dgm:cxn modelId="{A87B796B-74AE-4871-9C0C-B3CD849748C0}" type="presOf" srcId="{BED3BADE-A9E5-4E5B-BF7E-822F14063764}" destId="{270EBE83-57E1-45DE-835A-09A8EABA7315}" srcOrd="0" destOrd="0" presId="urn:microsoft.com/office/officeart/2005/8/layout/chevron1"/>
    <dgm:cxn modelId="{CC5B0153-05E2-436D-8A63-B89578000ED9}" type="presOf" srcId="{9F3E0CBC-94F5-4506-9C68-048A9D661E17}" destId="{118839BF-7ED7-4613-AE02-83BF9EE22DCF}" srcOrd="0" destOrd="0" presId="urn:microsoft.com/office/officeart/2005/8/layout/chevron1"/>
    <dgm:cxn modelId="{12806E76-3880-438D-9FB4-CC383FDD768F}" srcId="{5D503AD1-E6DB-4D24-A2A8-81711BFDB19A}" destId="{E34459C4-3323-4871-A54C-5DAFD0500942}" srcOrd="1" destOrd="0" parTransId="{0F3AC83F-DC66-44B7-9888-93032BD0C258}" sibTransId="{CD96BE74-0D00-4C78-A106-70E0A491BF5C}"/>
    <dgm:cxn modelId="{50799F77-6BB4-41C8-ACB1-3294D93109D1}" type="presOf" srcId="{5D503AD1-E6DB-4D24-A2A8-81711BFDB19A}" destId="{BA59D594-2571-489A-AF78-B53620188E4A}" srcOrd="0" destOrd="0" presId="urn:microsoft.com/office/officeart/2005/8/layout/chevron1"/>
    <dgm:cxn modelId="{CC79F6E4-22EE-449D-8F06-F9EDF8E500BB}" type="presOf" srcId="{E34459C4-3323-4871-A54C-5DAFD0500942}" destId="{450092DC-D761-414D-8B15-C4041EBC21BD}" srcOrd="0" destOrd="0" presId="urn:microsoft.com/office/officeart/2005/8/layout/chevron1"/>
    <dgm:cxn modelId="{2B5C6AB2-91DF-4138-B8D8-AA960F0D163A}" type="presParOf" srcId="{BA59D594-2571-489A-AF78-B53620188E4A}" destId="{118839BF-7ED7-4613-AE02-83BF9EE22DCF}" srcOrd="0" destOrd="0" presId="urn:microsoft.com/office/officeart/2005/8/layout/chevron1"/>
    <dgm:cxn modelId="{D7417D0A-1FFC-46D2-8613-2E0BA49E88E9}" type="presParOf" srcId="{BA59D594-2571-489A-AF78-B53620188E4A}" destId="{13AFC645-2BD2-4C4A-B43C-51F4F38A73F9}" srcOrd="1" destOrd="0" presId="urn:microsoft.com/office/officeart/2005/8/layout/chevron1"/>
    <dgm:cxn modelId="{7ADA298F-5892-4E13-BAAA-E12E507EA455}" type="presParOf" srcId="{BA59D594-2571-489A-AF78-B53620188E4A}" destId="{450092DC-D761-414D-8B15-C4041EBC21BD}" srcOrd="2" destOrd="0" presId="urn:microsoft.com/office/officeart/2005/8/layout/chevron1"/>
    <dgm:cxn modelId="{127AFB5A-8EBC-4301-900D-0E51C30DC0CC}" type="presParOf" srcId="{BA59D594-2571-489A-AF78-B53620188E4A}" destId="{EAC7356B-9B36-4C0D-91A0-F0689FA2FF82}" srcOrd="3" destOrd="0" presId="urn:microsoft.com/office/officeart/2005/8/layout/chevron1"/>
    <dgm:cxn modelId="{F06DE4B6-8D0A-4D4E-BC84-E8FC4E8562FB}" type="presParOf" srcId="{BA59D594-2571-489A-AF78-B53620188E4A}" destId="{270EBE83-57E1-45DE-835A-09A8EABA7315}" srcOrd="4"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9BBCC4-D7D8-4D52-A1E3-2D20356BCA19}"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n-US"/>
        </a:p>
      </dgm:t>
    </dgm:pt>
    <dgm:pt modelId="{F083CE82-C202-4B67-A389-27FB421A7AB6}">
      <dgm:prSet phldrT="[Text]" custT="1"/>
      <dgm:spPr>
        <a:xfrm>
          <a:off x="504" y="0"/>
          <a:ext cx="1032770" cy="1449070"/>
        </a:xfrm>
        <a:solidFill>
          <a:srgbClr val="4F81BD">
            <a:tint val="40000"/>
            <a:hueOff val="0"/>
            <a:satOff val="0"/>
            <a:lumOff val="0"/>
            <a:alphaOff val="0"/>
          </a:srgbClr>
        </a:solidFill>
        <a:ln>
          <a:noFill/>
        </a:ln>
        <a:effectLst/>
      </dgm:spPr>
      <dgm:t>
        <a:bodyPr/>
        <a:lstStyle/>
        <a:p>
          <a:pPr>
            <a:buNone/>
          </a:pP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p>
        <a:p>
          <a:pPr>
            <a:buNone/>
          </a:pP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 to the   market</a:t>
          </a:r>
        </a:p>
      </dgm:t>
    </dgm:pt>
    <dgm:pt modelId="{369BFF03-7146-4DE6-A78C-75C97AE6FAA7}" type="parTrans" cxnId="{92EC6E1B-1884-4AFA-B687-9440742A6264}">
      <dgm:prSet/>
      <dgm:spPr/>
      <dgm:t>
        <a:bodyPr/>
        <a:lstStyle/>
        <a:p>
          <a:endParaRPr lang="en-US" sz="800">
            <a:latin typeface="Arial" panose="020B0604020202020204" pitchFamily="34" charset="0"/>
            <a:cs typeface="Arial" panose="020B0604020202020204" pitchFamily="34" charset="0"/>
          </a:endParaRPr>
        </a:p>
      </dgm:t>
    </dgm:pt>
    <dgm:pt modelId="{AACCD43C-0817-49B8-A89B-D4A15AA4CDCA}" type="sibTrans" cxnId="{92EC6E1B-1884-4AFA-B687-9440742A6264}">
      <dgm:prSet/>
      <dgm:spPr/>
      <dgm:t>
        <a:bodyPr/>
        <a:lstStyle/>
        <a:p>
          <a:endParaRPr lang="en-US" sz="800">
            <a:latin typeface="Arial" panose="020B0604020202020204" pitchFamily="34" charset="0"/>
            <a:cs typeface="Arial" panose="020B0604020202020204" pitchFamily="34" charset="0"/>
          </a:endParaRPr>
        </a:p>
      </dgm:t>
    </dgm:pt>
    <dgm:pt modelId="{EFC43878-A934-4C25-BAD5-3F2BC26CC657}">
      <dgm:prSet phldrT="[Text]" custT="1"/>
      <dgm:spPr>
        <a:xfrm>
          <a:off x="103781" y="435145"/>
          <a:ext cx="826216" cy="4369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800">
              <a:solidFill>
                <a:sysClr val="window" lastClr="FFFFFF"/>
              </a:solidFill>
              <a:latin typeface="Arial" panose="020B0604020202020204" pitchFamily="34" charset="0"/>
              <a:ea typeface="+mn-ea"/>
              <a:cs typeface="Arial" panose="020B0604020202020204" pitchFamily="34" charset="0"/>
            </a:rPr>
            <a:t>1.1 Market addmission procedure</a:t>
          </a:r>
        </a:p>
      </dgm:t>
    </dgm:pt>
    <dgm:pt modelId="{4A7005AE-738B-407C-BD0A-6B1BC19F44D7}" type="parTrans" cxnId="{F055AA33-97B0-4E06-869D-913258D53B25}">
      <dgm:prSet/>
      <dgm:spPr/>
      <dgm:t>
        <a:bodyPr/>
        <a:lstStyle/>
        <a:p>
          <a:endParaRPr lang="en-US" sz="800">
            <a:latin typeface="Arial" panose="020B0604020202020204" pitchFamily="34" charset="0"/>
            <a:cs typeface="Arial" panose="020B0604020202020204" pitchFamily="34" charset="0"/>
          </a:endParaRPr>
        </a:p>
      </dgm:t>
    </dgm:pt>
    <dgm:pt modelId="{D527FDC2-15B2-4D6D-9971-3DFB5CA3F52F}" type="sibTrans" cxnId="{F055AA33-97B0-4E06-869D-913258D53B25}">
      <dgm:prSet/>
      <dgm:spPr/>
      <dgm:t>
        <a:bodyPr/>
        <a:lstStyle/>
        <a:p>
          <a:endParaRPr lang="en-US" sz="800">
            <a:latin typeface="Arial" panose="020B0604020202020204" pitchFamily="34" charset="0"/>
            <a:cs typeface="Arial" panose="020B0604020202020204" pitchFamily="34" charset="0"/>
          </a:endParaRPr>
        </a:p>
      </dgm:t>
    </dgm:pt>
    <dgm:pt modelId="{D00F28E7-4094-4280-B7A2-7C975971E336}">
      <dgm:prSet phldrT="[Text]" custT="1"/>
      <dgm:spPr>
        <a:xfrm>
          <a:off x="103781" y="939277"/>
          <a:ext cx="826216" cy="4369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800">
              <a:solidFill>
                <a:sysClr val="window" lastClr="FFFFFF"/>
              </a:solidFill>
              <a:latin typeface="Arial" panose="020B0604020202020204" pitchFamily="34" charset="0"/>
              <a:ea typeface="+mn-ea"/>
              <a:cs typeface="Arial" panose="020B0604020202020204" pitchFamily="34" charset="0"/>
            </a:rPr>
            <a:t>1.2 Access to the IS</a:t>
          </a:r>
        </a:p>
      </dgm:t>
    </dgm:pt>
    <dgm:pt modelId="{7F0590D8-C840-433B-96E0-FF932DE15AEF}" type="parTrans" cxnId="{C3AFA651-0A8A-4BAF-95D8-28E560C49C83}">
      <dgm:prSet/>
      <dgm:spPr/>
      <dgm:t>
        <a:bodyPr/>
        <a:lstStyle/>
        <a:p>
          <a:endParaRPr lang="en-US" sz="800">
            <a:latin typeface="Arial" panose="020B0604020202020204" pitchFamily="34" charset="0"/>
            <a:cs typeface="Arial" panose="020B0604020202020204" pitchFamily="34" charset="0"/>
          </a:endParaRPr>
        </a:p>
      </dgm:t>
    </dgm:pt>
    <dgm:pt modelId="{48A02F9B-9972-4CCB-8104-CFF168E14A03}" type="sibTrans" cxnId="{C3AFA651-0A8A-4BAF-95D8-28E560C49C83}">
      <dgm:prSet/>
      <dgm:spPr/>
      <dgm:t>
        <a:bodyPr/>
        <a:lstStyle/>
        <a:p>
          <a:endParaRPr lang="en-US" sz="800">
            <a:latin typeface="Arial" panose="020B0604020202020204" pitchFamily="34" charset="0"/>
            <a:cs typeface="Arial" panose="020B0604020202020204" pitchFamily="34" charset="0"/>
          </a:endParaRPr>
        </a:p>
      </dgm:t>
    </dgm:pt>
    <dgm:pt modelId="{6EA0F0C3-8DCC-41A4-AADF-C381300C18E6}" type="pres">
      <dgm:prSet presAssocID="{B59BBCC4-D7D8-4D52-A1E3-2D20356BCA19}" presName="theList" presStyleCnt="0">
        <dgm:presLayoutVars>
          <dgm:dir/>
          <dgm:animLvl val="lvl"/>
          <dgm:resizeHandles val="exact"/>
        </dgm:presLayoutVars>
      </dgm:prSet>
      <dgm:spPr/>
    </dgm:pt>
    <dgm:pt modelId="{88C7FCAF-DA9C-40A2-99F0-04EE51D85C28}" type="pres">
      <dgm:prSet presAssocID="{F083CE82-C202-4B67-A389-27FB421A7AB6}" presName="compNode" presStyleCnt="0"/>
      <dgm:spPr/>
    </dgm:pt>
    <dgm:pt modelId="{5D601BFB-1439-4ACB-9721-E3175EB8C8F9}" type="pres">
      <dgm:prSet presAssocID="{F083CE82-C202-4B67-A389-27FB421A7AB6}" presName="aNode" presStyleLbl="bgShp" presStyleIdx="0" presStyleCnt="1" custLinFactNeighborX="-503"/>
      <dgm:spPr>
        <a:prstGeom prst="roundRect">
          <a:avLst>
            <a:gd name="adj" fmla="val 10000"/>
          </a:avLst>
        </a:prstGeom>
      </dgm:spPr>
    </dgm:pt>
    <dgm:pt modelId="{5673FE3B-6754-4143-81FF-0812E842C973}" type="pres">
      <dgm:prSet presAssocID="{F083CE82-C202-4B67-A389-27FB421A7AB6}" presName="textNode" presStyleLbl="bgShp" presStyleIdx="0" presStyleCnt="1"/>
      <dgm:spPr/>
    </dgm:pt>
    <dgm:pt modelId="{C0BA43F4-78BE-418D-9A8F-EC393F148CA0}" type="pres">
      <dgm:prSet presAssocID="{F083CE82-C202-4B67-A389-27FB421A7AB6}" presName="compChildNode" presStyleCnt="0"/>
      <dgm:spPr/>
    </dgm:pt>
    <dgm:pt modelId="{ADB142F0-1627-47A5-8DAB-60EA8D6F379B}" type="pres">
      <dgm:prSet presAssocID="{F083CE82-C202-4B67-A389-27FB421A7AB6}" presName="theInnerList" presStyleCnt="0"/>
      <dgm:spPr/>
    </dgm:pt>
    <dgm:pt modelId="{8975F4FA-7F13-4764-A0C4-2289C136CE6F}" type="pres">
      <dgm:prSet presAssocID="{EFC43878-A934-4C25-BAD5-3F2BC26CC657}" presName="childNode" presStyleLbl="node1" presStyleIdx="0" presStyleCnt="2">
        <dgm:presLayoutVars>
          <dgm:bulletEnabled val="1"/>
        </dgm:presLayoutVars>
      </dgm:prSet>
      <dgm:spPr>
        <a:prstGeom prst="roundRect">
          <a:avLst>
            <a:gd name="adj" fmla="val 10000"/>
          </a:avLst>
        </a:prstGeom>
      </dgm:spPr>
    </dgm:pt>
    <dgm:pt modelId="{3A88DF98-41BC-4EB2-9293-28B7EB23F4A6}" type="pres">
      <dgm:prSet presAssocID="{EFC43878-A934-4C25-BAD5-3F2BC26CC657}" presName="aSpace2" presStyleCnt="0"/>
      <dgm:spPr/>
    </dgm:pt>
    <dgm:pt modelId="{296EDE29-4FF1-4209-B2AD-C0CEF61F2EB9}" type="pres">
      <dgm:prSet presAssocID="{D00F28E7-4094-4280-B7A2-7C975971E336}" presName="childNode" presStyleLbl="node1" presStyleIdx="1" presStyleCnt="2">
        <dgm:presLayoutVars>
          <dgm:bulletEnabled val="1"/>
        </dgm:presLayoutVars>
      </dgm:prSet>
      <dgm:spPr>
        <a:prstGeom prst="roundRect">
          <a:avLst>
            <a:gd name="adj" fmla="val 10000"/>
          </a:avLst>
        </a:prstGeom>
      </dgm:spPr>
    </dgm:pt>
  </dgm:ptLst>
  <dgm:cxnLst>
    <dgm:cxn modelId="{1E059704-7A33-4099-A453-E7E68A646D4E}" type="presOf" srcId="{D00F28E7-4094-4280-B7A2-7C975971E336}" destId="{296EDE29-4FF1-4209-B2AD-C0CEF61F2EB9}" srcOrd="0" destOrd="0" presId="urn:microsoft.com/office/officeart/2005/8/layout/lProcess2"/>
    <dgm:cxn modelId="{92EC6E1B-1884-4AFA-B687-9440742A6264}" srcId="{B59BBCC4-D7D8-4D52-A1E3-2D20356BCA19}" destId="{F083CE82-C202-4B67-A389-27FB421A7AB6}" srcOrd="0" destOrd="0" parTransId="{369BFF03-7146-4DE6-A78C-75C97AE6FAA7}" sibTransId="{AACCD43C-0817-49B8-A89B-D4A15AA4CDCA}"/>
    <dgm:cxn modelId="{FB1DBF2B-AAE2-4D08-A273-4316A9DA08B8}" type="presOf" srcId="{F083CE82-C202-4B67-A389-27FB421A7AB6}" destId="{5673FE3B-6754-4143-81FF-0812E842C973}" srcOrd="1" destOrd="0" presId="urn:microsoft.com/office/officeart/2005/8/layout/lProcess2"/>
    <dgm:cxn modelId="{F055AA33-97B0-4E06-869D-913258D53B25}" srcId="{F083CE82-C202-4B67-A389-27FB421A7AB6}" destId="{EFC43878-A934-4C25-BAD5-3F2BC26CC657}" srcOrd="0" destOrd="0" parTransId="{4A7005AE-738B-407C-BD0A-6B1BC19F44D7}" sibTransId="{D527FDC2-15B2-4D6D-9971-3DFB5CA3F52F}"/>
    <dgm:cxn modelId="{C3AFA651-0A8A-4BAF-95D8-28E560C49C83}" srcId="{F083CE82-C202-4B67-A389-27FB421A7AB6}" destId="{D00F28E7-4094-4280-B7A2-7C975971E336}" srcOrd="1" destOrd="0" parTransId="{7F0590D8-C840-433B-96E0-FF932DE15AEF}" sibTransId="{48A02F9B-9972-4CCB-8104-CFF168E14A03}"/>
    <dgm:cxn modelId="{CE46EA5A-0551-4020-927D-061751EDBD27}" type="presOf" srcId="{B59BBCC4-D7D8-4D52-A1E3-2D20356BCA19}" destId="{6EA0F0C3-8DCC-41A4-AADF-C381300C18E6}" srcOrd="0" destOrd="0" presId="urn:microsoft.com/office/officeart/2005/8/layout/lProcess2"/>
    <dgm:cxn modelId="{FE287F98-A4EB-4CA9-A3C6-792EE57D1F23}" type="presOf" srcId="{F083CE82-C202-4B67-A389-27FB421A7AB6}" destId="{5D601BFB-1439-4ACB-9721-E3175EB8C8F9}" srcOrd="0" destOrd="0" presId="urn:microsoft.com/office/officeart/2005/8/layout/lProcess2"/>
    <dgm:cxn modelId="{E950559B-E558-48AC-84CD-B8868541706A}" type="presOf" srcId="{EFC43878-A934-4C25-BAD5-3F2BC26CC657}" destId="{8975F4FA-7F13-4764-A0C4-2289C136CE6F}" srcOrd="0" destOrd="0" presId="urn:microsoft.com/office/officeart/2005/8/layout/lProcess2"/>
    <dgm:cxn modelId="{BB719DCD-F878-4820-8816-32AEFC394829}" type="presParOf" srcId="{6EA0F0C3-8DCC-41A4-AADF-C381300C18E6}" destId="{88C7FCAF-DA9C-40A2-99F0-04EE51D85C28}" srcOrd="0" destOrd="0" presId="urn:microsoft.com/office/officeart/2005/8/layout/lProcess2"/>
    <dgm:cxn modelId="{C488C8F8-2F9F-4EB6-AF97-E4408FE64960}" type="presParOf" srcId="{88C7FCAF-DA9C-40A2-99F0-04EE51D85C28}" destId="{5D601BFB-1439-4ACB-9721-E3175EB8C8F9}" srcOrd="0" destOrd="0" presId="urn:microsoft.com/office/officeart/2005/8/layout/lProcess2"/>
    <dgm:cxn modelId="{223AE7F3-37B7-4D66-8231-CACDDFC3BD39}" type="presParOf" srcId="{88C7FCAF-DA9C-40A2-99F0-04EE51D85C28}" destId="{5673FE3B-6754-4143-81FF-0812E842C973}" srcOrd="1" destOrd="0" presId="urn:microsoft.com/office/officeart/2005/8/layout/lProcess2"/>
    <dgm:cxn modelId="{657DA957-2E6A-4106-8FCE-04E5E8CCBD68}" type="presParOf" srcId="{88C7FCAF-DA9C-40A2-99F0-04EE51D85C28}" destId="{C0BA43F4-78BE-418D-9A8F-EC393F148CA0}" srcOrd="2" destOrd="0" presId="urn:microsoft.com/office/officeart/2005/8/layout/lProcess2"/>
    <dgm:cxn modelId="{8ABC5DF1-46EC-4E1F-91E2-B8D9F62A7C9D}" type="presParOf" srcId="{C0BA43F4-78BE-418D-9A8F-EC393F148CA0}" destId="{ADB142F0-1627-47A5-8DAB-60EA8D6F379B}" srcOrd="0" destOrd="0" presId="urn:microsoft.com/office/officeart/2005/8/layout/lProcess2"/>
    <dgm:cxn modelId="{ED91D62E-8E68-4DAD-A443-4CB628D45510}" type="presParOf" srcId="{ADB142F0-1627-47A5-8DAB-60EA8D6F379B}" destId="{8975F4FA-7F13-4764-A0C4-2289C136CE6F}" srcOrd="0" destOrd="0" presId="urn:microsoft.com/office/officeart/2005/8/layout/lProcess2"/>
    <dgm:cxn modelId="{AA4D17F0-E49C-41E3-A497-A38D46B45359}" type="presParOf" srcId="{ADB142F0-1627-47A5-8DAB-60EA8D6F379B}" destId="{3A88DF98-41BC-4EB2-9293-28B7EB23F4A6}" srcOrd="1" destOrd="0" presId="urn:microsoft.com/office/officeart/2005/8/layout/lProcess2"/>
    <dgm:cxn modelId="{9144B3B2-925D-4A98-8A81-D1775724684D}" type="presParOf" srcId="{ADB142F0-1627-47A5-8DAB-60EA8D6F379B}" destId="{296EDE29-4FF1-4209-B2AD-C0CEF61F2EB9}" srcOrd="2" destOrd="0" presId="urn:microsoft.com/office/officeart/2005/8/layout/l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9BBCC4-D7D8-4D52-A1E3-2D20356BCA19}"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n-US"/>
        </a:p>
      </dgm:t>
    </dgm:pt>
    <dgm:pt modelId="{F083CE82-C202-4B67-A389-27FB421A7AB6}">
      <dgm:prSet phldrT="[Text]" custT="1"/>
      <dgm:spPr/>
      <dgm:t>
        <a:bodyPr/>
        <a:lstStyle/>
        <a:p>
          <a:r>
            <a:rPr lang="en-US" sz="800">
              <a:latin typeface="Arial" panose="020B0604020202020204" pitchFamily="34" charset="0"/>
              <a:cs typeface="Arial" panose="020B0604020202020204" pitchFamily="34" charset="0"/>
            </a:rPr>
            <a:t>2</a:t>
          </a:r>
        </a:p>
        <a:p>
          <a:r>
            <a:rPr lang="en-US" sz="800">
              <a:latin typeface="Arial" panose="020B0604020202020204" pitchFamily="34" charset="0"/>
              <a:cs typeface="Arial" panose="020B0604020202020204" pitchFamily="34" charset="0"/>
            </a:rPr>
            <a:t>Access to the</a:t>
          </a:r>
        </a:p>
        <a:p>
          <a:r>
            <a:rPr lang="en-US" sz="800">
              <a:latin typeface="Arial" panose="020B0604020202020204" pitchFamily="34" charset="0"/>
              <a:cs typeface="Arial" panose="020B0604020202020204" pitchFamily="34" charset="0"/>
            </a:rPr>
            <a:t>capacity</a:t>
          </a:r>
        </a:p>
      </dgm:t>
    </dgm:pt>
    <dgm:pt modelId="{369BFF03-7146-4DE6-A78C-75C97AE6FAA7}" type="parTrans" cxnId="{92EC6E1B-1884-4AFA-B687-9440742A6264}">
      <dgm:prSet/>
      <dgm:spPr/>
      <dgm:t>
        <a:bodyPr/>
        <a:lstStyle/>
        <a:p>
          <a:endParaRPr lang="en-US" sz="800">
            <a:latin typeface="Arial" panose="020B0604020202020204" pitchFamily="34" charset="0"/>
            <a:cs typeface="Arial" panose="020B0604020202020204" pitchFamily="34" charset="0"/>
          </a:endParaRPr>
        </a:p>
      </dgm:t>
    </dgm:pt>
    <dgm:pt modelId="{AACCD43C-0817-49B8-A89B-D4A15AA4CDCA}" type="sibTrans" cxnId="{92EC6E1B-1884-4AFA-B687-9440742A6264}">
      <dgm:prSet/>
      <dgm:spPr/>
      <dgm:t>
        <a:bodyPr/>
        <a:lstStyle/>
        <a:p>
          <a:endParaRPr lang="en-US" sz="800">
            <a:latin typeface="Arial" panose="020B0604020202020204" pitchFamily="34" charset="0"/>
            <a:cs typeface="Arial" panose="020B0604020202020204" pitchFamily="34" charset="0"/>
          </a:endParaRPr>
        </a:p>
      </dgm:t>
    </dgm:pt>
    <dgm:pt modelId="{EFC43878-A934-4C25-BAD5-3F2BC26CC657}">
      <dgm:prSet phldrT="[Text]" custT="1"/>
      <dgm:spPr/>
      <dgm:t>
        <a:bodyPr/>
        <a:lstStyle/>
        <a:p>
          <a:r>
            <a:rPr lang="en-US" sz="800">
              <a:latin typeface="Arial" panose="020B0604020202020204" pitchFamily="34" charset="0"/>
              <a:cs typeface="Arial" panose="020B0604020202020204" pitchFamily="34" charset="0"/>
            </a:rPr>
            <a:t>2.1 Registration procedure for bilateral contracts</a:t>
          </a:r>
        </a:p>
      </dgm:t>
    </dgm:pt>
    <dgm:pt modelId="{4A7005AE-738B-407C-BD0A-6B1BC19F44D7}" type="parTrans" cxnId="{F055AA33-97B0-4E06-869D-913258D53B25}">
      <dgm:prSet/>
      <dgm:spPr/>
      <dgm:t>
        <a:bodyPr/>
        <a:lstStyle/>
        <a:p>
          <a:endParaRPr lang="en-US" sz="800">
            <a:latin typeface="Arial" panose="020B0604020202020204" pitchFamily="34" charset="0"/>
            <a:cs typeface="Arial" panose="020B0604020202020204" pitchFamily="34" charset="0"/>
          </a:endParaRPr>
        </a:p>
      </dgm:t>
    </dgm:pt>
    <dgm:pt modelId="{D527FDC2-15B2-4D6D-9971-3DFB5CA3F52F}" type="sibTrans" cxnId="{F055AA33-97B0-4E06-869D-913258D53B25}">
      <dgm:prSet/>
      <dgm:spPr/>
      <dgm:t>
        <a:bodyPr/>
        <a:lstStyle/>
        <a:p>
          <a:endParaRPr lang="en-US" sz="800">
            <a:latin typeface="Arial" panose="020B0604020202020204" pitchFamily="34" charset="0"/>
            <a:cs typeface="Arial" panose="020B0604020202020204" pitchFamily="34" charset="0"/>
          </a:endParaRPr>
        </a:p>
      </dgm:t>
    </dgm:pt>
    <dgm:pt modelId="{D00F28E7-4094-4280-B7A2-7C975971E336}">
      <dgm:prSet phldrT="[Text]" custT="1"/>
      <dgm:spPr/>
      <dgm:t>
        <a:bodyPr/>
        <a:lstStyle/>
        <a:p>
          <a:r>
            <a:rPr lang="en-US" sz="800">
              <a:latin typeface="Arial" panose="020B0604020202020204" pitchFamily="34" charset="0"/>
              <a:cs typeface="Arial" panose="020B0604020202020204" pitchFamily="34" charset="0"/>
            </a:rPr>
            <a:t>2.2 Capacity allocation rules</a:t>
          </a:r>
        </a:p>
      </dgm:t>
    </dgm:pt>
    <dgm:pt modelId="{7F0590D8-C840-433B-96E0-FF932DE15AEF}" type="parTrans" cxnId="{C3AFA651-0A8A-4BAF-95D8-28E560C49C83}">
      <dgm:prSet/>
      <dgm:spPr/>
      <dgm:t>
        <a:bodyPr/>
        <a:lstStyle/>
        <a:p>
          <a:endParaRPr lang="en-US" sz="800">
            <a:latin typeface="Arial" panose="020B0604020202020204" pitchFamily="34" charset="0"/>
            <a:cs typeface="Arial" panose="020B0604020202020204" pitchFamily="34" charset="0"/>
          </a:endParaRPr>
        </a:p>
      </dgm:t>
    </dgm:pt>
    <dgm:pt modelId="{48A02F9B-9972-4CCB-8104-CFF168E14A03}" type="sibTrans" cxnId="{C3AFA651-0A8A-4BAF-95D8-28E560C49C83}">
      <dgm:prSet/>
      <dgm:spPr/>
      <dgm:t>
        <a:bodyPr/>
        <a:lstStyle/>
        <a:p>
          <a:endParaRPr lang="en-US" sz="800">
            <a:latin typeface="Arial" panose="020B0604020202020204" pitchFamily="34" charset="0"/>
            <a:cs typeface="Arial" panose="020B0604020202020204" pitchFamily="34" charset="0"/>
          </a:endParaRPr>
        </a:p>
      </dgm:t>
    </dgm:pt>
    <dgm:pt modelId="{95098E04-7365-4120-BFA5-DD20142F0378}">
      <dgm:prSet phldrT="[Text]" custT="1"/>
      <dgm:spPr/>
      <dgm:t>
        <a:bodyPr/>
        <a:lstStyle/>
        <a:p>
          <a:r>
            <a:rPr lang="en-US" sz="800">
              <a:latin typeface="Arial" panose="020B0604020202020204" pitchFamily="34" charset="0"/>
              <a:cs typeface="Arial" panose="020B0604020202020204" pitchFamily="34" charset="0"/>
            </a:rPr>
            <a:t>3</a:t>
          </a:r>
        </a:p>
        <a:p>
          <a:r>
            <a:rPr lang="en-US" sz="800">
              <a:latin typeface="Arial" panose="020B0604020202020204" pitchFamily="34" charset="0"/>
              <a:cs typeface="Arial" panose="020B0604020202020204" pitchFamily="34" charset="0"/>
            </a:rPr>
            <a:t>Exchange</a:t>
          </a:r>
        </a:p>
        <a:p>
          <a:r>
            <a:rPr lang="en-US" sz="800">
              <a:latin typeface="Arial" panose="020B0604020202020204" pitchFamily="34" charset="0"/>
              <a:cs typeface="Arial" panose="020B0604020202020204" pitchFamily="34" charset="0"/>
            </a:rPr>
            <a:t>energy</a:t>
          </a:r>
        </a:p>
      </dgm:t>
    </dgm:pt>
    <dgm:pt modelId="{848CBA62-3B05-4E86-857C-A717CD379F6D}" type="parTrans" cxnId="{C1D12110-8995-4D6E-86D5-2A9250DE8263}">
      <dgm:prSet/>
      <dgm:spPr/>
      <dgm:t>
        <a:bodyPr/>
        <a:lstStyle/>
        <a:p>
          <a:endParaRPr lang="en-US" sz="800">
            <a:latin typeface="Arial" panose="020B0604020202020204" pitchFamily="34" charset="0"/>
            <a:cs typeface="Arial" panose="020B0604020202020204" pitchFamily="34" charset="0"/>
          </a:endParaRPr>
        </a:p>
      </dgm:t>
    </dgm:pt>
    <dgm:pt modelId="{FD0FC920-8CCC-467B-B441-C32A2EE75886}" type="sibTrans" cxnId="{C1D12110-8995-4D6E-86D5-2A9250DE8263}">
      <dgm:prSet/>
      <dgm:spPr/>
      <dgm:t>
        <a:bodyPr/>
        <a:lstStyle/>
        <a:p>
          <a:endParaRPr lang="en-US" sz="800">
            <a:latin typeface="Arial" panose="020B0604020202020204" pitchFamily="34" charset="0"/>
            <a:cs typeface="Arial" panose="020B0604020202020204" pitchFamily="34" charset="0"/>
          </a:endParaRPr>
        </a:p>
      </dgm:t>
    </dgm:pt>
    <dgm:pt modelId="{174630A8-8373-4623-859E-08685FE21A6B}">
      <dgm:prSet phldrT="[Text]" custT="1"/>
      <dgm:spPr/>
      <dgm:t>
        <a:bodyPr/>
        <a:lstStyle/>
        <a:p>
          <a:r>
            <a:rPr lang="en-US" sz="800">
              <a:latin typeface="Arial" panose="020B0604020202020204" pitchFamily="34" charset="0"/>
              <a:cs typeface="Arial" panose="020B0604020202020204" pitchFamily="34" charset="0"/>
            </a:rPr>
            <a:t>3.1 Authorisation of programme</a:t>
          </a:r>
        </a:p>
      </dgm:t>
    </dgm:pt>
    <dgm:pt modelId="{F0018046-6E1D-4D4A-9EA3-810A44AD898B}" type="parTrans" cxnId="{3E57D5DA-EACE-42FE-AA4A-55233E91339A}">
      <dgm:prSet/>
      <dgm:spPr/>
      <dgm:t>
        <a:bodyPr/>
        <a:lstStyle/>
        <a:p>
          <a:endParaRPr lang="en-US" sz="800">
            <a:latin typeface="Arial" panose="020B0604020202020204" pitchFamily="34" charset="0"/>
            <a:cs typeface="Arial" panose="020B0604020202020204" pitchFamily="34" charset="0"/>
          </a:endParaRPr>
        </a:p>
      </dgm:t>
    </dgm:pt>
    <dgm:pt modelId="{8978473E-FCD8-457D-8A9F-AF835742C0AC}" type="sibTrans" cxnId="{3E57D5DA-EACE-42FE-AA4A-55233E91339A}">
      <dgm:prSet/>
      <dgm:spPr/>
      <dgm:t>
        <a:bodyPr/>
        <a:lstStyle/>
        <a:p>
          <a:endParaRPr lang="en-US" sz="800">
            <a:latin typeface="Arial" panose="020B0604020202020204" pitchFamily="34" charset="0"/>
            <a:cs typeface="Arial" panose="020B0604020202020204" pitchFamily="34" charset="0"/>
          </a:endParaRPr>
        </a:p>
      </dgm:t>
    </dgm:pt>
    <dgm:pt modelId="{5E3B5A3B-BF00-4B18-AE7E-A7F67A62B8C1}">
      <dgm:prSet phldrT="[Text]" custT="1"/>
      <dgm:spPr/>
      <dgm:t>
        <a:bodyPr/>
        <a:lstStyle/>
        <a:p>
          <a:r>
            <a:rPr lang="en-US" sz="800">
              <a:latin typeface="Arial" panose="020B0604020202020204" pitchFamily="34" charset="0"/>
              <a:cs typeface="Arial" panose="020B0604020202020204" pitchFamily="34" charset="0"/>
            </a:rPr>
            <a:t>3.2 Exchange programming </a:t>
          </a:r>
        </a:p>
      </dgm:t>
    </dgm:pt>
    <dgm:pt modelId="{2ACBA6C6-2EE1-425E-83B4-491C88AF69A8}" type="parTrans" cxnId="{35BA03C7-9748-4D37-89F1-74C7B0165A14}">
      <dgm:prSet/>
      <dgm:spPr/>
      <dgm:t>
        <a:bodyPr/>
        <a:lstStyle/>
        <a:p>
          <a:endParaRPr lang="en-US" sz="800">
            <a:latin typeface="Arial" panose="020B0604020202020204" pitchFamily="34" charset="0"/>
            <a:cs typeface="Arial" panose="020B0604020202020204" pitchFamily="34" charset="0"/>
          </a:endParaRPr>
        </a:p>
      </dgm:t>
    </dgm:pt>
    <dgm:pt modelId="{A163CAA5-2107-4C62-8AA3-33F659FA9A2B}" type="sibTrans" cxnId="{35BA03C7-9748-4D37-89F1-74C7B0165A14}">
      <dgm:prSet/>
      <dgm:spPr/>
      <dgm:t>
        <a:bodyPr/>
        <a:lstStyle/>
        <a:p>
          <a:endParaRPr lang="en-US" sz="800">
            <a:latin typeface="Arial" panose="020B0604020202020204" pitchFamily="34" charset="0"/>
            <a:cs typeface="Arial" panose="020B0604020202020204" pitchFamily="34" charset="0"/>
          </a:endParaRPr>
        </a:p>
      </dgm:t>
    </dgm:pt>
    <dgm:pt modelId="{282586EB-140E-4FA8-9B83-B755BDF0E451}">
      <dgm:prSet phldrT="[Text]" custT="1"/>
      <dgm:spPr/>
      <dgm:t>
        <a:bodyPr/>
        <a:lstStyle/>
        <a:p>
          <a:r>
            <a:rPr lang="en-US" sz="800">
              <a:latin typeface="Arial" panose="020B0604020202020204" pitchFamily="34" charset="0"/>
              <a:cs typeface="Arial" panose="020B0604020202020204" pitchFamily="34" charset="0"/>
            </a:rPr>
            <a:t>4</a:t>
          </a:r>
        </a:p>
        <a:p>
          <a:r>
            <a:rPr lang="en-US" sz="800">
              <a:latin typeface="Arial" panose="020B0604020202020204" pitchFamily="34" charset="0"/>
              <a:cs typeface="Arial" panose="020B0604020202020204" pitchFamily="34" charset="0"/>
            </a:rPr>
            <a:t>Settlement</a:t>
          </a:r>
        </a:p>
        <a:p>
          <a:r>
            <a:rPr lang="en-US" sz="800">
              <a:latin typeface="Arial" panose="020B0604020202020204" pitchFamily="34" charset="0"/>
              <a:cs typeface="Arial" panose="020B0604020202020204" pitchFamily="34" charset="0"/>
            </a:rPr>
            <a:t>and billing</a:t>
          </a:r>
        </a:p>
      </dgm:t>
    </dgm:pt>
    <dgm:pt modelId="{F1BD34A4-DBC2-48FF-85C4-7DBC726CE7BB}" type="parTrans" cxnId="{15B917EE-1D4C-4A20-90CB-C92AB56294C6}">
      <dgm:prSet/>
      <dgm:spPr/>
      <dgm:t>
        <a:bodyPr/>
        <a:lstStyle/>
        <a:p>
          <a:endParaRPr lang="en-US" sz="800">
            <a:latin typeface="Arial" panose="020B0604020202020204" pitchFamily="34" charset="0"/>
            <a:cs typeface="Arial" panose="020B0604020202020204" pitchFamily="34" charset="0"/>
          </a:endParaRPr>
        </a:p>
      </dgm:t>
    </dgm:pt>
    <dgm:pt modelId="{992AD4B6-D360-4643-9F19-8965A76152FE}" type="sibTrans" cxnId="{15B917EE-1D4C-4A20-90CB-C92AB56294C6}">
      <dgm:prSet/>
      <dgm:spPr/>
      <dgm:t>
        <a:bodyPr/>
        <a:lstStyle/>
        <a:p>
          <a:endParaRPr lang="en-US" sz="800">
            <a:latin typeface="Arial" panose="020B0604020202020204" pitchFamily="34" charset="0"/>
            <a:cs typeface="Arial" panose="020B0604020202020204" pitchFamily="34" charset="0"/>
          </a:endParaRPr>
        </a:p>
      </dgm:t>
    </dgm:pt>
    <dgm:pt modelId="{DE36D618-5C5D-458F-AB6C-1C16AB483F02}">
      <dgm:prSet phldrT="[Text]" custT="1"/>
      <dgm:spPr/>
      <dgm:t>
        <a:bodyPr/>
        <a:lstStyle/>
        <a:p>
          <a:r>
            <a:rPr lang="en-US" sz="800">
              <a:latin typeface="Arial" panose="020B0604020202020204" pitchFamily="34" charset="0"/>
              <a:cs typeface="Arial" panose="020B0604020202020204" pitchFamily="34" charset="0"/>
            </a:rPr>
            <a:t>4.1 Settlement</a:t>
          </a:r>
        </a:p>
      </dgm:t>
    </dgm:pt>
    <dgm:pt modelId="{29D1D0FA-A386-4595-B147-3A71E50EAF6B}" type="parTrans" cxnId="{EE505852-206F-4207-BA7C-77047FE5B5AD}">
      <dgm:prSet/>
      <dgm:spPr/>
      <dgm:t>
        <a:bodyPr/>
        <a:lstStyle/>
        <a:p>
          <a:endParaRPr lang="en-US" sz="800">
            <a:latin typeface="Arial" panose="020B0604020202020204" pitchFamily="34" charset="0"/>
            <a:cs typeface="Arial" panose="020B0604020202020204" pitchFamily="34" charset="0"/>
          </a:endParaRPr>
        </a:p>
      </dgm:t>
    </dgm:pt>
    <dgm:pt modelId="{2631B88D-4D9E-46CC-B88D-55CAC35084FB}" type="sibTrans" cxnId="{EE505852-206F-4207-BA7C-77047FE5B5AD}">
      <dgm:prSet/>
      <dgm:spPr/>
      <dgm:t>
        <a:bodyPr/>
        <a:lstStyle/>
        <a:p>
          <a:endParaRPr lang="en-US" sz="800">
            <a:latin typeface="Arial" panose="020B0604020202020204" pitchFamily="34" charset="0"/>
            <a:cs typeface="Arial" panose="020B0604020202020204" pitchFamily="34" charset="0"/>
          </a:endParaRPr>
        </a:p>
      </dgm:t>
    </dgm:pt>
    <dgm:pt modelId="{06545AE9-FD36-4532-9FC3-AB733D06C5FF}">
      <dgm:prSet phldrT="[Text]" custT="1"/>
      <dgm:spPr/>
      <dgm:t>
        <a:bodyPr/>
        <a:lstStyle/>
        <a:p>
          <a:r>
            <a:rPr lang="en-US" sz="800">
              <a:latin typeface="Arial" panose="020B0604020202020204" pitchFamily="34" charset="0"/>
              <a:cs typeface="Arial" panose="020B0604020202020204" pitchFamily="34" charset="0"/>
            </a:rPr>
            <a:t>4.2 Billing</a:t>
          </a:r>
        </a:p>
      </dgm:t>
    </dgm:pt>
    <dgm:pt modelId="{476456EA-558C-43AF-9E30-3C4CA67A3DB0}" type="parTrans" cxnId="{ACC1953A-02D8-4C55-8D30-AB03B91B61BC}">
      <dgm:prSet/>
      <dgm:spPr/>
      <dgm:t>
        <a:bodyPr/>
        <a:lstStyle/>
        <a:p>
          <a:endParaRPr lang="en-US" sz="800">
            <a:latin typeface="Arial" panose="020B0604020202020204" pitchFamily="34" charset="0"/>
            <a:cs typeface="Arial" panose="020B0604020202020204" pitchFamily="34" charset="0"/>
          </a:endParaRPr>
        </a:p>
      </dgm:t>
    </dgm:pt>
    <dgm:pt modelId="{0C4FA86C-AAB6-467C-A479-526BD522B247}" type="sibTrans" cxnId="{ACC1953A-02D8-4C55-8D30-AB03B91B61BC}">
      <dgm:prSet/>
      <dgm:spPr/>
      <dgm:t>
        <a:bodyPr/>
        <a:lstStyle/>
        <a:p>
          <a:endParaRPr lang="en-US" sz="800">
            <a:latin typeface="Arial" panose="020B0604020202020204" pitchFamily="34" charset="0"/>
            <a:cs typeface="Arial" panose="020B0604020202020204" pitchFamily="34" charset="0"/>
          </a:endParaRPr>
        </a:p>
      </dgm:t>
    </dgm:pt>
    <dgm:pt modelId="{6EA0F0C3-8DCC-41A4-AADF-C381300C18E6}" type="pres">
      <dgm:prSet presAssocID="{B59BBCC4-D7D8-4D52-A1E3-2D20356BCA19}" presName="theList" presStyleCnt="0">
        <dgm:presLayoutVars>
          <dgm:dir/>
          <dgm:animLvl val="lvl"/>
          <dgm:resizeHandles val="exact"/>
        </dgm:presLayoutVars>
      </dgm:prSet>
      <dgm:spPr/>
    </dgm:pt>
    <dgm:pt modelId="{88C7FCAF-DA9C-40A2-99F0-04EE51D85C28}" type="pres">
      <dgm:prSet presAssocID="{F083CE82-C202-4B67-A389-27FB421A7AB6}" presName="compNode" presStyleCnt="0"/>
      <dgm:spPr/>
    </dgm:pt>
    <dgm:pt modelId="{5D601BFB-1439-4ACB-9721-E3175EB8C8F9}" type="pres">
      <dgm:prSet presAssocID="{F083CE82-C202-4B67-A389-27FB421A7AB6}" presName="aNode" presStyleLbl="bgShp" presStyleIdx="0" presStyleCnt="3"/>
      <dgm:spPr/>
    </dgm:pt>
    <dgm:pt modelId="{5673FE3B-6754-4143-81FF-0812E842C973}" type="pres">
      <dgm:prSet presAssocID="{F083CE82-C202-4B67-A389-27FB421A7AB6}" presName="textNode" presStyleLbl="bgShp" presStyleIdx="0" presStyleCnt="3"/>
      <dgm:spPr/>
    </dgm:pt>
    <dgm:pt modelId="{C0BA43F4-78BE-418D-9A8F-EC393F148CA0}" type="pres">
      <dgm:prSet presAssocID="{F083CE82-C202-4B67-A389-27FB421A7AB6}" presName="compChildNode" presStyleCnt="0"/>
      <dgm:spPr/>
    </dgm:pt>
    <dgm:pt modelId="{ADB142F0-1627-47A5-8DAB-60EA8D6F379B}" type="pres">
      <dgm:prSet presAssocID="{F083CE82-C202-4B67-A389-27FB421A7AB6}" presName="theInnerList" presStyleCnt="0"/>
      <dgm:spPr/>
    </dgm:pt>
    <dgm:pt modelId="{8975F4FA-7F13-4764-A0C4-2289C136CE6F}" type="pres">
      <dgm:prSet presAssocID="{EFC43878-A934-4C25-BAD5-3F2BC26CC657}" presName="childNode" presStyleLbl="node1" presStyleIdx="0" presStyleCnt="6">
        <dgm:presLayoutVars>
          <dgm:bulletEnabled val="1"/>
        </dgm:presLayoutVars>
      </dgm:prSet>
      <dgm:spPr/>
    </dgm:pt>
    <dgm:pt modelId="{3A88DF98-41BC-4EB2-9293-28B7EB23F4A6}" type="pres">
      <dgm:prSet presAssocID="{EFC43878-A934-4C25-BAD5-3F2BC26CC657}" presName="aSpace2" presStyleCnt="0"/>
      <dgm:spPr/>
    </dgm:pt>
    <dgm:pt modelId="{296EDE29-4FF1-4209-B2AD-C0CEF61F2EB9}" type="pres">
      <dgm:prSet presAssocID="{D00F28E7-4094-4280-B7A2-7C975971E336}" presName="childNode" presStyleLbl="node1" presStyleIdx="1" presStyleCnt="6">
        <dgm:presLayoutVars>
          <dgm:bulletEnabled val="1"/>
        </dgm:presLayoutVars>
      </dgm:prSet>
      <dgm:spPr/>
    </dgm:pt>
    <dgm:pt modelId="{0026BB2B-FFF1-462F-8CAA-A734C9AD18F3}" type="pres">
      <dgm:prSet presAssocID="{F083CE82-C202-4B67-A389-27FB421A7AB6}" presName="aSpace" presStyleCnt="0"/>
      <dgm:spPr/>
    </dgm:pt>
    <dgm:pt modelId="{742E5A2A-406A-4B2E-95BC-D48ABE5104C9}" type="pres">
      <dgm:prSet presAssocID="{95098E04-7365-4120-BFA5-DD20142F0378}" presName="compNode" presStyleCnt="0"/>
      <dgm:spPr/>
    </dgm:pt>
    <dgm:pt modelId="{A7DA3DDA-3A78-44D8-AD97-B73A93183648}" type="pres">
      <dgm:prSet presAssocID="{95098E04-7365-4120-BFA5-DD20142F0378}" presName="aNode" presStyleLbl="bgShp" presStyleIdx="1" presStyleCnt="3"/>
      <dgm:spPr/>
    </dgm:pt>
    <dgm:pt modelId="{63634412-C8C0-4FB7-83C9-109058A57E0E}" type="pres">
      <dgm:prSet presAssocID="{95098E04-7365-4120-BFA5-DD20142F0378}" presName="textNode" presStyleLbl="bgShp" presStyleIdx="1" presStyleCnt="3"/>
      <dgm:spPr/>
    </dgm:pt>
    <dgm:pt modelId="{1859CB89-E522-427A-A60C-9E033208569E}" type="pres">
      <dgm:prSet presAssocID="{95098E04-7365-4120-BFA5-DD20142F0378}" presName="compChildNode" presStyleCnt="0"/>
      <dgm:spPr/>
    </dgm:pt>
    <dgm:pt modelId="{EEE9E939-B69E-42BF-8DC2-F622127596D3}" type="pres">
      <dgm:prSet presAssocID="{95098E04-7365-4120-BFA5-DD20142F0378}" presName="theInnerList" presStyleCnt="0"/>
      <dgm:spPr/>
    </dgm:pt>
    <dgm:pt modelId="{D3942AC7-B5A8-4E14-B39A-CC55C3110E00}" type="pres">
      <dgm:prSet presAssocID="{174630A8-8373-4623-859E-08685FE21A6B}" presName="childNode" presStyleLbl="node1" presStyleIdx="2" presStyleCnt="6">
        <dgm:presLayoutVars>
          <dgm:bulletEnabled val="1"/>
        </dgm:presLayoutVars>
      </dgm:prSet>
      <dgm:spPr/>
    </dgm:pt>
    <dgm:pt modelId="{706A1A7B-BB6C-410C-BAE2-BB48FE7D9476}" type="pres">
      <dgm:prSet presAssocID="{174630A8-8373-4623-859E-08685FE21A6B}" presName="aSpace2" presStyleCnt="0"/>
      <dgm:spPr/>
    </dgm:pt>
    <dgm:pt modelId="{1DEBDD56-EB77-4EDF-90D9-7CA29252BB28}" type="pres">
      <dgm:prSet presAssocID="{5E3B5A3B-BF00-4B18-AE7E-A7F67A62B8C1}" presName="childNode" presStyleLbl="node1" presStyleIdx="3" presStyleCnt="6">
        <dgm:presLayoutVars>
          <dgm:bulletEnabled val="1"/>
        </dgm:presLayoutVars>
      </dgm:prSet>
      <dgm:spPr/>
    </dgm:pt>
    <dgm:pt modelId="{1984D74F-0F1F-443F-A926-D7E4882D2BB9}" type="pres">
      <dgm:prSet presAssocID="{95098E04-7365-4120-BFA5-DD20142F0378}" presName="aSpace" presStyleCnt="0"/>
      <dgm:spPr/>
    </dgm:pt>
    <dgm:pt modelId="{4748DF5E-6D3D-44B8-89FA-993A9A1A009D}" type="pres">
      <dgm:prSet presAssocID="{282586EB-140E-4FA8-9B83-B755BDF0E451}" presName="compNode" presStyleCnt="0"/>
      <dgm:spPr/>
    </dgm:pt>
    <dgm:pt modelId="{B11E39F5-165D-4604-922E-A079B47884F3}" type="pres">
      <dgm:prSet presAssocID="{282586EB-140E-4FA8-9B83-B755BDF0E451}" presName="aNode" presStyleLbl="bgShp" presStyleIdx="2" presStyleCnt="3"/>
      <dgm:spPr/>
    </dgm:pt>
    <dgm:pt modelId="{70E80658-F5E1-4B39-AEF3-AD69BF61C623}" type="pres">
      <dgm:prSet presAssocID="{282586EB-140E-4FA8-9B83-B755BDF0E451}" presName="textNode" presStyleLbl="bgShp" presStyleIdx="2" presStyleCnt="3"/>
      <dgm:spPr/>
    </dgm:pt>
    <dgm:pt modelId="{478BF260-5665-4E0E-A978-478EBA6ABA74}" type="pres">
      <dgm:prSet presAssocID="{282586EB-140E-4FA8-9B83-B755BDF0E451}" presName="compChildNode" presStyleCnt="0"/>
      <dgm:spPr/>
    </dgm:pt>
    <dgm:pt modelId="{9F6E2A52-53C1-4F60-9938-F0A101F31BED}" type="pres">
      <dgm:prSet presAssocID="{282586EB-140E-4FA8-9B83-B755BDF0E451}" presName="theInnerList" presStyleCnt="0"/>
      <dgm:spPr/>
    </dgm:pt>
    <dgm:pt modelId="{0217BDEB-0804-4CE1-AFED-39D54A1D9B8F}" type="pres">
      <dgm:prSet presAssocID="{DE36D618-5C5D-458F-AB6C-1C16AB483F02}" presName="childNode" presStyleLbl="node1" presStyleIdx="4" presStyleCnt="6">
        <dgm:presLayoutVars>
          <dgm:bulletEnabled val="1"/>
        </dgm:presLayoutVars>
      </dgm:prSet>
      <dgm:spPr/>
    </dgm:pt>
    <dgm:pt modelId="{C901E2FB-3F4A-4CCB-8D2C-0E7CC75DE968}" type="pres">
      <dgm:prSet presAssocID="{DE36D618-5C5D-458F-AB6C-1C16AB483F02}" presName="aSpace2" presStyleCnt="0"/>
      <dgm:spPr/>
    </dgm:pt>
    <dgm:pt modelId="{C67492EF-C558-4201-9646-8837577A63B2}" type="pres">
      <dgm:prSet presAssocID="{06545AE9-FD36-4532-9FC3-AB733D06C5FF}" presName="childNode" presStyleLbl="node1" presStyleIdx="5" presStyleCnt="6">
        <dgm:presLayoutVars>
          <dgm:bulletEnabled val="1"/>
        </dgm:presLayoutVars>
      </dgm:prSet>
      <dgm:spPr/>
    </dgm:pt>
  </dgm:ptLst>
  <dgm:cxnLst>
    <dgm:cxn modelId="{02510701-1E1C-4109-82F3-406C9E1C3D3C}" type="presOf" srcId="{5E3B5A3B-BF00-4B18-AE7E-A7F67A62B8C1}" destId="{1DEBDD56-EB77-4EDF-90D9-7CA29252BB28}" srcOrd="0" destOrd="0" presId="urn:microsoft.com/office/officeart/2005/8/layout/lProcess2"/>
    <dgm:cxn modelId="{C1D12110-8995-4D6E-86D5-2A9250DE8263}" srcId="{B59BBCC4-D7D8-4D52-A1E3-2D20356BCA19}" destId="{95098E04-7365-4120-BFA5-DD20142F0378}" srcOrd="1" destOrd="0" parTransId="{848CBA62-3B05-4E86-857C-A717CD379F6D}" sibTransId="{FD0FC920-8CCC-467B-B441-C32A2EE75886}"/>
    <dgm:cxn modelId="{524BE010-1613-4553-8CF5-36C82A140003}" type="presOf" srcId="{95098E04-7365-4120-BFA5-DD20142F0378}" destId="{63634412-C8C0-4FB7-83C9-109058A57E0E}" srcOrd="1" destOrd="0" presId="urn:microsoft.com/office/officeart/2005/8/layout/lProcess2"/>
    <dgm:cxn modelId="{92EC6E1B-1884-4AFA-B687-9440742A6264}" srcId="{B59BBCC4-D7D8-4D52-A1E3-2D20356BCA19}" destId="{F083CE82-C202-4B67-A389-27FB421A7AB6}" srcOrd="0" destOrd="0" parTransId="{369BFF03-7146-4DE6-A78C-75C97AE6FAA7}" sibTransId="{AACCD43C-0817-49B8-A89B-D4A15AA4CDCA}"/>
    <dgm:cxn modelId="{F055AA33-97B0-4E06-869D-913258D53B25}" srcId="{F083CE82-C202-4B67-A389-27FB421A7AB6}" destId="{EFC43878-A934-4C25-BAD5-3F2BC26CC657}" srcOrd="0" destOrd="0" parTransId="{4A7005AE-738B-407C-BD0A-6B1BC19F44D7}" sibTransId="{D527FDC2-15B2-4D6D-9971-3DFB5CA3F52F}"/>
    <dgm:cxn modelId="{ACC1953A-02D8-4C55-8D30-AB03B91B61BC}" srcId="{282586EB-140E-4FA8-9B83-B755BDF0E451}" destId="{06545AE9-FD36-4532-9FC3-AB733D06C5FF}" srcOrd="1" destOrd="0" parTransId="{476456EA-558C-43AF-9E30-3C4CA67A3DB0}" sibTransId="{0C4FA86C-AAB6-467C-A479-526BD522B247}"/>
    <dgm:cxn modelId="{21E0213C-486A-441E-B93F-33DE85CF23C2}" type="presOf" srcId="{B59BBCC4-D7D8-4D52-A1E3-2D20356BCA19}" destId="{6EA0F0C3-8DCC-41A4-AADF-C381300C18E6}" srcOrd="0" destOrd="0" presId="urn:microsoft.com/office/officeart/2005/8/layout/lProcess2"/>
    <dgm:cxn modelId="{D76C813E-B4C0-4FD5-8020-5EADB47166CC}" type="presOf" srcId="{282586EB-140E-4FA8-9B83-B755BDF0E451}" destId="{B11E39F5-165D-4604-922E-A079B47884F3}" srcOrd="0" destOrd="0" presId="urn:microsoft.com/office/officeart/2005/8/layout/lProcess2"/>
    <dgm:cxn modelId="{921EE446-0539-4CDF-9D6A-6EF8FAE17C49}" type="presOf" srcId="{174630A8-8373-4623-859E-08685FE21A6B}" destId="{D3942AC7-B5A8-4E14-B39A-CC55C3110E00}" srcOrd="0" destOrd="0" presId="urn:microsoft.com/office/officeart/2005/8/layout/lProcess2"/>
    <dgm:cxn modelId="{C3AFA651-0A8A-4BAF-95D8-28E560C49C83}" srcId="{F083CE82-C202-4B67-A389-27FB421A7AB6}" destId="{D00F28E7-4094-4280-B7A2-7C975971E336}" srcOrd="1" destOrd="0" parTransId="{7F0590D8-C840-433B-96E0-FF932DE15AEF}" sibTransId="{48A02F9B-9972-4CCB-8104-CFF168E14A03}"/>
    <dgm:cxn modelId="{EE505852-206F-4207-BA7C-77047FE5B5AD}" srcId="{282586EB-140E-4FA8-9B83-B755BDF0E451}" destId="{DE36D618-5C5D-458F-AB6C-1C16AB483F02}" srcOrd="0" destOrd="0" parTransId="{29D1D0FA-A386-4595-B147-3A71E50EAF6B}" sibTransId="{2631B88D-4D9E-46CC-B88D-55CAC35084FB}"/>
    <dgm:cxn modelId="{78B07B8C-17A7-4CD6-B9BA-82E81E00567E}" type="presOf" srcId="{F083CE82-C202-4B67-A389-27FB421A7AB6}" destId="{5D601BFB-1439-4ACB-9721-E3175EB8C8F9}" srcOrd="0" destOrd="0" presId="urn:microsoft.com/office/officeart/2005/8/layout/lProcess2"/>
    <dgm:cxn modelId="{0D6405A4-24DB-4C73-A283-1EC42A9B904B}" type="presOf" srcId="{DE36D618-5C5D-458F-AB6C-1C16AB483F02}" destId="{0217BDEB-0804-4CE1-AFED-39D54A1D9B8F}" srcOrd="0" destOrd="0" presId="urn:microsoft.com/office/officeart/2005/8/layout/lProcess2"/>
    <dgm:cxn modelId="{35BA03C7-9748-4D37-89F1-74C7B0165A14}" srcId="{95098E04-7365-4120-BFA5-DD20142F0378}" destId="{5E3B5A3B-BF00-4B18-AE7E-A7F67A62B8C1}" srcOrd="1" destOrd="0" parTransId="{2ACBA6C6-2EE1-425E-83B4-491C88AF69A8}" sibTransId="{A163CAA5-2107-4C62-8AA3-33F659FA9A2B}"/>
    <dgm:cxn modelId="{0799B6C8-AD4F-4352-8224-05635A3164F7}" type="presOf" srcId="{282586EB-140E-4FA8-9B83-B755BDF0E451}" destId="{70E80658-F5E1-4B39-AEF3-AD69BF61C623}" srcOrd="1" destOrd="0" presId="urn:microsoft.com/office/officeart/2005/8/layout/lProcess2"/>
    <dgm:cxn modelId="{0B1956CC-DF7D-4A3A-9133-26BA72344729}" type="presOf" srcId="{95098E04-7365-4120-BFA5-DD20142F0378}" destId="{A7DA3DDA-3A78-44D8-AD97-B73A93183648}" srcOrd="0" destOrd="0" presId="urn:microsoft.com/office/officeart/2005/8/layout/lProcess2"/>
    <dgm:cxn modelId="{045400D8-4F1D-4488-B52C-88F0074651F1}" type="presOf" srcId="{EFC43878-A934-4C25-BAD5-3F2BC26CC657}" destId="{8975F4FA-7F13-4764-A0C4-2289C136CE6F}" srcOrd="0" destOrd="0" presId="urn:microsoft.com/office/officeart/2005/8/layout/lProcess2"/>
    <dgm:cxn modelId="{3E57D5DA-EACE-42FE-AA4A-55233E91339A}" srcId="{95098E04-7365-4120-BFA5-DD20142F0378}" destId="{174630A8-8373-4623-859E-08685FE21A6B}" srcOrd="0" destOrd="0" parTransId="{F0018046-6E1D-4D4A-9EA3-810A44AD898B}" sibTransId="{8978473E-FCD8-457D-8A9F-AF835742C0AC}"/>
    <dgm:cxn modelId="{D27A2DE8-2BC5-4C80-8E3F-431DD07AB8D2}" type="presOf" srcId="{D00F28E7-4094-4280-B7A2-7C975971E336}" destId="{296EDE29-4FF1-4209-B2AD-C0CEF61F2EB9}" srcOrd="0" destOrd="0" presId="urn:microsoft.com/office/officeart/2005/8/layout/lProcess2"/>
    <dgm:cxn modelId="{15B917EE-1D4C-4A20-90CB-C92AB56294C6}" srcId="{B59BBCC4-D7D8-4D52-A1E3-2D20356BCA19}" destId="{282586EB-140E-4FA8-9B83-B755BDF0E451}" srcOrd="2" destOrd="0" parTransId="{F1BD34A4-DBC2-48FF-85C4-7DBC726CE7BB}" sibTransId="{992AD4B6-D360-4643-9F19-8965A76152FE}"/>
    <dgm:cxn modelId="{071E0CF4-AEC8-41CC-BDC1-D66DC112E047}" type="presOf" srcId="{06545AE9-FD36-4532-9FC3-AB733D06C5FF}" destId="{C67492EF-C558-4201-9646-8837577A63B2}" srcOrd="0" destOrd="0" presId="urn:microsoft.com/office/officeart/2005/8/layout/lProcess2"/>
    <dgm:cxn modelId="{F2B79BF4-62EB-45D8-8112-DE014448D755}" type="presOf" srcId="{F083CE82-C202-4B67-A389-27FB421A7AB6}" destId="{5673FE3B-6754-4143-81FF-0812E842C973}" srcOrd="1" destOrd="0" presId="urn:microsoft.com/office/officeart/2005/8/layout/lProcess2"/>
    <dgm:cxn modelId="{C907185B-34FA-4B7D-B31C-C46210612CA5}" type="presParOf" srcId="{6EA0F0C3-8DCC-41A4-AADF-C381300C18E6}" destId="{88C7FCAF-DA9C-40A2-99F0-04EE51D85C28}" srcOrd="0" destOrd="0" presId="urn:microsoft.com/office/officeart/2005/8/layout/lProcess2"/>
    <dgm:cxn modelId="{CA187DC3-AD8E-4D93-8975-6FA077996326}" type="presParOf" srcId="{88C7FCAF-DA9C-40A2-99F0-04EE51D85C28}" destId="{5D601BFB-1439-4ACB-9721-E3175EB8C8F9}" srcOrd="0" destOrd="0" presId="urn:microsoft.com/office/officeart/2005/8/layout/lProcess2"/>
    <dgm:cxn modelId="{A28F8A30-B169-440A-A18B-A3BCD0FADBFE}" type="presParOf" srcId="{88C7FCAF-DA9C-40A2-99F0-04EE51D85C28}" destId="{5673FE3B-6754-4143-81FF-0812E842C973}" srcOrd="1" destOrd="0" presId="urn:microsoft.com/office/officeart/2005/8/layout/lProcess2"/>
    <dgm:cxn modelId="{5952F69A-06FB-4AE2-ABF2-2109F414FDD2}" type="presParOf" srcId="{88C7FCAF-DA9C-40A2-99F0-04EE51D85C28}" destId="{C0BA43F4-78BE-418D-9A8F-EC393F148CA0}" srcOrd="2" destOrd="0" presId="urn:microsoft.com/office/officeart/2005/8/layout/lProcess2"/>
    <dgm:cxn modelId="{C3B91D93-A932-473B-94AA-30C11B121545}" type="presParOf" srcId="{C0BA43F4-78BE-418D-9A8F-EC393F148CA0}" destId="{ADB142F0-1627-47A5-8DAB-60EA8D6F379B}" srcOrd="0" destOrd="0" presId="urn:microsoft.com/office/officeart/2005/8/layout/lProcess2"/>
    <dgm:cxn modelId="{659A0958-6771-4DD4-A41F-A7B2C803D52A}" type="presParOf" srcId="{ADB142F0-1627-47A5-8DAB-60EA8D6F379B}" destId="{8975F4FA-7F13-4764-A0C4-2289C136CE6F}" srcOrd="0" destOrd="0" presId="urn:microsoft.com/office/officeart/2005/8/layout/lProcess2"/>
    <dgm:cxn modelId="{857903C7-690B-4C90-BA78-298DCD241C90}" type="presParOf" srcId="{ADB142F0-1627-47A5-8DAB-60EA8D6F379B}" destId="{3A88DF98-41BC-4EB2-9293-28B7EB23F4A6}" srcOrd="1" destOrd="0" presId="urn:microsoft.com/office/officeart/2005/8/layout/lProcess2"/>
    <dgm:cxn modelId="{E6E169C3-8DE8-4805-9F0E-6D60C7E4BC80}" type="presParOf" srcId="{ADB142F0-1627-47A5-8DAB-60EA8D6F379B}" destId="{296EDE29-4FF1-4209-B2AD-C0CEF61F2EB9}" srcOrd="2" destOrd="0" presId="urn:microsoft.com/office/officeart/2005/8/layout/lProcess2"/>
    <dgm:cxn modelId="{D8C7A743-9F1B-4C3E-B00F-456EE1494CF9}" type="presParOf" srcId="{6EA0F0C3-8DCC-41A4-AADF-C381300C18E6}" destId="{0026BB2B-FFF1-462F-8CAA-A734C9AD18F3}" srcOrd="1" destOrd="0" presId="urn:microsoft.com/office/officeart/2005/8/layout/lProcess2"/>
    <dgm:cxn modelId="{2A6FE051-3673-4EC5-9448-5CAD2610AB9E}" type="presParOf" srcId="{6EA0F0C3-8DCC-41A4-AADF-C381300C18E6}" destId="{742E5A2A-406A-4B2E-95BC-D48ABE5104C9}" srcOrd="2" destOrd="0" presId="urn:microsoft.com/office/officeart/2005/8/layout/lProcess2"/>
    <dgm:cxn modelId="{3AC6FD36-28A1-4CA4-8E72-5B2251963EDE}" type="presParOf" srcId="{742E5A2A-406A-4B2E-95BC-D48ABE5104C9}" destId="{A7DA3DDA-3A78-44D8-AD97-B73A93183648}" srcOrd="0" destOrd="0" presId="urn:microsoft.com/office/officeart/2005/8/layout/lProcess2"/>
    <dgm:cxn modelId="{A22A76D7-EEF5-421D-B2F6-A74CC8B09FDD}" type="presParOf" srcId="{742E5A2A-406A-4B2E-95BC-D48ABE5104C9}" destId="{63634412-C8C0-4FB7-83C9-109058A57E0E}" srcOrd="1" destOrd="0" presId="urn:microsoft.com/office/officeart/2005/8/layout/lProcess2"/>
    <dgm:cxn modelId="{2D24ADDD-E4CF-4FB6-81D0-6BA9EEBD734E}" type="presParOf" srcId="{742E5A2A-406A-4B2E-95BC-D48ABE5104C9}" destId="{1859CB89-E522-427A-A60C-9E033208569E}" srcOrd="2" destOrd="0" presId="urn:microsoft.com/office/officeart/2005/8/layout/lProcess2"/>
    <dgm:cxn modelId="{423DC98A-B1A1-4839-9E5D-B7E20DA2DF09}" type="presParOf" srcId="{1859CB89-E522-427A-A60C-9E033208569E}" destId="{EEE9E939-B69E-42BF-8DC2-F622127596D3}" srcOrd="0" destOrd="0" presId="urn:microsoft.com/office/officeart/2005/8/layout/lProcess2"/>
    <dgm:cxn modelId="{2AC392BD-E433-4197-8192-1B6349D31E11}" type="presParOf" srcId="{EEE9E939-B69E-42BF-8DC2-F622127596D3}" destId="{D3942AC7-B5A8-4E14-B39A-CC55C3110E00}" srcOrd="0" destOrd="0" presId="urn:microsoft.com/office/officeart/2005/8/layout/lProcess2"/>
    <dgm:cxn modelId="{AC48BD86-D890-4B66-B144-89176676A859}" type="presParOf" srcId="{EEE9E939-B69E-42BF-8DC2-F622127596D3}" destId="{706A1A7B-BB6C-410C-BAE2-BB48FE7D9476}" srcOrd="1" destOrd="0" presId="urn:microsoft.com/office/officeart/2005/8/layout/lProcess2"/>
    <dgm:cxn modelId="{58968344-93FA-4FD5-A6DE-8BECBB6AFD81}" type="presParOf" srcId="{EEE9E939-B69E-42BF-8DC2-F622127596D3}" destId="{1DEBDD56-EB77-4EDF-90D9-7CA29252BB28}" srcOrd="2" destOrd="0" presId="urn:microsoft.com/office/officeart/2005/8/layout/lProcess2"/>
    <dgm:cxn modelId="{6C422598-2938-454A-9B17-E9C08B41711E}" type="presParOf" srcId="{6EA0F0C3-8DCC-41A4-AADF-C381300C18E6}" destId="{1984D74F-0F1F-443F-A926-D7E4882D2BB9}" srcOrd="3" destOrd="0" presId="urn:microsoft.com/office/officeart/2005/8/layout/lProcess2"/>
    <dgm:cxn modelId="{BB1FD765-B51F-4141-88AA-FAA2F622570C}" type="presParOf" srcId="{6EA0F0C3-8DCC-41A4-AADF-C381300C18E6}" destId="{4748DF5E-6D3D-44B8-89FA-993A9A1A009D}" srcOrd="4" destOrd="0" presId="urn:microsoft.com/office/officeart/2005/8/layout/lProcess2"/>
    <dgm:cxn modelId="{07B88A63-E5E0-4D50-A788-122F201A4DF7}" type="presParOf" srcId="{4748DF5E-6D3D-44B8-89FA-993A9A1A009D}" destId="{B11E39F5-165D-4604-922E-A079B47884F3}" srcOrd="0" destOrd="0" presId="urn:microsoft.com/office/officeart/2005/8/layout/lProcess2"/>
    <dgm:cxn modelId="{6570D369-A502-46C7-BF0B-1350E57426C8}" type="presParOf" srcId="{4748DF5E-6D3D-44B8-89FA-993A9A1A009D}" destId="{70E80658-F5E1-4B39-AEF3-AD69BF61C623}" srcOrd="1" destOrd="0" presId="urn:microsoft.com/office/officeart/2005/8/layout/lProcess2"/>
    <dgm:cxn modelId="{DA5F2F15-2ACB-45EB-9D1B-D100FAEF6252}" type="presParOf" srcId="{4748DF5E-6D3D-44B8-89FA-993A9A1A009D}" destId="{478BF260-5665-4E0E-A978-478EBA6ABA74}" srcOrd="2" destOrd="0" presId="urn:microsoft.com/office/officeart/2005/8/layout/lProcess2"/>
    <dgm:cxn modelId="{50794243-6F6C-45AA-9C4C-93ECF711CC68}" type="presParOf" srcId="{478BF260-5665-4E0E-A978-478EBA6ABA74}" destId="{9F6E2A52-53C1-4F60-9938-F0A101F31BED}" srcOrd="0" destOrd="0" presId="urn:microsoft.com/office/officeart/2005/8/layout/lProcess2"/>
    <dgm:cxn modelId="{DFF8EEDD-CCC2-4F5C-88A8-8DEBE9A7ED27}" type="presParOf" srcId="{9F6E2A52-53C1-4F60-9938-F0A101F31BED}" destId="{0217BDEB-0804-4CE1-AFED-39D54A1D9B8F}" srcOrd="0" destOrd="0" presId="urn:microsoft.com/office/officeart/2005/8/layout/lProcess2"/>
    <dgm:cxn modelId="{33E33F5A-1EF4-4CFC-BD3B-D47CB00AB4BF}" type="presParOf" srcId="{9F6E2A52-53C1-4F60-9938-F0A101F31BED}" destId="{C901E2FB-3F4A-4CCB-8D2C-0E7CC75DE968}" srcOrd="1" destOrd="0" presId="urn:microsoft.com/office/officeart/2005/8/layout/lProcess2"/>
    <dgm:cxn modelId="{6E70FF8E-2A64-4AD5-8D7D-4F1FE49759A6}" type="presParOf" srcId="{9F6E2A52-53C1-4F60-9938-F0A101F31BED}" destId="{C67492EF-C558-4201-9646-8837577A63B2}" srcOrd="2" destOrd="0" presId="urn:microsoft.com/office/officeart/2005/8/layout/l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59BBCC4-D7D8-4D52-A1E3-2D20356BCA19}"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n-US"/>
        </a:p>
      </dgm:t>
    </dgm:pt>
    <dgm:pt modelId="{F083CE82-C202-4B67-A389-27FB421A7AB6}">
      <dgm:prSet phldrT="[Text]" custT="1"/>
      <dgm:spPr>
        <a:xfrm>
          <a:off x="405" y="0"/>
          <a:ext cx="1055253" cy="1449070"/>
        </a:xfrm>
        <a:solidFill>
          <a:srgbClr val="4F81BD">
            <a:tint val="40000"/>
            <a:hueOff val="0"/>
            <a:satOff val="0"/>
            <a:lumOff val="0"/>
            <a:alphaOff val="0"/>
          </a:srgbClr>
        </a:solidFill>
        <a:ln>
          <a:noFill/>
        </a:ln>
        <a:effectLst/>
      </dgm:spPr>
      <dgm:t>
        <a:bodyPr/>
        <a:lstStyle/>
        <a:p>
          <a:pPr>
            <a:buNone/>
          </a:pP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a:buNone/>
          </a:pP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Management</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 financial risks</a:t>
          </a:r>
        </a:p>
      </dgm:t>
    </dgm:pt>
    <dgm:pt modelId="{369BFF03-7146-4DE6-A78C-75C97AE6FAA7}" type="parTrans" cxnId="{92EC6E1B-1884-4AFA-B687-9440742A6264}">
      <dgm:prSet/>
      <dgm:spPr/>
      <dgm:t>
        <a:bodyPr/>
        <a:lstStyle/>
        <a:p>
          <a:endParaRPr lang="en-US" sz="800">
            <a:latin typeface="Arial" panose="020B0604020202020204" pitchFamily="34" charset="0"/>
            <a:cs typeface="Arial" panose="020B0604020202020204" pitchFamily="34" charset="0"/>
          </a:endParaRPr>
        </a:p>
      </dgm:t>
    </dgm:pt>
    <dgm:pt modelId="{AACCD43C-0817-49B8-A89B-D4A15AA4CDCA}" type="sibTrans" cxnId="{92EC6E1B-1884-4AFA-B687-9440742A6264}">
      <dgm:prSet/>
      <dgm:spPr/>
      <dgm:t>
        <a:bodyPr/>
        <a:lstStyle/>
        <a:p>
          <a:endParaRPr lang="en-US" sz="800">
            <a:latin typeface="Arial" panose="020B0604020202020204" pitchFamily="34" charset="0"/>
            <a:cs typeface="Arial" panose="020B0604020202020204" pitchFamily="34" charset="0"/>
          </a:endParaRPr>
        </a:p>
      </dgm:t>
    </dgm:pt>
    <dgm:pt modelId="{EFC43878-A934-4C25-BAD5-3F2BC26CC657}">
      <dgm:prSet phldrT="[Text]" custT="1"/>
      <dgm:spPr>
        <a:xfrm>
          <a:off x="105931" y="435145"/>
          <a:ext cx="844202" cy="4369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800">
              <a:solidFill>
                <a:sysClr val="window" lastClr="FFFFFF"/>
              </a:solidFill>
              <a:latin typeface="Arial" panose="020B0604020202020204" pitchFamily="34" charset="0"/>
              <a:ea typeface="+mn-ea"/>
              <a:cs typeface="Arial" panose="020B0604020202020204" pitchFamily="34" charset="0"/>
            </a:rPr>
            <a:t>5.1 Prudential procedures</a:t>
          </a:r>
        </a:p>
      </dgm:t>
    </dgm:pt>
    <dgm:pt modelId="{4A7005AE-738B-407C-BD0A-6B1BC19F44D7}" type="parTrans" cxnId="{F055AA33-97B0-4E06-869D-913258D53B25}">
      <dgm:prSet/>
      <dgm:spPr/>
      <dgm:t>
        <a:bodyPr/>
        <a:lstStyle/>
        <a:p>
          <a:endParaRPr lang="en-US" sz="800">
            <a:latin typeface="Arial" panose="020B0604020202020204" pitchFamily="34" charset="0"/>
            <a:cs typeface="Arial" panose="020B0604020202020204" pitchFamily="34" charset="0"/>
          </a:endParaRPr>
        </a:p>
      </dgm:t>
    </dgm:pt>
    <dgm:pt modelId="{D527FDC2-15B2-4D6D-9971-3DFB5CA3F52F}" type="sibTrans" cxnId="{F055AA33-97B0-4E06-869D-913258D53B25}">
      <dgm:prSet/>
      <dgm:spPr/>
      <dgm:t>
        <a:bodyPr/>
        <a:lstStyle/>
        <a:p>
          <a:endParaRPr lang="en-US" sz="800">
            <a:latin typeface="Arial" panose="020B0604020202020204" pitchFamily="34" charset="0"/>
            <a:cs typeface="Arial" panose="020B0604020202020204" pitchFamily="34" charset="0"/>
          </a:endParaRPr>
        </a:p>
      </dgm:t>
    </dgm:pt>
    <dgm:pt modelId="{D00F28E7-4094-4280-B7A2-7C975971E336}">
      <dgm:prSet phldrT="[Text]" custT="1"/>
      <dgm:spPr>
        <a:xfrm>
          <a:off x="105931" y="939277"/>
          <a:ext cx="844202" cy="4369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800">
              <a:solidFill>
                <a:sysClr val="window" lastClr="FFFFFF"/>
              </a:solidFill>
              <a:latin typeface="Arial" panose="020B0604020202020204" pitchFamily="34" charset="0"/>
              <a:ea typeface="+mn-ea"/>
              <a:cs typeface="Arial" panose="020B0604020202020204" pitchFamily="34" charset="0"/>
            </a:rPr>
            <a:t>5.2 Calculation of commercial margins</a:t>
          </a:r>
        </a:p>
      </dgm:t>
    </dgm:pt>
    <dgm:pt modelId="{7F0590D8-C840-433B-96E0-FF932DE15AEF}" type="parTrans" cxnId="{C3AFA651-0A8A-4BAF-95D8-28E560C49C83}">
      <dgm:prSet/>
      <dgm:spPr/>
      <dgm:t>
        <a:bodyPr/>
        <a:lstStyle/>
        <a:p>
          <a:endParaRPr lang="en-US" sz="800">
            <a:latin typeface="Arial" panose="020B0604020202020204" pitchFamily="34" charset="0"/>
            <a:cs typeface="Arial" panose="020B0604020202020204" pitchFamily="34" charset="0"/>
          </a:endParaRPr>
        </a:p>
      </dgm:t>
    </dgm:pt>
    <dgm:pt modelId="{48A02F9B-9972-4CCB-8104-CFF168E14A03}" type="sibTrans" cxnId="{C3AFA651-0A8A-4BAF-95D8-28E560C49C83}">
      <dgm:prSet/>
      <dgm:spPr/>
      <dgm:t>
        <a:bodyPr/>
        <a:lstStyle/>
        <a:p>
          <a:endParaRPr lang="en-US" sz="800">
            <a:latin typeface="Arial" panose="020B0604020202020204" pitchFamily="34" charset="0"/>
            <a:cs typeface="Arial" panose="020B0604020202020204" pitchFamily="34" charset="0"/>
          </a:endParaRPr>
        </a:p>
      </dgm:t>
    </dgm:pt>
    <dgm:pt modelId="{6EA0F0C3-8DCC-41A4-AADF-C381300C18E6}" type="pres">
      <dgm:prSet presAssocID="{B59BBCC4-D7D8-4D52-A1E3-2D20356BCA19}" presName="theList" presStyleCnt="0">
        <dgm:presLayoutVars>
          <dgm:dir/>
          <dgm:animLvl val="lvl"/>
          <dgm:resizeHandles val="exact"/>
        </dgm:presLayoutVars>
      </dgm:prSet>
      <dgm:spPr/>
    </dgm:pt>
    <dgm:pt modelId="{88C7FCAF-DA9C-40A2-99F0-04EE51D85C28}" type="pres">
      <dgm:prSet presAssocID="{F083CE82-C202-4B67-A389-27FB421A7AB6}" presName="compNode" presStyleCnt="0"/>
      <dgm:spPr/>
    </dgm:pt>
    <dgm:pt modelId="{5D601BFB-1439-4ACB-9721-E3175EB8C8F9}" type="pres">
      <dgm:prSet presAssocID="{F083CE82-C202-4B67-A389-27FB421A7AB6}" presName="aNode" presStyleLbl="bgShp" presStyleIdx="0" presStyleCnt="1"/>
      <dgm:spPr>
        <a:prstGeom prst="roundRect">
          <a:avLst>
            <a:gd name="adj" fmla="val 10000"/>
          </a:avLst>
        </a:prstGeom>
      </dgm:spPr>
    </dgm:pt>
    <dgm:pt modelId="{5673FE3B-6754-4143-81FF-0812E842C973}" type="pres">
      <dgm:prSet presAssocID="{F083CE82-C202-4B67-A389-27FB421A7AB6}" presName="textNode" presStyleLbl="bgShp" presStyleIdx="0" presStyleCnt="1"/>
      <dgm:spPr/>
    </dgm:pt>
    <dgm:pt modelId="{C0BA43F4-78BE-418D-9A8F-EC393F148CA0}" type="pres">
      <dgm:prSet presAssocID="{F083CE82-C202-4B67-A389-27FB421A7AB6}" presName="compChildNode" presStyleCnt="0"/>
      <dgm:spPr/>
    </dgm:pt>
    <dgm:pt modelId="{ADB142F0-1627-47A5-8DAB-60EA8D6F379B}" type="pres">
      <dgm:prSet presAssocID="{F083CE82-C202-4B67-A389-27FB421A7AB6}" presName="theInnerList" presStyleCnt="0"/>
      <dgm:spPr/>
    </dgm:pt>
    <dgm:pt modelId="{8975F4FA-7F13-4764-A0C4-2289C136CE6F}" type="pres">
      <dgm:prSet presAssocID="{EFC43878-A934-4C25-BAD5-3F2BC26CC657}" presName="childNode" presStyleLbl="node1" presStyleIdx="0" presStyleCnt="2">
        <dgm:presLayoutVars>
          <dgm:bulletEnabled val="1"/>
        </dgm:presLayoutVars>
      </dgm:prSet>
      <dgm:spPr>
        <a:prstGeom prst="roundRect">
          <a:avLst>
            <a:gd name="adj" fmla="val 10000"/>
          </a:avLst>
        </a:prstGeom>
      </dgm:spPr>
    </dgm:pt>
    <dgm:pt modelId="{3A88DF98-41BC-4EB2-9293-28B7EB23F4A6}" type="pres">
      <dgm:prSet presAssocID="{EFC43878-A934-4C25-BAD5-3F2BC26CC657}" presName="aSpace2" presStyleCnt="0"/>
      <dgm:spPr/>
    </dgm:pt>
    <dgm:pt modelId="{296EDE29-4FF1-4209-B2AD-C0CEF61F2EB9}" type="pres">
      <dgm:prSet presAssocID="{D00F28E7-4094-4280-B7A2-7C975971E336}" presName="childNode" presStyleLbl="node1" presStyleIdx="1" presStyleCnt="2">
        <dgm:presLayoutVars>
          <dgm:bulletEnabled val="1"/>
        </dgm:presLayoutVars>
      </dgm:prSet>
      <dgm:spPr>
        <a:prstGeom prst="roundRect">
          <a:avLst>
            <a:gd name="adj" fmla="val 10000"/>
          </a:avLst>
        </a:prstGeom>
      </dgm:spPr>
    </dgm:pt>
  </dgm:ptLst>
  <dgm:cxnLst>
    <dgm:cxn modelId="{92EC6E1B-1884-4AFA-B687-9440742A6264}" srcId="{B59BBCC4-D7D8-4D52-A1E3-2D20356BCA19}" destId="{F083CE82-C202-4B67-A389-27FB421A7AB6}" srcOrd="0" destOrd="0" parTransId="{369BFF03-7146-4DE6-A78C-75C97AE6FAA7}" sibTransId="{AACCD43C-0817-49B8-A89B-D4A15AA4CDCA}"/>
    <dgm:cxn modelId="{39A16B2F-93B6-4C3F-9203-0713F03963A3}" type="presOf" srcId="{B59BBCC4-D7D8-4D52-A1E3-2D20356BCA19}" destId="{6EA0F0C3-8DCC-41A4-AADF-C381300C18E6}" srcOrd="0" destOrd="0" presId="urn:microsoft.com/office/officeart/2005/8/layout/lProcess2"/>
    <dgm:cxn modelId="{F055AA33-97B0-4E06-869D-913258D53B25}" srcId="{F083CE82-C202-4B67-A389-27FB421A7AB6}" destId="{EFC43878-A934-4C25-BAD5-3F2BC26CC657}" srcOrd="0" destOrd="0" parTransId="{4A7005AE-738B-407C-BD0A-6B1BC19F44D7}" sibTransId="{D527FDC2-15B2-4D6D-9971-3DFB5CA3F52F}"/>
    <dgm:cxn modelId="{0C18915F-4AB0-4767-9257-E29E1EFBA434}" type="presOf" srcId="{EFC43878-A934-4C25-BAD5-3F2BC26CC657}" destId="{8975F4FA-7F13-4764-A0C4-2289C136CE6F}" srcOrd="0" destOrd="0" presId="urn:microsoft.com/office/officeart/2005/8/layout/lProcess2"/>
    <dgm:cxn modelId="{C3AFA651-0A8A-4BAF-95D8-28E560C49C83}" srcId="{F083CE82-C202-4B67-A389-27FB421A7AB6}" destId="{D00F28E7-4094-4280-B7A2-7C975971E336}" srcOrd="1" destOrd="0" parTransId="{7F0590D8-C840-433B-96E0-FF932DE15AEF}" sibTransId="{48A02F9B-9972-4CCB-8104-CFF168E14A03}"/>
    <dgm:cxn modelId="{616A8EA9-A225-4581-ABAB-97A7D5F4CDB2}" type="presOf" srcId="{F083CE82-C202-4B67-A389-27FB421A7AB6}" destId="{5D601BFB-1439-4ACB-9721-E3175EB8C8F9}" srcOrd="0" destOrd="0" presId="urn:microsoft.com/office/officeart/2005/8/layout/lProcess2"/>
    <dgm:cxn modelId="{136823B9-DCE2-43B7-BA0E-DC63D5036563}" type="presOf" srcId="{D00F28E7-4094-4280-B7A2-7C975971E336}" destId="{296EDE29-4FF1-4209-B2AD-C0CEF61F2EB9}" srcOrd="0" destOrd="0" presId="urn:microsoft.com/office/officeart/2005/8/layout/lProcess2"/>
    <dgm:cxn modelId="{D01685E4-B2BB-43A0-A10A-9B38CBB1E49A}" type="presOf" srcId="{F083CE82-C202-4B67-A389-27FB421A7AB6}" destId="{5673FE3B-6754-4143-81FF-0812E842C973}" srcOrd="1" destOrd="0" presId="urn:microsoft.com/office/officeart/2005/8/layout/lProcess2"/>
    <dgm:cxn modelId="{14CCE747-2104-42E9-ACD4-461DFC21EC27}" type="presParOf" srcId="{6EA0F0C3-8DCC-41A4-AADF-C381300C18E6}" destId="{88C7FCAF-DA9C-40A2-99F0-04EE51D85C28}" srcOrd="0" destOrd="0" presId="urn:microsoft.com/office/officeart/2005/8/layout/lProcess2"/>
    <dgm:cxn modelId="{9D4A8192-6FB5-461D-A96B-786D3893F3F1}" type="presParOf" srcId="{88C7FCAF-DA9C-40A2-99F0-04EE51D85C28}" destId="{5D601BFB-1439-4ACB-9721-E3175EB8C8F9}" srcOrd="0" destOrd="0" presId="urn:microsoft.com/office/officeart/2005/8/layout/lProcess2"/>
    <dgm:cxn modelId="{2E77E5E3-2F56-412B-A85D-6851763EB243}" type="presParOf" srcId="{88C7FCAF-DA9C-40A2-99F0-04EE51D85C28}" destId="{5673FE3B-6754-4143-81FF-0812E842C973}" srcOrd="1" destOrd="0" presId="urn:microsoft.com/office/officeart/2005/8/layout/lProcess2"/>
    <dgm:cxn modelId="{1B31F106-3551-45E1-BAFD-0AC2643972AA}" type="presParOf" srcId="{88C7FCAF-DA9C-40A2-99F0-04EE51D85C28}" destId="{C0BA43F4-78BE-418D-9A8F-EC393F148CA0}" srcOrd="2" destOrd="0" presId="urn:microsoft.com/office/officeart/2005/8/layout/lProcess2"/>
    <dgm:cxn modelId="{04DDF4EA-D25F-4550-9FFE-1DA67CB51744}" type="presParOf" srcId="{C0BA43F4-78BE-418D-9A8F-EC393F148CA0}" destId="{ADB142F0-1627-47A5-8DAB-60EA8D6F379B}" srcOrd="0" destOrd="0" presId="urn:microsoft.com/office/officeart/2005/8/layout/lProcess2"/>
    <dgm:cxn modelId="{3BD78CF5-AFE6-4361-969E-55C45E1C92EC}" type="presParOf" srcId="{ADB142F0-1627-47A5-8DAB-60EA8D6F379B}" destId="{8975F4FA-7F13-4764-A0C4-2289C136CE6F}" srcOrd="0" destOrd="0" presId="urn:microsoft.com/office/officeart/2005/8/layout/lProcess2"/>
    <dgm:cxn modelId="{C625A994-414D-4CCD-8C9E-3CD5E402D510}" type="presParOf" srcId="{ADB142F0-1627-47A5-8DAB-60EA8D6F379B}" destId="{3A88DF98-41BC-4EB2-9293-28B7EB23F4A6}" srcOrd="1" destOrd="0" presId="urn:microsoft.com/office/officeart/2005/8/layout/lProcess2"/>
    <dgm:cxn modelId="{5B5AA2BF-25A2-497F-95CD-28A8BA44648E}" type="presParOf" srcId="{ADB142F0-1627-47A5-8DAB-60EA8D6F379B}" destId="{296EDE29-4FF1-4209-B2AD-C0CEF61F2EB9}" srcOrd="2" destOrd="0" presId="urn:microsoft.com/office/officeart/2005/8/layout/lProcess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8839BF-7ED7-4613-AE02-83BF9EE22DCF}">
      <dsp:nvSpPr>
        <dsp:cNvPr id="0" name=""/>
        <dsp:cNvSpPr/>
      </dsp:nvSpPr>
      <dsp:spPr>
        <a:xfrm>
          <a:off x="2170" y="0"/>
          <a:ext cx="1733636" cy="5715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Entry into the market</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1</a:t>
          </a:r>
        </a:p>
      </dsp:txBody>
      <dsp:txXfrm>
        <a:off x="287920" y="0"/>
        <a:ext cx="1162136" cy="571500"/>
      </dsp:txXfrm>
    </dsp:sp>
    <dsp:sp modelId="{450092DC-D761-414D-8B15-C4041EBC21BD}">
      <dsp:nvSpPr>
        <dsp:cNvPr id="0" name=""/>
        <dsp:cNvSpPr/>
      </dsp:nvSpPr>
      <dsp:spPr>
        <a:xfrm>
          <a:off x="1402428" y="0"/>
          <a:ext cx="3333789" cy="5715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Participation in the market</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2-3-4</a:t>
          </a:r>
        </a:p>
      </dsp:txBody>
      <dsp:txXfrm>
        <a:off x="1688178" y="0"/>
        <a:ext cx="2762289" cy="571500"/>
      </dsp:txXfrm>
    </dsp:sp>
    <dsp:sp modelId="{270EBE83-57E1-45DE-835A-09A8EABA7315}">
      <dsp:nvSpPr>
        <dsp:cNvPr id="0" name=""/>
        <dsp:cNvSpPr/>
      </dsp:nvSpPr>
      <dsp:spPr>
        <a:xfrm>
          <a:off x="4402838" y="0"/>
          <a:ext cx="1680196" cy="5715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Exit from the market</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5</a:t>
          </a:r>
        </a:p>
      </dsp:txBody>
      <dsp:txXfrm>
        <a:off x="4688588" y="0"/>
        <a:ext cx="1108696" cy="571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601BFB-1439-4ACB-9721-E3175EB8C8F9}">
      <dsp:nvSpPr>
        <dsp:cNvPr id="0" name=""/>
        <dsp:cNvSpPr/>
      </dsp:nvSpPr>
      <dsp:spPr>
        <a:xfrm>
          <a:off x="0" y="0"/>
          <a:ext cx="993891" cy="1449070"/>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 to the   market</a:t>
          </a:r>
        </a:p>
      </dsp:txBody>
      <dsp:txXfrm>
        <a:off x="0" y="0"/>
        <a:ext cx="993891" cy="434721"/>
      </dsp:txXfrm>
    </dsp:sp>
    <dsp:sp modelId="{8975F4FA-7F13-4764-A0C4-2289C136CE6F}">
      <dsp:nvSpPr>
        <dsp:cNvPr id="0" name=""/>
        <dsp:cNvSpPr/>
      </dsp:nvSpPr>
      <dsp:spPr>
        <a:xfrm>
          <a:off x="99389" y="435145"/>
          <a:ext cx="795112" cy="4369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1.1 Market addmission procedure</a:t>
          </a:r>
        </a:p>
      </dsp:txBody>
      <dsp:txXfrm>
        <a:off x="112186" y="447942"/>
        <a:ext cx="769518" cy="411320"/>
      </dsp:txXfrm>
    </dsp:sp>
    <dsp:sp modelId="{296EDE29-4FF1-4209-B2AD-C0CEF61F2EB9}">
      <dsp:nvSpPr>
        <dsp:cNvPr id="0" name=""/>
        <dsp:cNvSpPr/>
      </dsp:nvSpPr>
      <dsp:spPr>
        <a:xfrm>
          <a:off x="99389" y="939277"/>
          <a:ext cx="795112" cy="4369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1.2 Access to the IS</a:t>
          </a:r>
        </a:p>
      </dsp:txBody>
      <dsp:txXfrm>
        <a:off x="112186" y="952074"/>
        <a:ext cx="769518" cy="4113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601BFB-1439-4ACB-9721-E3175EB8C8F9}">
      <dsp:nvSpPr>
        <dsp:cNvPr id="0" name=""/>
        <dsp:cNvSpPr/>
      </dsp:nvSpPr>
      <dsp:spPr>
        <a:xfrm>
          <a:off x="391" y="0"/>
          <a:ext cx="1019049" cy="144907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2</a:t>
          </a:r>
        </a:p>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Access to the</a:t>
          </a:r>
        </a:p>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capacity</a:t>
          </a:r>
        </a:p>
      </dsp:txBody>
      <dsp:txXfrm>
        <a:off x="391" y="0"/>
        <a:ext cx="1019049" cy="434721"/>
      </dsp:txXfrm>
    </dsp:sp>
    <dsp:sp modelId="{8975F4FA-7F13-4764-A0C4-2289C136CE6F}">
      <dsp:nvSpPr>
        <dsp:cNvPr id="0" name=""/>
        <dsp:cNvSpPr/>
      </dsp:nvSpPr>
      <dsp:spPr>
        <a:xfrm>
          <a:off x="102296" y="435145"/>
          <a:ext cx="815239" cy="436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2.1 Registration procedure for bilateral contracts</a:t>
          </a:r>
        </a:p>
      </dsp:txBody>
      <dsp:txXfrm>
        <a:off x="115093" y="447942"/>
        <a:ext cx="789645" cy="411320"/>
      </dsp:txXfrm>
    </dsp:sp>
    <dsp:sp modelId="{296EDE29-4FF1-4209-B2AD-C0CEF61F2EB9}">
      <dsp:nvSpPr>
        <dsp:cNvPr id="0" name=""/>
        <dsp:cNvSpPr/>
      </dsp:nvSpPr>
      <dsp:spPr>
        <a:xfrm>
          <a:off x="102296" y="939277"/>
          <a:ext cx="815239" cy="436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2.2 Capacity allocation rules</a:t>
          </a:r>
        </a:p>
      </dsp:txBody>
      <dsp:txXfrm>
        <a:off x="115093" y="952074"/>
        <a:ext cx="789645" cy="411320"/>
      </dsp:txXfrm>
    </dsp:sp>
    <dsp:sp modelId="{A7DA3DDA-3A78-44D8-AD97-B73A93183648}">
      <dsp:nvSpPr>
        <dsp:cNvPr id="0" name=""/>
        <dsp:cNvSpPr/>
      </dsp:nvSpPr>
      <dsp:spPr>
        <a:xfrm>
          <a:off x="1095870" y="0"/>
          <a:ext cx="1019049" cy="144907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3</a:t>
          </a:r>
        </a:p>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Exchange</a:t>
          </a:r>
        </a:p>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energy</a:t>
          </a:r>
        </a:p>
      </dsp:txBody>
      <dsp:txXfrm>
        <a:off x="1095870" y="0"/>
        <a:ext cx="1019049" cy="434721"/>
      </dsp:txXfrm>
    </dsp:sp>
    <dsp:sp modelId="{D3942AC7-B5A8-4E14-B39A-CC55C3110E00}">
      <dsp:nvSpPr>
        <dsp:cNvPr id="0" name=""/>
        <dsp:cNvSpPr/>
      </dsp:nvSpPr>
      <dsp:spPr>
        <a:xfrm>
          <a:off x="1197775" y="435145"/>
          <a:ext cx="815239" cy="436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3.1 Authorisation of programme</a:t>
          </a:r>
        </a:p>
      </dsp:txBody>
      <dsp:txXfrm>
        <a:off x="1210572" y="447942"/>
        <a:ext cx="789645" cy="411320"/>
      </dsp:txXfrm>
    </dsp:sp>
    <dsp:sp modelId="{1DEBDD56-EB77-4EDF-90D9-7CA29252BB28}">
      <dsp:nvSpPr>
        <dsp:cNvPr id="0" name=""/>
        <dsp:cNvSpPr/>
      </dsp:nvSpPr>
      <dsp:spPr>
        <a:xfrm>
          <a:off x="1197775" y="939277"/>
          <a:ext cx="815239" cy="436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3.2 Exchange programming </a:t>
          </a:r>
        </a:p>
      </dsp:txBody>
      <dsp:txXfrm>
        <a:off x="1210572" y="952074"/>
        <a:ext cx="789645" cy="411320"/>
      </dsp:txXfrm>
    </dsp:sp>
    <dsp:sp modelId="{B11E39F5-165D-4604-922E-A079B47884F3}">
      <dsp:nvSpPr>
        <dsp:cNvPr id="0" name=""/>
        <dsp:cNvSpPr/>
      </dsp:nvSpPr>
      <dsp:spPr>
        <a:xfrm>
          <a:off x="2191349" y="0"/>
          <a:ext cx="1019049" cy="144907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4</a:t>
          </a:r>
        </a:p>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Settlement</a:t>
          </a:r>
        </a:p>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and billing</a:t>
          </a:r>
        </a:p>
      </dsp:txBody>
      <dsp:txXfrm>
        <a:off x="2191349" y="0"/>
        <a:ext cx="1019049" cy="434721"/>
      </dsp:txXfrm>
    </dsp:sp>
    <dsp:sp modelId="{0217BDEB-0804-4CE1-AFED-39D54A1D9B8F}">
      <dsp:nvSpPr>
        <dsp:cNvPr id="0" name=""/>
        <dsp:cNvSpPr/>
      </dsp:nvSpPr>
      <dsp:spPr>
        <a:xfrm>
          <a:off x="2293254" y="435145"/>
          <a:ext cx="815239" cy="436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4.1 Settlement</a:t>
          </a:r>
        </a:p>
      </dsp:txBody>
      <dsp:txXfrm>
        <a:off x="2306051" y="447942"/>
        <a:ext cx="789645" cy="411320"/>
      </dsp:txXfrm>
    </dsp:sp>
    <dsp:sp modelId="{C67492EF-C558-4201-9646-8837577A63B2}">
      <dsp:nvSpPr>
        <dsp:cNvPr id="0" name=""/>
        <dsp:cNvSpPr/>
      </dsp:nvSpPr>
      <dsp:spPr>
        <a:xfrm>
          <a:off x="2293254" y="939277"/>
          <a:ext cx="815239" cy="436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4.2 Billing</a:t>
          </a:r>
        </a:p>
      </dsp:txBody>
      <dsp:txXfrm>
        <a:off x="2306051" y="952074"/>
        <a:ext cx="789645" cy="4113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601BFB-1439-4ACB-9721-E3175EB8C8F9}">
      <dsp:nvSpPr>
        <dsp:cNvPr id="0" name=""/>
        <dsp:cNvSpPr/>
      </dsp:nvSpPr>
      <dsp:spPr>
        <a:xfrm>
          <a:off x="469" y="0"/>
          <a:ext cx="960220" cy="1449070"/>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Management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 financial risks</a:t>
          </a:r>
        </a:p>
      </dsp:txBody>
      <dsp:txXfrm>
        <a:off x="469" y="0"/>
        <a:ext cx="960220" cy="434721"/>
      </dsp:txXfrm>
    </dsp:sp>
    <dsp:sp modelId="{8975F4FA-7F13-4764-A0C4-2289C136CE6F}">
      <dsp:nvSpPr>
        <dsp:cNvPr id="0" name=""/>
        <dsp:cNvSpPr/>
      </dsp:nvSpPr>
      <dsp:spPr>
        <a:xfrm>
          <a:off x="96491" y="435145"/>
          <a:ext cx="768176" cy="4369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5.1 Prudential procedures</a:t>
          </a:r>
        </a:p>
      </dsp:txBody>
      <dsp:txXfrm>
        <a:off x="109288" y="447942"/>
        <a:ext cx="742582" cy="411320"/>
      </dsp:txXfrm>
    </dsp:sp>
    <dsp:sp modelId="{296EDE29-4FF1-4209-B2AD-C0CEF61F2EB9}">
      <dsp:nvSpPr>
        <dsp:cNvPr id="0" name=""/>
        <dsp:cNvSpPr/>
      </dsp:nvSpPr>
      <dsp:spPr>
        <a:xfrm>
          <a:off x="96491" y="939277"/>
          <a:ext cx="768176" cy="4369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5.2 Calculation of commercial margins</a:t>
          </a:r>
        </a:p>
      </dsp:txBody>
      <dsp:txXfrm>
        <a:off x="109288" y="952074"/>
        <a:ext cx="742582" cy="41132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25A0A5F5C67104A8D77D7200EEDAC31" ma:contentTypeVersion="11" ma:contentTypeDescription="Create a new document." ma:contentTypeScope="" ma:versionID="b7b110cf4e8fd89b3d7ef4938489aa46">
  <xsd:schema xmlns:xsd="http://www.w3.org/2001/XMLSchema" xmlns:xs="http://www.w3.org/2001/XMLSchema" xmlns:p="http://schemas.microsoft.com/office/2006/metadata/properties" xmlns:ns3="9de826fd-63d2-4fbe-8945-70cfae2152cf" xmlns:ns4="d1c57e0b-3e0e-44f6-9583-e7524225d024" targetNamespace="http://schemas.microsoft.com/office/2006/metadata/properties" ma:root="true" ma:fieldsID="0c8d1b8dde242014ab7e83e33387292b" ns3:_="" ns4:_="">
    <xsd:import namespace="9de826fd-63d2-4fbe-8945-70cfae2152cf"/>
    <xsd:import namespace="d1c57e0b-3e0e-44f6-9583-e7524225d02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826fd-63d2-4fbe-8945-70cfae2152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c57e0b-3e0e-44f6-9583-e7524225d02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4014F5-F50A-4874-94ED-0D9FDBB892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9B830E-1DCB-43A2-82E0-EFE4DFD777DD}">
  <ds:schemaRefs>
    <ds:schemaRef ds:uri="http://schemas.openxmlformats.org/officeDocument/2006/bibliography"/>
  </ds:schemaRefs>
</ds:datastoreItem>
</file>

<file path=customXml/itemProps3.xml><?xml version="1.0" encoding="utf-8"?>
<ds:datastoreItem xmlns:ds="http://schemas.openxmlformats.org/officeDocument/2006/customXml" ds:itemID="{8FCEA0AD-0B64-4B47-A43F-FAA98902A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826fd-63d2-4fbe-8945-70cfae2152cf"/>
    <ds:schemaRef ds:uri="d1c57e0b-3e0e-44f6-9583-e7524225d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1B5C6D-1C98-461D-AAA3-6244CAE385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 </Template>
  <TotalTime>14</TotalTime>
  <Pages>128</Pages>
  <Words>50678</Words>
  <Characters>288869</Characters>
  <Application>Microsoft Office Word</Application>
  <DocSecurity>0</DocSecurity>
  <Lines>2407</Lines>
  <Paragraphs>677</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Sustainable Energy - West and Central Africa</vt:lpstr>
      <vt:lpstr>Sustainable Energy - West and Central Africa</vt:lpstr>
      <vt:lpstr>Sustainable Energy for All Initiative (SE4ALL) - West and Central Africa</vt:lpstr>
    </vt:vector>
  </TitlesOfParts>
  <Company>MWH</Company>
  <LinksUpToDate>false</LinksUpToDate>
  <CharactersWithSpaces>338870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Energy - West and Central Africa</dc:title>
  <dc:subject>Inception Report</dc:subject>
  <dc:creator>Florine Thiery</dc:creator>
  <cp:lastModifiedBy>Nijaz Dizdarevic</cp:lastModifiedBy>
  <cp:revision>3</cp:revision>
  <cp:lastPrinted>2021-06-10T10:10:00Z</cp:lastPrinted>
  <dcterms:created xsi:type="dcterms:W3CDTF">2021-07-15T14:38:00Z</dcterms:created>
  <dcterms:modified xsi:type="dcterms:W3CDTF">2021-07-15T14:51:00Z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4.1.1</vt:lpwstr>
  </property>
  <property fmtid="{D5CDD505-2E9C-101B-9397-08002B2CF9AE}" pid="3" name="logotaalletter">
    <vt:lpwstr>e</vt:lpwstr>
  </property>
  <property fmtid="{D5CDD505-2E9C-101B-9397-08002B2CF9AE}" pid="4" name="Kantoor">
    <vt:lpwstr>DV</vt:lpwstr>
  </property>
  <property fmtid="{D5CDD505-2E9C-101B-9397-08002B2CF9AE}" pid="5" name="Txtpredatum">
    <vt:lpwstr>15-04-2002</vt:lpwstr>
  </property>
  <property fmtid="{D5CDD505-2E9C-101B-9397-08002B2CF9AE}" pid="6" name="Afdruk">
    <vt:lpwstr>enkel</vt:lpwstr>
  </property>
  <property fmtid="{D5CDD505-2E9C-101B-9397-08002B2CF9AE}" pid="7" name="txtregistratie">
    <vt:lpwstr/>
  </property>
  <property fmtid="{D5CDD505-2E9C-101B-9397-08002B2CF9AE}" pid="8" name="registratie">
    <vt:lpwstr>registered</vt:lpwstr>
  </property>
  <property fmtid="{D5CDD505-2E9C-101B-9397-08002B2CF9AE}" pid="9" name="txtprojectcode">
    <vt:lpwstr/>
  </property>
  <property fmtid="{D5CDD505-2E9C-101B-9397-08002B2CF9AE}" pid="10" name="projectcode">
    <vt:lpwstr>projectcode</vt:lpwstr>
  </property>
  <property fmtid="{D5CDD505-2E9C-101B-9397-08002B2CF9AE}" pid="11" name="txtprojectleider">
    <vt:lpwstr/>
  </property>
  <property fmtid="{D5CDD505-2E9C-101B-9397-08002B2CF9AE}" pid="12" name="projectleider">
    <vt:lpwstr>project manager</vt:lpwstr>
  </property>
  <property fmtid="{D5CDD505-2E9C-101B-9397-08002B2CF9AE}" pid="13" name="txtprojectdirecteur">
    <vt:lpwstr/>
  </property>
  <property fmtid="{D5CDD505-2E9C-101B-9397-08002B2CF9AE}" pid="14" name="projectdirecteur">
    <vt:lpwstr>project director</vt:lpwstr>
  </property>
  <property fmtid="{D5CDD505-2E9C-101B-9397-08002B2CF9AE}" pid="15" name="status">
    <vt:lpwstr>status</vt:lpwstr>
  </property>
  <property fmtid="{D5CDD505-2E9C-101B-9397-08002B2CF9AE}" pid="16" name="txtdatum">
    <vt:lpwstr>April 15, 2002</vt:lpwstr>
  </property>
  <property fmtid="{D5CDD505-2E9C-101B-9397-08002B2CF9AE}" pid="17" name="datum">
    <vt:lpwstr>date</vt:lpwstr>
  </property>
  <property fmtid="{D5CDD505-2E9C-101B-9397-08002B2CF9AE}" pid="18" name="txtautorisatie">
    <vt:lpwstr>approved</vt:lpwstr>
  </property>
  <property fmtid="{D5CDD505-2E9C-101B-9397-08002B2CF9AE}" pid="19" name="autorisatie">
    <vt:lpwstr>authorisation</vt:lpwstr>
  </property>
  <property fmtid="{D5CDD505-2E9C-101B-9397-08002B2CF9AE}" pid="20" name="txtautorisatiedoor">
    <vt:lpwstr/>
  </property>
  <property fmtid="{D5CDD505-2E9C-101B-9397-08002B2CF9AE}" pid="21" name="autorisatiedoor">
    <vt:lpwstr>name</vt:lpwstr>
  </property>
  <property fmtid="{D5CDD505-2E9C-101B-9397-08002B2CF9AE}" pid="22" name="paraaf">
    <vt:lpwstr>initials</vt:lpwstr>
  </property>
  <property fmtid="{D5CDD505-2E9C-101B-9397-08002B2CF9AE}" pid="23" name="txtstatus">
    <vt:lpwstr>draft version</vt:lpwstr>
  </property>
  <property fmtid="{D5CDD505-2E9C-101B-9397-08002B2CF9AE}" pid="24" name="statusreg">
    <vt:lpwstr>concept</vt:lpwstr>
  </property>
  <property fmtid="{D5CDD505-2E9C-101B-9397-08002B2CF9AE}" pid="25" name="ISOongecontroleerd">
    <vt:lpwstr/>
  </property>
  <property fmtid="{D5CDD505-2E9C-101B-9397-08002B2CF9AE}" pid="26" name="txtversienummer">
    <vt:lpwstr> </vt:lpwstr>
  </property>
  <property fmtid="{D5CDD505-2E9C-101B-9397-08002B2CF9AE}" pid="27" name="partner">
    <vt:lpwstr/>
  </property>
  <property fmtid="{D5CDD505-2E9C-101B-9397-08002B2CF9AE}" pid="28" name="Taal">
    <vt:lpwstr>taal-en</vt:lpwstr>
  </property>
  <property fmtid="{D5CDD505-2E9C-101B-9397-08002B2CF9AE}" pid="29" name="dedato">
    <vt:lpwstr>dated</vt:lpwstr>
  </property>
  <property fmtid="{D5CDD505-2E9C-101B-9397-08002B2CF9AE}" pid="30" name="ContentTypeId">
    <vt:lpwstr>0x010100B25A0A5F5C67104A8D77D7200EEDAC31</vt:lpwstr>
  </property>
</Properties>
</file>